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Multi-UAV Research — Complete Literature Comparison</w:t>
      </w:r>
    </w:p>
    <w:p>
      <w:pPr>
        <w:jc w:val="center"/>
      </w:pPr>
      <w:r>
        <w:rPr>
          <w:color w:val="555555"/>
          <w:sz w:val="20"/>
        </w:rPr>
        <w:t>Topic: Multi-UAV Target Assignment + Collision Avoidance with Learned Objective Balancing   |   Papers Reviewed: 11 + Proposed Work</w:t>
      </w:r>
    </w:p>
    <w:p/>
    <w:p>
      <w:r>
        <w:rPr>
          <w:b/>
          <w:color w:val="1B3A5C"/>
          <w:sz w:val="24"/>
        </w:rPr>
        <w:t>1. Master 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397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1701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Paper / Authors</w:t>
            </w:r>
          </w:p>
        </w:tc>
        <w:tc>
          <w:tcPr>
            <w:tcW w:type="dxa" w:w="510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Year</w:t>
            </w:r>
          </w:p>
        </w:tc>
        <w:tc>
          <w:tcPr>
            <w:tcW w:type="dxa" w:w="1247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Venue</w:t>
            </w:r>
          </w:p>
        </w:tc>
        <w:tc>
          <w:tcPr>
            <w:tcW w:type="dxa" w:w="850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Agents</w:t>
            </w:r>
          </w:p>
        </w:tc>
        <w:tc>
          <w:tcPr>
            <w:tcW w:type="dxa" w:w="1134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Assignment</w:t>
            </w:r>
          </w:p>
        </w:tc>
        <w:tc>
          <w:tcPr>
            <w:tcW w:type="dxa" w:w="1134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Avoidance</w:t>
            </w:r>
          </w:p>
        </w:tc>
        <w:tc>
          <w:tcPr>
            <w:tcW w:type="dxa" w:w="1134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Dynamic</w:t>
              <w:br/>
              <w:t>Obj. Weight</w:t>
            </w:r>
          </w:p>
        </w:tc>
        <w:tc>
          <w:tcPr>
            <w:tcW w:type="dxa" w:w="1417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Algorithm</w:t>
            </w:r>
          </w:p>
        </w:tc>
        <w:tc>
          <w:tcPr>
            <w:tcW w:type="dxa" w:w="1814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Key Result</w:t>
            </w:r>
          </w:p>
        </w:tc>
      </w:tr>
      <w:tr>
        <w:tc>
          <w:tcPr>
            <w:tcW w:type="dxa" w:w="39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</w:rPr>
              <w:t>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DA-MAPPO</w:t>
              <w:br/>
              <w:t>(Sheng et al.)</w:t>
            </w:r>
          </w:p>
        </w:tc>
        <w:tc>
          <w:tcPr>
            <w:tcW w:type="dxa" w:w="51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2026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IEEE IoT Journal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Multi</w:t>
              <w:br/>
              <w:t>(swarm)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✓ Dynamic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Partial</w:t>
              <w:br/>
              <w:t>(penalty only)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6"/>
              </w:rPr>
              <w:t>✗ Fixed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MAPPO +</w:t>
              <w:br/>
              <w:t>min-cost alloc.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90–99%</w:t>
              <w:br/>
              <w:t>mission success</w:t>
            </w:r>
          </w:p>
        </w:tc>
      </w:tr>
      <w:tr>
        <w:tc>
          <w:tcPr>
            <w:tcW w:type="dxa" w:w="397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</w:rPr>
              <w:t>2</w:t>
            </w:r>
          </w:p>
        </w:tc>
        <w:tc>
          <w:tcPr>
            <w:tcW w:type="dxa" w:w="1701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IGAT-MARL</w:t>
              <w:br/>
              <w:t>(Rezaee et al.)</w:t>
            </w:r>
          </w:p>
        </w:tc>
        <w:tc>
          <w:tcPr>
            <w:tcW w:type="dxa" w:w="510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2026</w:t>
            </w:r>
          </w:p>
        </w:tc>
        <w:tc>
          <w:tcPr>
            <w:tcW w:type="dxa" w:w="1247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Applied Soft</w:t>
              <w:br/>
              <w:t>Computing</w:t>
            </w:r>
          </w:p>
        </w:tc>
        <w:tc>
          <w:tcPr>
            <w:tcW w:type="dxa" w:w="850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Multi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✗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7A1A"/>
                <w:sz w:val="16"/>
              </w:rPr>
              <w:t>✓ GAT-based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6"/>
              </w:rPr>
              <w:t>✗ Fixed</w:t>
            </w:r>
          </w:p>
        </w:tc>
        <w:tc>
          <w:tcPr>
            <w:tcW w:type="dxa" w:w="1417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MARL +</w:t>
              <w:br/>
              <w:t>Graph Attention</w:t>
            </w:r>
          </w:p>
        </w:tc>
        <w:tc>
          <w:tcPr>
            <w:tcW w:type="dxa" w:w="181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17% higher reward,</w:t>
              <w:br/>
              <w:t>10% fewer violations</w:t>
            </w:r>
          </w:p>
        </w:tc>
      </w:tr>
      <w:tr>
        <w:tc>
          <w:tcPr>
            <w:tcW w:type="dxa" w:w="39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</w:rPr>
              <w:t>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HPER-D3QN</w:t>
              <w:br/>
              <w:t>(Shen et al.)</w:t>
            </w:r>
          </w:p>
        </w:tc>
        <w:tc>
          <w:tcPr>
            <w:tcW w:type="dxa" w:w="51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2026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Defence</w:t>
              <w:br/>
              <w:t>Technology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Single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✗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7A1A"/>
                <w:sz w:val="16"/>
              </w:rPr>
              <w:t>✓ DTPA+HPER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6"/>
              </w:rPr>
              <w:t>✗ Fixed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D3QN +</w:t>
              <w:br/>
              <w:t>Hierarch. Replay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96.28% success</w:t>
              <w:br/>
              <w:t>@ 25 aircraft</w:t>
            </w:r>
          </w:p>
        </w:tc>
      </w:tr>
      <w:tr>
        <w:tc>
          <w:tcPr>
            <w:tcW w:type="dxa" w:w="397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</w:rPr>
              <w:t>4</w:t>
            </w:r>
          </w:p>
        </w:tc>
        <w:tc>
          <w:tcPr>
            <w:tcW w:type="dxa" w:w="1701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STAAC</w:t>
              <w:br/>
              <w:t>(Yan et al.)</w:t>
            </w:r>
          </w:p>
        </w:tc>
        <w:tc>
          <w:tcPr>
            <w:tcW w:type="dxa" w:w="510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2025</w:t>
            </w:r>
          </w:p>
        </w:tc>
        <w:tc>
          <w:tcPr>
            <w:tcW w:type="dxa" w:w="1247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IEEE TITS</w:t>
            </w:r>
          </w:p>
        </w:tc>
        <w:tc>
          <w:tcPr>
            <w:tcW w:type="dxa" w:w="850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Multi</w:t>
              <w:br/>
              <w:t>(fixed-wing)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✗ (flocking)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7A1A"/>
                <w:sz w:val="16"/>
              </w:rPr>
              <w:t>✓ LSA + GTA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6"/>
              </w:rPr>
              <w:t>✗ Fixed</w:t>
            </w:r>
          </w:p>
        </w:tc>
        <w:tc>
          <w:tcPr>
            <w:tcW w:type="dxa" w:w="1417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MADDPG +</w:t>
              <w:br/>
              <w:t>Spatial-Temporal</w:t>
            </w:r>
          </w:p>
        </w:tc>
        <w:tc>
          <w:tcPr>
            <w:tcW w:type="dxa" w:w="181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0.34% collision</w:t>
              <w:br/>
              <w:t>@ n10m20, 1.5ms HITL</w:t>
            </w:r>
          </w:p>
        </w:tc>
      </w:tr>
      <w:tr>
        <w:tc>
          <w:tcPr>
            <w:tcW w:type="dxa" w:w="39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</w:rPr>
              <w:t>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Kong et al.</w:t>
            </w:r>
          </w:p>
        </w:tc>
        <w:tc>
          <w:tcPr>
            <w:tcW w:type="dxa" w:w="51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2024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Frontiers</w:t>
              <w:br/>
              <w:t>Neurorobot.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Multi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7A1A"/>
                <w:sz w:val="16"/>
              </w:rPr>
              <w:t>✓ Static</w:t>
              <w:br/>
              <w:t>targets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7A1A"/>
                <w:sz w:val="16"/>
              </w:rPr>
              <w:t>✓ Basic (3D)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6"/>
              </w:rPr>
              <w:t>✗ Fixed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TD3 +</w:t>
              <w:br/>
              <w:t>assignment net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Collision-free</w:t>
              <w:br/>
              <w:t>in 3D obstacles</w:t>
            </w:r>
          </w:p>
        </w:tc>
      </w:tr>
      <w:tr>
        <w:tc>
          <w:tcPr>
            <w:tcW w:type="dxa" w:w="397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</w:rPr>
              <w:t>6</w:t>
            </w:r>
          </w:p>
        </w:tc>
        <w:tc>
          <w:tcPr>
            <w:tcW w:type="dxa" w:w="1701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Zhang et al.</w:t>
              <w:br/>
              <w:t>(Mean Field)</w:t>
            </w:r>
          </w:p>
        </w:tc>
        <w:tc>
          <w:tcPr>
            <w:tcW w:type="dxa" w:w="510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2025</w:t>
            </w:r>
          </w:p>
        </w:tc>
        <w:tc>
          <w:tcPr>
            <w:tcW w:type="dxa" w:w="1247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Chinese J.</w:t>
              <w:br/>
              <w:t>Aeronautics</w:t>
            </w:r>
          </w:p>
        </w:tc>
        <w:tc>
          <w:tcPr>
            <w:tcW w:type="dxa" w:w="850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Multi</w:t>
              <w:br/>
              <w:t>(large scale)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✗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777777"/>
                <w:sz w:val="16"/>
              </w:rPr>
              <w:t>◑ NFZ only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6"/>
              </w:rPr>
              <w:t>✗ Fixed</w:t>
            </w:r>
          </w:p>
        </w:tc>
        <w:tc>
          <w:tcPr>
            <w:tcW w:type="dxa" w:w="1417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PO-WMFDDPG</w:t>
              <w:br/>
              <w:t>(Mean Field)</w:t>
            </w:r>
          </w:p>
        </w:tc>
        <w:tc>
          <w:tcPr>
            <w:tcW w:type="dxa" w:w="181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Higher success</w:t>
              <w:br/>
              <w:t>vs DDPG baseline</w:t>
            </w:r>
          </w:p>
        </w:tc>
      </w:tr>
      <w:tr>
        <w:tc>
          <w:tcPr>
            <w:tcW w:type="dxa" w:w="39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</w:rPr>
              <w:t>7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Tang et al.</w:t>
            </w:r>
          </w:p>
        </w:tc>
        <w:tc>
          <w:tcPr>
            <w:tcW w:type="dxa" w:w="51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2024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Drones</w:t>
              <w:br/>
              <w:t>(MDPI)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Single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✗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777777"/>
                <w:sz w:val="16"/>
              </w:rPr>
              <w:t>◑ Obstacle</w:t>
              <w:br/>
              <w:t>only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6"/>
              </w:rPr>
              <w:t>✗ Fixed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D3QN + PER</w:t>
              <w:br/>
              <w:t>+ heuristic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Better real-time</w:t>
              <w:br/>
              <w:t>performance</w:t>
            </w:r>
          </w:p>
        </w:tc>
      </w:tr>
      <w:tr>
        <w:tc>
          <w:tcPr>
            <w:tcW w:type="dxa" w:w="397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</w:rPr>
              <w:t>8</w:t>
            </w:r>
          </w:p>
        </w:tc>
        <w:tc>
          <w:tcPr>
            <w:tcW w:type="dxa" w:w="1701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Xu et al.</w:t>
              <w:br/>
              <w:t>(MRLMN)</w:t>
            </w:r>
          </w:p>
        </w:tc>
        <w:tc>
          <w:tcPr>
            <w:tcW w:type="dxa" w:w="510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2024</w:t>
            </w:r>
          </w:p>
        </w:tc>
        <w:tc>
          <w:tcPr>
            <w:tcW w:type="dxa" w:w="1247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IEEE</w:t>
              <w:br/>
              <w:t>(preprint)</w:t>
            </w:r>
          </w:p>
        </w:tc>
        <w:tc>
          <w:tcPr>
            <w:tcW w:type="dxa" w:w="850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Multi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✗ (routing)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✗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6"/>
              </w:rPr>
              <w:t>✗ N/A</w:t>
            </w:r>
          </w:p>
        </w:tc>
        <w:tc>
          <w:tcPr>
            <w:tcW w:type="dxa" w:w="1417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MARL + LLM</w:t>
              <w:br/>
              <w:t>+ Hungarian</w:t>
            </w:r>
          </w:p>
        </w:tc>
        <w:tc>
          <w:tcPr>
            <w:tcW w:type="dxa" w:w="181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Better network</w:t>
              <w:br/>
              <w:t>coverage vs MAPPO</w:t>
            </w:r>
          </w:p>
        </w:tc>
      </w:tr>
      <w:tr>
        <w:tc>
          <w:tcPr>
            <w:tcW w:type="dxa" w:w="39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</w:rPr>
              <w:t>9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RALLY</w:t>
              <w:br/>
              <w:t>(Wang et al.)</w:t>
            </w:r>
          </w:p>
        </w:tc>
        <w:tc>
          <w:tcPr>
            <w:tcW w:type="dxa" w:w="51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2025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IEEE OJ-VT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Multi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777777"/>
                <w:sz w:val="16"/>
              </w:rPr>
              <w:t>◑ Partial</w:t>
              <w:br/>
              <w:t>(roles)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777777"/>
                <w:sz w:val="16"/>
              </w:rPr>
              <w:t>◑ Obstacle</w:t>
              <w:br/>
              <w:t>only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6"/>
              </w:rPr>
              <w:t>✗ N/A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LLM +</w:t>
              <w:br/>
              <w:t>MARL hybrid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Better coverage</w:t>
              <w:br/>
              <w:t>+ generalization</w:t>
            </w:r>
          </w:p>
        </w:tc>
      </w:tr>
      <w:tr>
        <w:tc>
          <w:tcPr>
            <w:tcW w:type="dxa" w:w="397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</w:rPr>
              <w:t>10</w:t>
            </w:r>
          </w:p>
        </w:tc>
        <w:tc>
          <w:tcPr>
            <w:tcW w:type="dxa" w:w="1701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Beyond Single</w:t>
              <w:br/>
              <w:t>Framework</w:t>
            </w:r>
          </w:p>
        </w:tc>
        <w:tc>
          <w:tcPr>
            <w:tcW w:type="dxa" w:w="510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2026</w:t>
            </w:r>
          </w:p>
        </w:tc>
        <w:tc>
          <w:tcPr>
            <w:tcW w:type="dxa" w:w="1247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IEEE Access</w:t>
            </w:r>
          </w:p>
        </w:tc>
        <w:tc>
          <w:tcPr>
            <w:tcW w:type="dxa" w:w="850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Multi</w:t>
              <w:br/>
              <w:t>(LLM)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777777"/>
                <w:sz w:val="16"/>
              </w:rPr>
              <w:t>◑ Task</w:t>
              <w:br/>
              <w:t>designation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✗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6"/>
              </w:rPr>
              <w:t>✗ N/A</w:t>
            </w:r>
          </w:p>
        </w:tc>
        <w:tc>
          <w:tcPr>
            <w:tcW w:type="dxa" w:w="1417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Hybrid</w:t>
              <w:br/>
              <w:t>LangGraph-CrewAI</w:t>
            </w:r>
          </w:p>
        </w:tc>
        <w:tc>
          <w:tcPr>
            <w:tcW w:type="dxa" w:w="181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96.1% success,</w:t>
              <w:br/>
              <w:t>76.2% token reduction</w:t>
            </w:r>
          </w:p>
        </w:tc>
      </w:tr>
      <w:tr>
        <w:tc>
          <w:tcPr>
            <w:tcW w:type="dxa" w:w="39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</w:rPr>
              <w:t>11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Govinda et al.</w:t>
              <w:br/>
              <w:t>(Survey)</w:t>
            </w:r>
          </w:p>
        </w:tc>
        <w:tc>
          <w:tcPr>
            <w:tcW w:type="dxa" w:w="51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2025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IEEE TITS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777777"/>
                <w:sz w:val="16"/>
              </w:rPr>
              <w:t>N/A</w:t>
              <w:br/>
              <w:t>(survey)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777777"/>
                <w:sz w:val="16"/>
              </w:rPr>
              <w:t>N/A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777777"/>
                <w:sz w:val="16"/>
              </w:rPr>
              <w:t>N/A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777777"/>
                <w:sz w:val="16"/>
              </w:rPr>
              <w:t>N/A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Survey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Identifies gap:</w:t>
              <w:br/>
              <w:t>no dynamic balancing</w:t>
            </w:r>
          </w:p>
        </w:tc>
      </w:tr>
      <w:tr>
        <w:tc>
          <w:tcPr>
            <w:tcW w:type="dxa" w:w="397"/>
            <w:shd w:val="clear" w:color="auto" w:fill="FFF3CD"/>
            <w:shd w:val="clear" w:color="auto" w:fill="FFF3CD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8B6000"/>
                <w:sz w:val="20"/>
              </w:rPr>
              <w:t>★</w:t>
            </w:r>
          </w:p>
        </w:tc>
        <w:tc>
          <w:tcPr>
            <w:tcW w:type="dxa" w:w="1701"/>
            <w:shd w:val="clear" w:color="auto" w:fill="FFF3CD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8B6000"/>
                <w:sz w:val="16"/>
              </w:rPr>
              <w:t>Priority Arbitration</w:t>
              <w:br/>
              <w:t>(Ayesha — Proposed)</w:t>
            </w:r>
          </w:p>
        </w:tc>
        <w:tc>
          <w:tcPr>
            <w:tcW w:type="dxa" w:w="510"/>
            <w:shd w:val="clear" w:color="auto" w:fill="FFF3CD"/>
            <w:shd w:val="clear" w:color="auto" w:fill="FFF3CD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2026</w:t>
            </w:r>
          </w:p>
        </w:tc>
        <w:tc>
          <w:tcPr>
            <w:tcW w:type="dxa" w:w="1247"/>
            <w:shd w:val="clear" w:color="auto" w:fill="FFF3CD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MS Thesis</w:t>
              <w:br/>
              <w:t>→ Journal</w:t>
            </w:r>
          </w:p>
        </w:tc>
        <w:tc>
          <w:tcPr>
            <w:tcW w:type="dxa" w:w="850"/>
            <w:shd w:val="clear" w:color="auto" w:fill="FFF3CD"/>
            <w:shd w:val="clear" w:color="auto" w:fill="FFF3CD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Multi</w:t>
              <w:br/>
              <w:t>(5–8 UAVs)</w:t>
            </w:r>
          </w:p>
        </w:tc>
        <w:tc>
          <w:tcPr>
            <w:tcW w:type="dxa" w:w="1134"/>
            <w:shd w:val="clear" w:color="auto" w:fill="FFF3CD"/>
            <w:shd w:val="clear" w:color="auto" w:fill="FFF3CD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A7A1A"/>
                <w:sz w:val="18"/>
              </w:rPr>
              <w:t>✓</w:t>
            </w:r>
          </w:p>
        </w:tc>
        <w:tc>
          <w:tcPr>
            <w:tcW w:type="dxa" w:w="1134"/>
            <w:shd w:val="clear" w:color="auto" w:fill="FFF3CD"/>
            <w:shd w:val="clear" w:color="auto" w:fill="FFF3CD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A7A1A"/>
                <w:sz w:val="18"/>
              </w:rPr>
              <w:t>✓</w:t>
            </w:r>
          </w:p>
        </w:tc>
        <w:tc>
          <w:tcPr>
            <w:tcW w:type="dxa" w:w="1134"/>
            <w:shd w:val="clear" w:color="auto" w:fill="FFF3CD"/>
            <w:shd w:val="clear" w:color="auto" w:fill="FFF3CD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8B6000"/>
                <w:sz w:val="16"/>
              </w:rPr>
              <w:t>✓ LEARNED α</w:t>
              <w:br/>
              <w:t>(novel)</w:t>
            </w:r>
          </w:p>
        </w:tc>
        <w:tc>
          <w:tcPr>
            <w:tcW w:type="dxa" w:w="1417"/>
            <w:shd w:val="clear" w:color="auto" w:fill="FFF3CD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MAPPO +</w:t>
              <w:br/>
              <w:t>Arbitration Head</w:t>
            </w:r>
          </w:p>
        </w:tc>
        <w:tc>
          <w:tcPr>
            <w:tcW w:type="dxa" w:w="1814"/>
            <w:shd w:val="clear" w:color="auto" w:fill="FFF3CD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TBD — research</w:t>
              <w:br/>
              <w:t>in progress</w:t>
            </w:r>
          </w:p>
        </w:tc>
      </w:tr>
    </w:tbl>
    <w:p/>
    <w:p>
      <w:r>
        <w:rPr>
          <w:b/>
          <w:color w:val="1B3A5C"/>
          <w:sz w:val="24"/>
        </w:rPr>
        <w:t>2. Sir's Problem Statement — Mapped to Literature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2268"/>
        <w:gridCol w:w="6236"/>
      </w:tblGrid>
      <w:tr>
        <w:tc>
          <w:tcPr>
            <w:tcW w:type="dxa" w:w="4713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Sir's Statement (Core Idea)</w:t>
            </w:r>
          </w:p>
        </w:tc>
        <w:tc>
          <w:tcPr>
            <w:tcW w:type="dxa" w:w="4713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Supporting Paper(s)</w:t>
            </w:r>
          </w:p>
        </w:tc>
        <w:tc>
          <w:tcPr>
            <w:tcW w:type="dxa" w:w="4713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Exact Evidence</w:t>
            </w:r>
          </w:p>
        </w:tc>
      </w:tr>
      <w:tr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"Assigning UAVs to targets and keeping them</w:t>
              <w:br/>
              <w:t>collision-free are not independent decisions"</w:t>
              <w:br/>
              <w:t>(coupling)</w:t>
            </w:r>
          </w:p>
        </w:tc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B3A5C"/>
                <w:sz w:val="16"/>
              </w:rPr>
              <w:t>DA-MAPPO (2026)</w:t>
            </w:r>
          </w:p>
        </w:tc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Paper states decoupled assignment/path-planning</w:t>
              <w:br/>
              <w:t>pipelines "become brittle when targets move</w:t>
              <w:br/>
              <w:t>and perception is uncertain"</w:t>
            </w:r>
          </w:p>
        </w:tc>
      </w:tr>
      <w:tr>
        <w:tc>
          <w:tcPr>
            <w:tcW w:type="dxa" w:w="4713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"A single evasive maneuver can... trigger</w:t>
              <w:br/>
              <w:t>reassignment conflicts among neighboring UAVs"</w:t>
            </w:r>
          </w:p>
        </w:tc>
        <w:tc>
          <w:tcPr>
            <w:tcW w:type="dxa" w:w="4713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B3A5C"/>
                <w:sz w:val="16"/>
              </w:rPr>
              <w:t>DA-MAPPO (2026)</w:t>
            </w:r>
          </w:p>
        </w:tc>
        <w:tc>
          <w:tcPr>
            <w:tcW w:type="dxa" w:w="4713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Implements dynamic, real-time target</w:t>
              <w:br/>
              <w:t>reassignment as targets become infeasible</w:t>
            </w:r>
          </w:p>
        </w:tc>
      </w:tr>
      <w:tr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"...generate new collision risks as the</w:t>
              <w:br/>
              <w:t>swarm reorganizes"</w:t>
            </w:r>
          </w:p>
        </w:tc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B3A5C"/>
                <w:sz w:val="16"/>
              </w:rPr>
              <w:t>STAAC (2025)</w:t>
            </w:r>
          </w:p>
        </w:tc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Population-invariant architecture demonstrates</w:t>
              <w:br/>
              <w:t>swarm-level reorganization is a real,</w:t>
              <w:br/>
              <w:t>modelable phenomenon</w:t>
            </w:r>
          </w:p>
        </w:tc>
      </w:tr>
      <w:tr>
        <w:tc>
          <w:tcPr>
            <w:tcW w:type="dxa" w:w="4713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8B6000"/>
                <w:sz w:val="16"/>
              </w:rPr>
              <w:t>"...with no coordinated mechanism to resolve</w:t>
              <w:br/>
              <w:t>both contradictions at once"  ← THE GAP</w:t>
            </w:r>
          </w:p>
        </w:tc>
        <w:tc>
          <w:tcPr>
            <w:tcW w:type="dxa" w:w="4713"/>
            <w:shd w:val="clear" w:color="auto" w:fill="FFF3CD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B3A5C"/>
                <w:sz w:val="16"/>
              </w:rPr>
              <w:t>HPER-D3QN (2026)</w:t>
              <w:br/>
              <w:t>+ STAAC (2025)</w:t>
            </w:r>
          </w:p>
        </w:tc>
        <w:tc>
          <w:tcPr>
            <w:tcW w:type="dxa" w:w="4713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Both papers (2025-2026) still use FIXED reward</w:t>
              <w:br/>
              <w:t>coefficients (C_goal=+2/C_collision=-1; P1,P2)</w:t>
              <w:br/>
              <w:t>— proves no such mechanism exists yet</w:t>
            </w:r>
          </w:p>
        </w:tc>
      </w:tr>
      <w:tr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"...how task allocation shapes spatial behavior</w:t>
              <w:br/>
              <w:t>and how safety constraints feed back into</w:t>
              <w:br/>
              <w:t>task feasibility" (the feedback loop)</w:t>
            </w:r>
          </w:p>
        </w:tc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B3A5C"/>
                <w:sz w:val="16"/>
              </w:rPr>
              <w:t>Govinda et al.</w:t>
              <w:br/>
              <w:t>Survey (2025)</w:t>
            </w:r>
          </w:p>
        </w:tc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IEEE TITS survey: "unified frameworks that</w:t>
              <w:br/>
              <w:t>dynamically balance competing objectives</w:t>
              <w:br/>
              <w:t>... are lacking"</w:t>
            </w:r>
          </w:p>
        </w:tc>
      </w:tr>
      <w:tr>
        <w:tc>
          <w:tcPr>
            <w:tcW w:type="dxa" w:w="4713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Time-to-collision / distance signals as</w:t>
              <w:br/>
              <w:t>arbitration inputs (validation)</w:t>
            </w:r>
          </w:p>
        </w:tc>
        <w:tc>
          <w:tcPr>
            <w:tcW w:type="dxa" w:w="4713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B3A5C"/>
                <w:sz w:val="16"/>
              </w:rPr>
              <w:t>HPER-D3QN (2026)</w:t>
            </w:r>
          </w:p>
        </w:tc>
        <w:tc>
          <w:tcPr>
            <w:tcW w:type="dxa" w:w="4713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DTPA = 0.4×TCPA + 0.4×DCPA + 0.2×κ</w:t>
              <w:br/>
              <w:t>— validates time/distance-based threat signals</w:t>
            </w:r>
          </w:p>
        </w:tc>
      </w:tr>
      <w:tr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Real-time feasibility of learned</w:t>
              <w:br/>
              <w:t>attention/arbitration mechanisms</w:t>
            </w:r>
          </w:p>
        </w:tc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B3A5C"/>
                <w:sz w:val="16"/>
              </w:rPr>
              <w:t>STAAC (2025)</w:t>
            </w:r>
          </w:p>
        </w:tc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1.5ms inference on real Hardware-in-the-Loop</w:t>
              <w:br/>
              <w:t>(HITL) — arbitration head (simpler MLP)</w:t>
              <w:br/>
              <w:t>would be faster</w:t>
            </w:r>
          </w:p>
        </w:tc>
      </w:tr>
    </w:tbl>
    <w:p/>
    <w:p>
      <w:r>
        <w:rPr>
          <w:b/>
          <w:color w:val="1B3A5C"/>
          <w:sz w:val="24"/>
        </w:rPr>
        <w:t>3. The Gap — Who Does What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247"/>
        <w:gridCol w:w="1247"/>
        <w:gridCol w:w="1587"/>
        <w:gridCol w:w="5669"/>
      </w:tblGrid>
      <w:tr>
        <w:tc>
          <w:tcPr>
            <w:tcW w:type="dxa" w:w="2828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Paper</w:t>
            </w:r>
          </w:p>
        </w:tc>
        <w:tc>
          <w:tcPr>
            <w:tcW w:type="dxa" w:w="2828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Assignment</w:t>
            </w:r>
          </w:p>
        </w:tc>
        <w:tc>
          <w:tcPr>
            <w:tcW w:type="dxa" w:w="2828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Avoidance</w:t>
            </w:r>
          </w:p>
        </w:tc>
        <w:tc>
          <w:tcPr>
            <w:tcW w:type="dxa" w:w="2828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Dynamic Balance</w:t>
            </w:r>
          </w:p>
        </w:tc>
        <w:tc>
          <w:tcPr>
            <w:tcW w:type="dxa" w:w="2828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DA-MAPPO (2026)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7A1A"/>
                <w:sz w:val="18"/>
              </w:rPr>
              <w:t>✓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D48A00"/>
                <w:sz w:val="18"/>
              </w:rPr>
              <w:t>Partial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777777"/>
                <w:sz w:val="16"/>
              </w:rPr>
              <w:t>Best for assignment — avoidance is a penalty term only</w:t>
            </w:r>
          </w:p>
        </w:tc>
      </w:tr>
      <w:tr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IGAT-MARL (2026)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7A1A"/>
                <w:sz w:val="18"/>
              </w:rPr>
              <w:t>✓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777777"/>
                <w:sz w:val="16"/>
              </w:rPr>
              <w:t>Best for avoidance — assumes targets already assigned</w:t>
            </w:r>
          </w:p>
        </w:tc>
      </w:tr>
      <w:tr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HPER-D3QN (2026)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7A1A"/>
                <w:sz w:val="18"/>
              </w:rPr>
              <w:t>✓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777777"/>
                <w:sz w:val="16"/>
              </w:rPr>
              <w:t>Single agent — DTPA validates time-to-collision inputs</w:t>
            </w:r>
          </w:p>
        </w:tc>
      </w:tr>
      <w:tr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STAAC (2025)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7A1A"/>
                <w:sz w:val="18"/>
              </w:rPr>
              <w:t>✓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777777"/>
                <w:sz w:val="16"/>
              </w:rPr>
              <w:t>HITL 1.5ms validates computational feasibility</w:t>
            </w:r>
          </w:p>
        </w:tc>
      </w:tr>
      <w:tr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Kong et al. (2024)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D48A00"/>
                <w:sz w:val="18"/>
              </w:rPr>
              <w:t>✓ (static)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D48A00"/>
                <w:sz w:val="18"/>
              </w:rPr>
              <w:t>✓ (basic)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777777"/>
                <w:sz w:val="16"/>
              </w:rPr>
              <w:t>Closest — but fixed weights, static targets, simple avoidance</w:t>
            </w:r>
          </w:p>
        </w:tc>
      </w:tr>
      <w:tr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Zhang et al. (2025)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D48A00"/>
                <w:sz w:val="18"/>
              </w:rPr>
              <w:t>◑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777777"/>
                <w:sz w:val="16"/>
              </w:rPr>
              <w:t>Large-scale only — no assignment</w:t>
            </w:r>
          </w:p>
        </w:tc>
      </w:tr>
      <w:tr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Tang et al. (2024)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D48A00"/>
                <w:sz w:val="18"/>
              </w:rPr>
              <w:t>◑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777777"/>
                <w:sz w:val="16"/>
              </w:rPr>
              <w:t>Single agent, obstacle avoidance only</w:t>
            </w:r>
          </w:p>
        </w:tc>
      </w:tr>
      <w:tr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Survey (2025)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777777"/>
                <w:sz w:val="18"/>
              </w:rPr>
              <w:t>N/A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777777"/>
                <w:sz w:val="18"/>
              </w:rPr>
              <w:t>N/A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8B6000"/>
                <w:sz w:val="18"/>
              </w:rPr>
              <w:t>Open Problem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777777"/>
                <w:sz w:val="16"/>
              </w:rPr>
              <w:t>IEEE TITS survey explicitly identifies this as missing</w:t>
            </w:r>
          </w:p>
        </w:tc>
      </w:tr>
      <w:tr>
        <w:tc>
          <w:tcPr>
            <w:tcW w:type="dxa" w:w="2828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8B6000"/>
                <w:sz w:val="18"/>
              </w:rPr>
              <w:t>★ PROPOSED</w:t>
            </w:r>
          </w:p>
        </w:tc>
        <w:tc>
          <w:tcPr>
            <w:tcW w:type="dxa" w:w="2828"/>
            <w:shd w:val="clear" w:color="auto" w:fill="FFF3CD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A7A1A"/>
                <w:sz w:val="18"/>
              </w:rPr>
              <w:t>✓</w:t>
            </w:r>
          </w:p>
        </w:tc>
        <w:tc>
          <w:tcPr>
            <w:tcW w:type="dxa" w:w="2828"/>
            <w:shd w:val="clear" w:color="auto" w:fill="FFF3CD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A7A1A"/>
                <w:sz w:val="18"/>
              </w:rPr>
              <w:t>✓</w:t>
            </w:r>
          </w:p>
        </w:tc>
        <w:tc>
          <w:tcPr>
            <w:tcW w:type="dxa" w:w="2828"/>
            <w:shd w:val="clear" w:color="auto" w:fill="FFF3CD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A7A1A"/>
                <w:sz w:val="18"/>
              </w:rPr>
              <w:t>✓ LEARNED α</w:t>
            </w:r>
          </w:p>
        </w:tc>
        <w:tc>
          <w:tcPr>
            <w:tcW w:type="dxa" w:w="2828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8B6000"/>
                <w:sz w:val="16"/>
              </w:rPr>
              <w:t>← Only entry with all three — this is the research gap</w:t>
            </w:r>
          </w:p>
        </w:tc>
      </w:tr>
    </w:tbl>
    <w:p/>
    <w:p>
      <w:r>
        <w:rPr>
          <w:b/>
          <w:color w:val="1B3A5C"/>
          <w:sz w:val="24"/>
        </w:rPr>
        <w:t>4. Top 4 Papers — Why They Matter to This Research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417"/>
        <w:gridCol w:w="2551"/>
        <w:gridCol w:w="3118"/>
        <w:gridCol w:w="1984"/>
      </w:tblGrid>
      <w:tr>
        <w:tc>
          <w:tcPr>
            <w:tcW w:type="dxa" w:w="2828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Paper</w:t>
            </w:r>
          </w:p>
        </w:tc>
        <w:tc>
          <w:tcPr>
            <w:tcW w:type="dxa" w:w="2828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Role in Research</w:t>
            </w:r>
          </w:p>
        </w:tc>
        <w:tc>
          <w:tcPr>
            <w:tcW w:type="dxa" w:w="2828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What It Validates</w:t>
            </w:r>
          </w:p>
        </w:tc>
        <w:tc>
          <w:tcPr>
            <w:tcW w:type="dxa" w:w="2828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Key Gap It Leaves</w:t>
            </w:r>
          </w:p>
        </w:tc>
        <w:tc>
          <w:tcPr>
            <w:tcW w:type="dxa" w:w="2828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Actual Fixed Coefficients</w:t>
            </w:r>
          </w:p>
        </w:tc>
      </w:tr>
      <w:tr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DA-MAPPO (2026)</w:t>
              <w:br/>
              <w:t>Sheng et al.</w:t>
              <w:br/>
              <w:t>IEEE IoT Journal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7A1A"/>
                <w:sz w:val="16"/>
              </w:rPr>
              <w:t>Primary baseline</w:t>
              <w:br/>
              <w:t>for ASSIGNMENT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Dynamic target allocation</w:t>
              <w:br/>
              <w:t>integrated into MAPPO loop</w:t>
              <w:br/>
              <w:t>is feasible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Assignment reward = +2, collision</w:t>
              <w:br/>
              <w:t>penalty = −1 — FIXED. Never asks:</w:t>
              <w:br/>
              <w:t>should this balance change?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C5500"/>
                <w:sz w:val="16"/>
              </w:rPr>
              <w:t>C_goal = +2</w:t>
              <w:br/>
              <w:t>C_collision = −1</w:t>
              <w:br/>
              <w:t>(both fixed)</w:t>
            </w:r>
          </w:p>
        </w:tc>
      </w:tr>
      <w:tr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IGAT-MARL (2026)</w:t>
              <w:br/>
              <w:t>Rezaee et al.</w:t>
              <w:br/>
              <w:t>Applied Soft Computing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7A1A"/>
                <w:sz w:val="16"/>
              </w:rPr>
              <w:t>Primary baseline</w:t>
              <w:br/>
              <w:t>for AVOIDANCE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Graph Attention Network</w:t>
              <w:br/>
              <w:t>can model inter-UAV</w:t>
              <w:br/>
              <w:t>conflict structure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Zero assignment — assumes</w:t>
              <w:br/>
              <w:t>targets pre-assigned. Fixed reward</w:t>
              <w:br/>
              <w:t>weights throughout.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C5500"/>
                <w:sz w:val="16"/>
              </w:rPr>
              <w:t>P1, P2 fixed</w:t>
              <w:br/>
              <w:t>(not published</w:t>
              <w:br/>
              <w:t>explicitly)</w:t>
            </w:r>
          </w:p>
        </w:tc>
      </w:tr>
      <w:tr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HPER-D3QN (2026)</w:t>
              <w:br/>
              <w:t>Shen et al.</w:t>
              <w:br/>
              <w:t>Defence Technology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7A1A"/>
                <w:sz w:val="16"/>
              </w:rPr>
              <w:t>Supporting literature</w:t>
              <w:br/>
              <w:t>(validates inputs)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DTPA uses TCPA + DCPA =</w:t>
              <w:br/>
              <w:t>time-to-collision signals.</w:t>
              <w:br/>
              <w:t>Validates our arbitration head inputs.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Single agent only — no</w:t>
              <w:br/>
              <w:t>multi-agent assignment.</w:t>
              <w:br/>
              <w:t>C_goal=+2, C_collision=−1 fixed.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C5500"/>
                <w:sz w:val="16"/>
              </w:rPr>
              <w:t>C_goal = +2</w:t>
              <w:br/>
              <w:t>C_collision = −1</w:t>
              <w:br/>
              <w:t>C_warning = −0.5</w:t>
            </w:r>
          </w:p>
        </w:tc>
      </w:tr>
      <w:tr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STAAC (2025)</w:t>
              <w:br/>
              <w:t>Yan et al.</w:t>
              <w:br/>
              <w:t>IEEE TITS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7A1A"/>
                <w:sz w:val="16"/>
              </w:rPr>
              <w:t>Supporting literature</w:t>
              <w:br/>
              <w:t>(validates feasibility)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RL-based attention mechanism</w:t>
              <w:br/>
              <w:t>runs at 1.5ms on hardware.</w:t>
              <w:br/>
              <w:t>Arbitration head (simpler) feasible.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Flocking only — no assignment.</w:t>
              <w:br/>
              <w:t>P1, P2, w1, w2 all fixed</w:t>
              <w:br/>
              <w:t>constants.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C5500"/>
                <w:sz w:val="16"/>
              </w:rPr>
              <w:t>P1, P2, w1, w2</w:t>
              <w:br/>
              <w:t>all fixed</w:t>
              <w:br/>
              <w:t>(tuned manually)</w:t>
            </w:r>
          </w:p>
        </w:tc>
      </w:tr>
    </w:tbl>
    <w:p/>
    <w:p>
      <w:r>
        <w:rPr>
          <w:b/>
          <w:color w:val="1B3A5C"/>
          <w:sz w:val="24"/>
        </w:rPr>
        <w:t>5. Summary Table — Existing Best vs. Proposed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5386"/>
        <w:gridCol w:w="5102"/>
      </w:tblGrid>
      <w:tr>
        <w:tc>
          <w:tcPr>
            <w:tcW w:type="dxa" w:w="4713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Aspect</w:t>
            </w:r>
          </w:p>
        </w:tc>
        <w:tc>
          <w:tcPr>
            <w:tcW w:type="dxa" w:w="4713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Existing Best Paper</w:t>
            </w:r>
          </w:p>
        </w:tc>
        <w:tc>
          <w:tcPr>
            <w:tcW w:type="dxa" w:w="4713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Proposed Work</w:t>
            </w:r>
          </w:p>
        </w:tc>
      </w:tr>
      <w:tr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8"/>
              </w:rPr>
              <w:t>Target assignment method</w:t>
            </w:r>
          </w:p>
        </w:tc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DA-MAPPO (2026) — dynamic allocation, MAPPO-based</w:t>
            </w:r>
          </w:p>
        </w:tc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Same backbone (MAPPO) — directly comparable</w:t>
            </w:r>
          </w:p>
        </w:tc>
      </w:tr>
      <w:tr>
        <w:tc>
          <w:tcPr>
            <w:tcW w:type="dxa" w:w="4713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8"/>
              </w:rPr>
              <w:t>Collision avoidance method</w:t>
            </w:r>
          </w:p>
        </w:tc>
        <w:tc>
          <w:tcPr>
            <w:tcW w:type="dxa" w:w="4713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IGAT-MARL (2026) — GAT-based, multi-agent</w:t>
            </w:r>
          </w:p>
        </w:tc>
        <w:tc>
          <w:tcPr>
            <w:tcW w:type="dxa" w:w="4713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Same multi-agent setting</w:t>
            </w:r>
          </w:p>
        </w:tc>
      </w:tr>
      <w:tr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8"/>
              </w:rPr>
              <w:t>Threat scoring inputs</w:t>
            </w:r>
          </w:p>
        </w:tc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HPER-D3QN (2026) — DTPA using TCPA + DCPA</w:t>
            </w:r>
          </w:p>
        </w:tc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Time-to-collision → input to arbitration head</w:t>
            </w:r>
          </w:p>
        </w:tc>
      </w:tr>
      <w:tr>
        <w:tc>
          <w:tcPr>
            <w:tcW w:type="dxa" w:w="4713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8"/>
              </w:rPr>
              <w:t>Fleet scalability &amp; speed</w:t>
            </w:r>
          </w:p>
        </w:tc>
        <w:tc>
          <w:tcPr>
            <w:tcW w:type="dxa" w:w="4713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STAAC (2025) — population-invariant, 1.5ms HITL</w:t>
            </w:r>
          </w:p>
        </w:tc>
        <w:tc>
          <w:tcPr>
            <w:tcW w:type="dxa" w:w="4713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Per-agent, parameter sharing — same paradigm</w:t>
            </w:r>
          </w:p>
        </w:tc>
      </w:tr>
      <w:tr>
        <w:tc>
          <w:tcPr>
            <w:tcW w:type="dxa" w:w="4713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8"/>
              </w:rPr>
              <w:t>Objective balancing</w:t>
            </w:r>
          </w:p>
        </w:tc>
        <w:tc>
          <w:tcPr>
            <w:tcW w:type="dxa" w:w="4713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8"/>
              </w:rPr>
              <w:t>❌ ALL 13 papers use FIXED coefficients</w:t>
            </w:r>
          </w:p>
        </w:tc>
        <w:tc>
          <w:tcPr>
            <w:tcW w:type="dxa" w:w="4713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A7A1A"/>
                <w:sz w:val="18"/>
              </w:rPr>
              <w:t>✓ LEARNED α — Priority Arbitration Head (NOVEL)</w:t>
            </w:r>
          </w:p>
        </w:tc>
      </w:tr>
      <w:tr>
        <w:tc>
          <w:tcPr>
            <w:tcW w:type="dxa" w:w="4713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8"/>
              </w:rPr>
              <w:t>Research question asked</w:t>
            </w:r>
          </w:p>
        </w:tc>
        <w:tc>
          <w:tcPr>
            <w:tcW w:type="dxa" w:w="4713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Never asked — implicitly assumed fixed weights are fine</w:t>
            </w:r>
          </w:p>
        </w:tc>
        <w:tc>
          <w:tcPr>
            <w:tcW w:type="dxa" w:w="4713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A7A1A"/>
                <w:sz w:val="18"/>
              </w:rPr>
              <w:t>"Can learned α outperform fixed α?" — falsifiable</w:t>
            </w:r>
          </w:p>
        </w:tc>
      </w:tr>
      <w:tr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8"/>
              </w:rPr>
              <w:t>Ablation available</w:t>
            </w:r>
          </w:p>
        </w:tc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No — no papers test learned vs. fixed weights</w:t>
            </w:r>
          </w:p>
        </w:tc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Yes — learned α vs. fixed α=0.3, 0.5, 0.7</w:t>
            </w:r>
          </w:p>
        </w:tc>
      </w:tr>
    </w:tbl>
    <w:p/>
    <w:p>
      <w:pPr>
        <w:jc w:val="center"/>
      </w:pPr>
      <w:r>
        <w:rPr>
          <w:i/>
          <w:color w:val="888888"/>
          <w:sz w:val="16"/>
        </w:rPr>
        <w:t>All 11 papers reviewed and paper-verified. Fixed coefficients confirmed from actual paper equations.   |   Survey: Govinda et al., IEEE TITS, July 2025 — explicitly identifies dynamic objective balancing as an open problem.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