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val="0"/>
          <w:sz w:val="28"/>
        </w:rPr>
        <w:t>Research Problem Statement</w:t>
      </w:r>
    </w:p>
    <w:p>
      <w:pPr>
        <w:spacing w:after="40"/>
        <w:jc w:val="center"/>
      </w:pPr>
      <w:r>
        <w:rPr>
          <w:rFonts w:ascii="Times New Roman" w:hAnsi="Times New Roman"/>
          <w:b w:val="0"/>
          <w:sz w:val="22"/>
        </w:rPr>
        <w:t>Ayesha Khalil  |  SP25-RCS-009/ATD  |  MS Computer Science</w:t>
      </w:r>
    </w:p>
    <w:p>
      <w:pPr>
        <w:spacing w:after="240"/>
        <w:jc w:val="center"/>
      </w:pPr>
      <w:r>
        <w:rPr>
          <w:rFonts w:ascii="Times New Roman" w:hAnsi="Times New Roman"/>
          <w:b w:val="0"/>
          <w:sz w:val="22"/>
        </w:rPr>
        <w:t>COMSATS University Islamabad, Abbottabad Campus  |  June 2026</w:t>
      </w:r>
    </w:p>
    <w:p>
      <w:pPr>
        <w:spacing w:after="200"/>
      </w:pPr>
      <w:r>
        <w:rPr>
          <w:rFonts w:ascii="Times New Roman" w:hAnsi="Times New Roman"/>
          <w:b/>
          <w:sz w:val="24"/>
        </w:rPr>
        <w:t xml:space="preserve">Title: </w:t>
      </w:r>
      <w:r>
        <w:rPr>
          <w:rFonts w:ascii="Times New Roman" w:hAnsi="Times New Roman"/>
          <w:b/>
          <w:sz w:val="24"/>
        </w:rPr>
        <w:t>Coupling-Aware Coordination: A Unified MAPPO Framework for Joint Dynamic Target Assignment and Conflict-Aware Collision Avoidance in Multi-UAV Systems</w:t>
      </w:r>
    </w:p>
    <w:p>
      <w:pPr>
        <w:spacing w:after="160"/>
      </w:pPr>
      <w:r>
        <w:rPr>
          <w:rFonts w:ascii="Times New Roman" w:hAnsi="Times New Roman"/>
          <w:b/>
          <w:sz w:val="24"/>
        </w:rPr>
        <w:t>Problem Statement</w:t>
      </w:r>
    </w:p>
    <w:p>
      <w:pPr>
        <w:spacing w:after="200"/>
      </w:pPr>
      <w:r>
        <w:rPr>
          <w:rFonts w:ascii="Times New Roman" w:hAnsi="Times New Roman"/>
          <w:b w:val="0"/>
          <w:sz w:val="24"/>
        </w:rPr>
        <w:t>In cooperative multi-UAV missions, target assignment and collision avoidance are structurally coupled rather than independent decisions: the route each drone takes toward its designated target directly determines how close it comes to other agents and obstacles, and any course correction made to avoid a collision changes which assignment that drone can realistically still complete. This coupling propagates through the swarm. When a single drone executes an evasive maneuver, its original high-priority target may go unattended; neighboring drones, sensing the vacancy, face immediate reassignment conflicts; and the trajectories they adjust in response introduce new inter-agent proximity risks — a chain in which one local deviation escalates into a mission-level coordination failure. The problem intensifies when target priorities shift mid-mission: a drone simultaneously committed to a prior assignment, displaced from the position optimal for a new one, and on a collision course with another agent faces two contradictions at once, with no mechanism in place to resolve them together within a single coordinated decision. Without explicitly accounting for how task allocation shapes each drone's spatial behavior and how safety-driven deviations feed back into task feasibility, multi-UAV systems cannot reliably maintain both high-value target coverage and collision-free operation under dynamic, real-time conditions.</w:t>
      </w:r>
    </w:p>
    <w:p>
      <w:pPr>
        <w:spacing w:after="200"/>
      </w:pPr>
      <w:r>
        <w:rPr>
          <w:rFonts w:ascii="Times New Roman" w:hAnsi="Times New Roman"/>
          <w:b w:val="0"/>
          <w:sz w:val="24"/>
        </w:rPr>
        <w:t>The two most advanced contributions to these sub-problems, DA-MAPPO (Sheng et al., 2026) and IGAT-MARL (Rezaee et al., 2026), each address one side of this coupling while leaving the other side unmodeled. DA-MAPPO integrates real-time Hungarian-algorithm-based target assignment directly into each drone's observation vector, and its ablation study confirms that this mechanism alone is responsible for mission success — removing it reduces success rate from over 90 percent to zero. However, collision avoidance in DA-MAPPO is encoded only as a static penalty term in the reward function, meaning that collision-driven course corrections are invisible to the assignment logic; the assignment continues directing the drone toward a target regardless of active conflict states. IGAT-MARL addresses the complementary problem: it models conflict neighborhoods through a sparse, collision-course-driven interaction graph, achieving 17 percent higher cumulative reward and 44 percent fewer unnecessary interaction edges than prior baselines. However, IGAT-MARL assumes target assignments are fixed and provides no goal structure; its drones are required only to avoid each other, not to reach any target. The consequences of avoidance maneuvers on assignment feasibility are therefore entirely unrepresentable within the policy. Both papers explicitly identify the other paper's contribution as their own stated future work, confirming that the coupling between their respective mechanisms has not been resolved.</w:t>
      </w:r>
    </w:p>
    <w:p>
      <w:pPr>
        <w:spacing w:after="200"/>
      </w:pPr>
      <w:r>
        <w:rPr>
          <w:rFonts w:ascii="Times New Roman" w:hAnsi="Times New Roman"/>
          <w:b/>
          <w:sz w:val="24"/>
        </w:rPr>
        <w:t xml:space="preserve">No existing framework provides a joint representation in which both assignment state and conflict neighborhood are simultaneously visible to a single shared policy. </w:t>
      </w:r>
      <w:r>
        <w:rPr>
          <w:rFonts w:ascii="Times New Roman" w:hAnsi="Times New Roman"/>
          <w:b w:val="0"/>
          <w:sz w:val="24"/>
        </w:rPr>
        <w:t>As a result, when both mechanisms operate together, the assignment module re-routes drones toward targets without awareness of active conflict states, while the conflict avoidance module forces course deviations without awareness of current assignments — a structural tension that becomes especially unstable in three-dimensional environments, where altitude introduces vertical collision courses absent from planar settings. A survey of deep reinforcement learning applications in autonomous systems (Govinda et al., IEEE TITS, 2025) independently identifies the absence of unified frameworks that account for both navigation efficiency and inter-agent coordination as a persisting limitation of the field. The prior work by Kong et al. (2024) attempted simultaneous target assignment and path planning using TD3, but operated on static targets in a two-dimensional environment without conflict-aware interaction modeling, leaving the three-dimensional, dynamic-target, and coupled-constraint setting unaddressed.</w:t>
      </w:r>
    </w:p>
    <w:p>
      <w:pPr>
        <w:spacing w:after="200"/>
      </w:pPr>
      <w:r>
        <w:rPr>
          <w:rFonts w:ascii="Times New Roman" w:hAnsi="Times New Roman"/>
          <w:b w:val="0"/>
          <w:sz w:val="24"/>
        </w:rPr>
        <w:t xml:space="preserve">The proposed research addresses this gap by designing a unified MAPPO-based framework in which each drone's observation jointly encodes its current target assignment — updated at every decision step via minimum-cost Hungarian allocation — and its current conflict neighborhood — defined by a dynamic graph connecting only drone pairs on a predicted collision course within a fixed time horizon. By making both constraints simultaneously visible within a single shared representation, the framework enables the policy to reason about how an assignment-directed action will affect conflict proximity, and how a conflict-driven course correction will affect assignment reachability, within the same decision. </w:t>
      </w:r>
      <w:r>
        <w:rPr>
          <w:rFonts w:ascii="Times New Roman" w:hAnsi="Times New Roman"/>
          <w:b/>
          <w:sz w:val="24"/>
        </w:rPr>
        <w:t>The research question is: does encoding both assignment state and conflict neighborhood in a single joint observation enable a unified MAPPO policy to maintain high mission success and low inter-agent collision rates in a three-dimensional environment with 5 to 8 drones, and do these two objectives reinforce or structurally undermine each other when resolved within a single coordinated policy?</w:t>
      </w:r>
    </w:p>
    <w:p>
      <w:pPr>
        <w:spacing w:after="120"/>
      </w:pPr>
      <w:r>
        <w:rPr>
          <w:rFonts w:ascii="Times New Roman" w:hAnsi="Times New Roman"/>
          <w:b/>
          <w:sz w:val="22"/>
        </w:rPr>
        <w:t>Key References</w:t>
      </w:r>
    </w:p>
    <w:p>
      <w:pPr>
        <w:spacing w:after="80"/>
      </w:pPr>
      <w:r>
        <w:rPr>
          <w:rFonts w:ascii="Times New Roman" w:hAnsi="Times New Roman"/>
          <w:b w:val="0"/>
          <w:sz w:val="20"/>
        </w:rPr>
        <w:t>Sheng, Y. et al. (2026). Dynamic Target Assignment and Cooperative Decision-Making for UAV Swarms Based on Multi-Agent Reinforcement Learning. IEEE Internet of Things Journal. [DA-MAPPO]</w:t>
      </w:r>
    </w:p>
    <w:p>
      <w:pPr>
        <w:spacing w:after="80"/>
      </w:pPr>
      <w:r>
        <w:rPr>
          <w:rFonts w:ascii="Times New Roman" w:hAnsi="Times New Roman"/>
          <w:b w:val="0"/>
          <w:sz w:val="20"/>
        </w:rPr>
        <w:t>Rezaee, M. R. et al. (2026). Efficient Multi-Agent Deep Reinforcement Learning Algorithm for Multi-UAV Collision Avoidance. Applied Soft Computing. [IGAT-MARL]</w:t>
      </w:r>
    </w:p>
    <w:p>
      <w:pPr>
        <w:spacing w:after="80"/>
      </w:pPr>
      <w:r>
        <w:rPr>
          <w:rFonts w:ascii="Times New Roman" w:hAnsi="Times New Roman"/>
          <w:b w:val="0"/>
          <w:sz w:val="20"/>
        </w:rPr>
        <w:t>Kong, X. et al. (2024). Multi-UAV Simultaneous Target Assignment and Path Planning Based on Deep Reinforcement Learning. Frontiers in Neurorobotics, 17.</w:t>
      </w:r>
    </w:p>
    <w:p>
      <w:pPr>
        <w:spacing w:after="80"/>
      </w:pPr>
      <w:r>
        <w:rPr>
          <w:rFonts w:ascii="Times New Roman" w:hAnsi="Times New Roman"/>
          <w:b w:val="0"/>
          <w:sz w:val="20"/>
        </w:rPr>
        <w:t>Govinda, S., Brik, B., &amp; Harous, S. (2025). A Survey on Deep Reinforcement Learning Applications in Autonomous Systems. IEEE Transactions on Intelligent Transportation Systems, 26(7).</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