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8"/>
        </w:rPr>
        <w:t>Research Problem Statement</w:t>
      </w:r>
    </w:p>
    <w:p>
      <w:pPr>
        <w:spacing w:after="200"/>
      </w:pPr>
      <w:r>
        <w:rPr>
          <w:b w:val="0"/>
          <w:sz w:val="22"/>
        </w:rPr>
        <w:t>Ayesha Khalil  |  SP25-RCS-009/ATD</w:t>
      </w:r>
    </w:p>
    <w:p>
      <w:pPr>
        <w:spacing w:after="80"/>
      </w:pPr>
      <w:r>
        <w:rPr>
          <w:b/>
          <w:sz w:val="24"/>
        </w:rPr>
        <w:t>Title: Learning to Prioritize: A Learned Priority Arbitration Mechanism for Joint Target Assignment and Collision Avoidance in Multi-UAV Coordination using MARL</w:t>
      </w:r>
    </w:p>
    <w:p>
      <w:pPr>
        <w:spacing w:after="200"/>
      </w:pPr>
      <w:r>
        <w:rPr>
          <w:b/>
          <w:sz w:val="24"/>
        </w:rPr>
        <w:t>Problem Statement</w:t>
      </w:r>
    </w:p>
    <w:p>
      <w:pPr>
        <w:spacing w:after="160"/>
      </w:pPr>
      <w:r>
        <w:rPr>
          <w:b w:val="0"/>
          <w:sz w:val="22"/>
        </w:rPr>
        <w:t>Multi-UAV systems operating in shared airspace face two simultaneous objectives that are individually well-studied but jointly unresolved: dynamic target assignment, which directs each drone toward mission-critical targets, and inter-agent collision avoidance, which prevents physical contact in dense airspace. Recent advances have produced strong solutions to each objective in isolation. DA-MAPPO (Sheng et al., 2026) achieves cooperative target assignment in multi-UAV swarms using a graph-based multi-agent reinforcement learning policy. IGAT-MARL (Rezaee et al., 2026) achieves collision avoidance using graph attention networks to model inter-agent conflict relationships. HPER-D3QN (Shen et al., 2026) demonstrates that dynamic, context-sensitive threat scoring — ranking collision risks by time-to-approach, distance, and aircraft type — significantly improves single-UAV navigation in heterogeneous joint airspace. STAAC (Yan et al., 2025) extends multi-agent coordination to scalable fixed-wing UAV fleets using spatial and temporal attention, achieving 0.34% collision rate in the most demanding test scenario with real-time hardware validation at 1.5ms inference. Each of these contributions advances one dimension of the coordination problem. None addresses how a unified policy should behave when both objectives are active and in direct conflict at the same decision step.</w:t>
      </w:r>
    </w:p>
    <w:p>
      <w:pPr>
        <w:spacing w:after="160"/>
      </w:pPr>
      <w:r>
        <w:rPr>
          <w:b w:val="0"/>
          <w:sz w:val="22"/>
        </w:rPr>
        <w:t xml:space="preserve">When both objectives are simultaneously active — when a drone is on course toward its assigned target and simultaneously on a collision trajectory with another drone — all existing frameworks resolve the conflict through a fixed reward coefficient set before training. In HPER-D3QN, the navigation reward carries coefficient C_goal = +2 and the collision penalty carries C_collision = −1, regardless of whether the collision is two seconds away or two minutes away. In STAAC, the flocking reward and the intruder avoidance penalty share the same fixed tuning constants P1 and P2 across all operational states. In DA-MAPPO and IGAT-MARL, the combined reward weights remain constant throughout training. Across all thirteen papers reviewed, spanning 2023 to 2026, none adjusts the balance between objectives based on the drone’s current state. </w:t>
      </w:r>
      <w:r>
        <w:rPr>
          <w:b/>
          <w:sz w:val="22"/>
        </w:rPr>
        <w:t>The structural gap is not the absence of methods for assignment or avoidance — it is the absence of a principled mechanism to determine, at each decision step, which objective should take relative priority given the drone’s real-time operational context.</w:t>
      </w:r>
    </w:p>
    <w:p>
      <w:pPr>
        <w:spacing w:after="160"/>
      </w:pPr>
      <w:r>
        <w:rPr>
          <w:b w:val="0"/>
          <w:sz w:val="22"/>
        </w:rPr>
        <w:t>A fixed coefficient is a globally averaged trade-off — it represents a single best guess about the relative importance of two objectives, averaged across all possible operational states. When a drone is navigating open airspace with no active collision threats, its assignment objective is clearly dominant and the avoidance term contributes little. When a drone is three seconds from a collision, its avoidance objective is clearly dominant and the assignment term should recede. A constant weight cannot represent this variation. The policy trained under fixed weights must learn a single trade-off that is simultaneously too conservative in open airspace and too permissive near collision. The DTPA mechanism in HPER-D3QN demonstrates that context-sensitive priority within the avoidance objective significantly improves performance — success rate drops by 9.27% when removed. This confirms that context sensitivity matters. The same principle, applied between objectives rather than within one, motivates this research.</w:t>
      </w:r>
    </w:p>
    <w:p>
      <w:pPr>
        <w:spacing w:after="160"/>
      </w:pPr>
      <w:r>
        <w:rPr>
          <w:b w:val="0"/>
          <w:sz w:val="22"/>
        </w:rPr>
        <w:t>Dynamic weighting of objectives has been studied in multi-objective reinforcement learning (MORL) through scalarization and separate value functions. However, these approaches address a different problem: selecting a preference vector before deployment to reflect a user-defined trade-off that remains constant during execution. They are designed for scenarios where the balance between objectives is a policy choice made at the system level. The problem here is different in kind — the relative importance of assignment and avoidance must change within a single flight, at each timestep, based on the drone's current collision imminence, target proximity, and neighborhood conflict density. This is not a preference to be selected before flight; it is a state-dependent decision to be made continuously during flight. Separate value functions in multi-agent settings also introduce training instability as each function depends on all other agents' evolving policies, making them ill-suited for cooperative MARL within a 12-month MS timeline.</w:t>
      </w:r>
    </w:p>
    <w:p>
      <w:pPr>
        <w:spacing w:after="160"/>
      </w:pPr>
      <w:r>
        <w:rPr>
          <w:b w:val="0"/>
          <w:sz w:val="22"/>
        </w:rPr>
      </w:r>
      <w:r>
        <w:rPr>
          <w:b/>
          <w:sz w:val="22"/>
        </w:rPr>
        <w:t>The research question is: Can a learned priority arbitration module — a small neural network jointly trained with a MAPPO backbone that takes time-to-collision, distance to assigned target, and conflict neighborhood density as inputs and outputs a dynamic weight α ∈ [0,1] at each decision step — outperform fixed-weight baselines in a 2D multi-UAV environment requiring simultaneous target assignment and collision avoidance?</w:t>
      </w:r>
    </w:p>
    <w:p>
      <w:pPr>
        <w:spacing w:after="280"/>
      </w:pPr>
      <w:r>
        <w:rPr>
          <w:b w:val="0"/>
          <w:sz w:val="22"/>
        </w:rPr>
        <w:t>The proposed mechanism — the Priority Arbitration Head — computes α from the agent’s current observation at each timestep and applies it as: Total Reward = α × r_assignment + (1−α) × r_avoidance. The module is trained end-to-end with the MAPPO actor network, requiring no separate training loop and no architectural change to the critic. The three inputs were selected based on validated signals in the reviewed literature: time-to-collision is the primary variable in HPER-D3QN’s DTPA mechanism; target distance is a standard navigation signal; conflict neighborhood density reflects the structure of active multi-agent risk. The hypothesis is evaluated through a direct ablation: learned α is compared against fixed α = 0.3, 0.5, 0.7, and 0.9, as well as against DA-MAPPO and IGAT-MARL as task-specific baselines. Both outcomes — learned arbitration outperforming fixed weights, or not — are interpretable and publishable, as each advances the field’s understanding of dynamic objective balancing in cooperative multi-UAV MARL.</w:t>
      </w:r>
    </w:p>
    <w:p>
      <w:pPr>
        <w:spacing w:after="80"/>
      </w:pPr>
      <w:r>
        <w:rPr>
          <w:b/>
          <w:sz w:val="22"/>
        </w:rPr>
        <w:t>Key References</w:t>
      </w:r>
    </w:p>
    <w:p>
      <w:pPr>
        <w:spacing w:after="80"/>
      </w:pPr>
      <w:r>
        <w:rPr>
          <w:b w:val="0"/>
          <w:sz w:val="22"/>
        </w:rPr>
        <w:t>Sheng, Z. et al. (2026). Dynamic Target Assignment and Cooperative Decision-Making for UAV Swarms Based on Multi-Agent Reinforcement Learning. [DA-MAPPO]</w:t>
      </w:r>
    </w:p>
    <w:p>
      <w:pPr>
        <w:spacing w:after="80"/>
      </w:pPr>
      <w:r>
        <w:rPr>
          <w:b w:val="0"/>
          <w:sz w:val="22"/>
        </w:rPr>
        <w:t>Rezaee, H. et al. (2026). Efficient Multi-Agent Deep Reinforcement Learning Algorithm for Multi UAV Collision Avoidance. [IGAT-MARL]</w:t>
      </w:r>
    </w:p>
    <w:p>
      <w:pPr>
        <w:spacing w:after="80"/>
      </w:pPr>
      <w:r>
        <w:rPr>
          <w:b w:val="0"/>
          <w:sz w:val="22"/>
        </w:rPr>
        <w:t>Shen, Y. et al. (2026). Deep reinforcement learning-based adaptive collision avoidance method for UAV in joint operational airspace. Defence Technology, 56, 142–159. [HPER-D3QN]</w:t>
      </w:r>
    </w:p>
    <w:p>
      <w:pPr>
        <w:spacing w:after="80"/>
      </w:pPr>
      <w:r>
        <w:rPr>
          <w:b w:val="0"/>
          <w:sz w:val="22"/>
        </w:rPr>
        <w:t>Yan, C. et al. (2025). Multi-Agent Reinforcement Learning with Spatial-Temporal Attention for Flocking with Collision Avoidance of a Scalable Fixed-Wing UAV Fleet. IEEE Transactions on Intelligent Transportation Systems, 26(2), 1769–1782. [STAAC]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