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186C" w14:textId="77777777" w:rsidR="001D34E9" w:rsidRDefault="00000000">
      <w:pPr>
        <w:spacing w:after="100"/>
        <w:jc w:val="center"/>
      </w:pPr>
      <w:r>
        <w:rPr>
          <w:b/>
          <w:sz w:val="22"/>
        </w:rPr>
        <w:t>Table 1. Summary of Related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"/>
        <w:gridCol w:w="2088"/>
        <w:gridCol w:w="3744"/>
        <w:gridCol w:w="3024"/>
        <w:gridCol w:w="5544"/>
      </w:tblGrid>
      <w:tr w:rsidR="001D34E9" w14:paraId="6A81901C" w14:textId="77777777">
        <w:tc>
          <w:tcPr>
            <w:tcW w:w="547" w:type="dxa"/>
            <w:shd w:val="clear" w:color="auto" w:fill="1F3864"/>
          </w:tcPr>
          <w:p w14:paraId="44B2C711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w="2088" w:type="dxa"/>
            <w:shd w:val="clear" w:color="auto" w:fill="1F3864"/>
          </w:tcPr>
          <w:p w14:paraId="198BBD3B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Author(s) &amp; Year</w:t>
            </w:r>
          </w:p>
        </w:tc>
        <w:tc>
          <w:tcPr>
            <w:tcW w:w="3744" w:type="dxa"/>
            <w:shd w:val="clear" w:color="auto" w:fill="1F3864"/>
          </w:tcPr>
          <w:p w14:paraId="20E7430C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3024" w:type="dxa"/>
            <w:shd w:val="clear" w:color="auto" w:fill="1F3864"/>
          </w:tcPr>
          <w:p w14:paraId="6303E931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Key Result</w:t>
            </w:r>
          </w:p>
        </w:tc>
        <w:tc>
          <w:tcPr>
            <w:tcW w:w="5544" w:type="dxa"/>
            <w:shd w:val="clear" w:color="auto" w:fill="1F3864"/>
          </w:tcPr>
          <w:p w14:paraId="2815E1BB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Gap</w:t>
            </w:r>
          </w:p>
        </w:tc>
      </w:tr>
      <w:tr w:rsidR="001D34E9" w14:paraId="2F94EAD0" w14:textId="77777777">
        <w:tc>
          <w:tcPr>
            <w:tcW w:w="5544" w:type="dxa"/>
            <w:gridSpan w:val="5"/>
            <w:shd w:val="clear" w:color="auto" w:fill="2C3E6B"/>
          </w:tcPr>
          <w:p w14:paraId="07825F76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SURVEYS &amp; THEORETICAL FOUNDATIONS</w:t>
            </w:r>
          </w:p>
        </w:tc>
      </w:tr>
      <w:tr w:rsidR="001D34E9" w14:paraId="2B57B91E" w14:textId="77777777">
        <w:tc>
          <w:tcPr>
            <w:tcW w:w="547" w:type="dxa"/>
            <w:shd w:val="clear" w:color="auto" w:fill="FFFFFF"/>
          </w:tcPr>
          <w:p w14:paraId="7F010932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[11]</w:t>
            </w:r>
          </w:p>
        </w:tc>
        <w:tc>
          <w:tcPr>
            <w:tcW w:w="2088" w:type="dxa"/>
            <w:shd w:val="clear" w:color="auto" w:fill="FFFFFF"/>
          </w:tcPr>
          <w:p w14:paraId="65CAC8FC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Govinda et al.</w:t>
            </w:r>
            <w:r>
              <w:rPr>
                <w:sz w:val="18"/>
              </w:rPr>
              <w:br/>
              <w:t>(2025)</w:t>
            </w:r>
          </w:p>
        </w:tc>
        <w:tc>
          <w:tcPr>
            <w:tcW w:w="3744" w:type="dxa"/>
            <w:shd w:val="clear" w:color="auto" w:fill="FFFFFF"/>
          </w:tcPr>
          <w:p w14:paraId="2F8D551F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Systematic review of DRL in UAV systems</w:t>
            </w:r>
          </w:p>
        </w:tc>
        <w:tc>
          <w:tcPr>
            <w:tcW w:w="3024" w:type="dxa"/>
            <w:shd w:val="clear" w:color="auto" w:fill="FFFFFF"/>
          </w:tcPr>
          <w:p w14:paraId="5C075D7A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No unified framework for navigation + coordination</w:t>
            </w:r>
          </w:p>
        </w:tc>
        <w:tc>
          <w:tcPr>
            <w:tcW w:w="5544" w:type="dxa"/>
            <w:shd w:val="clear" w:color="auto" w:fill="FFF8E1"/>
          </w:tcPr>
          <w:p w14:paraId="2199FBA5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Survey only; no algorithm proposed</w:t>
            </w:r>
          </w:p>
        </w:tc>
      </w:tr>
      <w:tr w:rsidR="001D34E9" w14:paraId="421AC551" w14:textId="77777777">
        <w:tc>
          <w:tcPr>
            <w:tcW w:w="547" w:type="dxa"/>
            <w:shd w:val="clear" w:color="auto" w:fill="EEF2FA"/>
          </w:tcPr>
          <w:p w14:paraId="5F657502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[23]</w:t>
            </w:r>
          </w:p>
        </w:tc>
        <w:tc>
          <w:tcPr>
            <w:tcW w:w="2088" w:type="dxa"/>
            <w:shd w:val="clear" w:color="auto" w:fill="EEF2FA"/>
          </w:tcPr>
          <w:p w14:paraId="5246C802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Aggarwal &amp;</w:t>
            </w:r>
            <w:r>
              <w:rPr>
                <w:sz w:val="18"/>
              </w:rPr>
              <w:br/>
              <w:t>Kumar (2020)</w:t>
            </w:r>
          </w:p>
        </w:tc>
        <w:tc>
          <w:tcPr>
            <w:tcW w:w="3744" w:type="dxa"/>
            <w:shd w:val="clear" w:color="auto" w:fill="EEF2FA"/>
          </w:tcPr>
          <w:p w14:paraId="0073DF5B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Review of UAV path-planning algorithms</w:t>
            </w:r>
          </w:p>
        </w:tc>
        <w:tc>
          <w:tcPr>
            <w:tcW w:w="3024" w:type="dxa"/>
            <w:shd w:val="clear" w:color="auto" w:fill="EEF2FA"/>
          </w:tcPr>
          <w:p w14:paraId="784C4560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DRL identified as best for dynamic environments</w:t>
            </w:r>
          </w:p>
        </w:tc>
        <w:tc>
          <w:tcPr>
            <w:tcW w:w="5544" w:type="dxa"/>
            <w:shd w:val="clear" w:color="auto" w:fill="FFF8E1"/>
          </w:tcPr>
          <w:p w14:paraId="210E713C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Survey only; no multi-agent coverage</w:t>
            </w:r>
          </w:p>
        </w:tc>
      </w:tr>
      <w:tr w:rsidR="001D34E9" w14:paraId="2F050B9A" w14:textId="77777777">
        <w:tc>
          <w:tcPr>
            <w:tcW w:w="547" w:type="dxa"/>
            <w:shd w:val="clear" w:color="auto" w:fill="FFFFFF"/>
          </w:tcPr>
          <w:p w14:paraId="181088F3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[24]</w:t>
            </w:r>
          </w:p>
        </w:tc>
        <w:tc>
          <w:tcPr>
            <w:tcW w:w="2088" w:type="dxa"/>
            <w:shd w:val="clear" w:color="auto" w:fill="FFFFFF"/>
          </w:tcPr>
          <w:p w14:paraId="4D62818E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Oliehoek &amp;</w:t>
            </w:r>
            <w:r>
              <w:rPr>
                <w:sz w:val="18"/>
              </w:rPr>
              <w:br/>
              <w:t>Amato (2016)</w:t>
            </w:r>
          </w:p>
        </w:tc>
        <w:tc>
          <w:tcPr>
            <w:tcW w:w="3744" w:type="dxa"/>
            <w:shd w:val="clear" w:color="auto" w:fill="FFFFFF"/>
          </w:tcPr>
          <w:p w14:paraId="57111607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Formal Dec-POMDP framework for multi-agent coordination</w:t>
            </w:r>
          </w:p>
        </w:tc>
        <w:tc>
          <w:tcPr>
            <w:tcW w:w="3024" w:type="dxa"/>
            <w:shd w:val="clear" w:color="auto" w:fill="FFFFFF"/>
          </w:tcPr>
          <w:p w14:paraId="4586E488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Standard formulation used by all MARL UAV papers</w:t>
            </w:r>
          </w:p>
        </w:tc>
        <w:tc>
          <w:tcPr>
            <w:tcW w:w="5544" w:type="dxa"/>
            <w:shd w:val="clear" w:color="auto" w:fill="FFF8E1"/>
          </w:tcPr>
          <w:p w14:paraId="62FA1503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Theoretical only; intractable for large state spaces</w:t>
            </w:r>
          </w:p>
        </w:tc>
      </w:tr>
      <w:tr w:rsidR="001D34E9" w14:paraId="70AB31DA" w14:textId="77777777">
        <w:tc>
          <w:tcPr>
            <w:tcW w:w="547" w:type="dxa"/>
            <w:shd w:val="clear" w:color="auto" w:fill="EEF2FA"/>
          </w:tcPr>
          <w:p w14:paraId="6F9AE1EB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[25]</w:t>
            </w:r>
          </w:p>
        </w:tc>
        <w:tc>
          <w:tcPr>
            <w:tcW w:w="2088" w:type="dxa"/>
            <w:shd w:val="clear" w:color="auto" w:fill="EEF2FA"/>
          </w:tcPr>
          <w:p w14:paraId="23D9DF72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Gronauer &amp;</w:t>
            </w:r>
            <w:r>
              <w:rPr>
                <w:sz w:val="18"/>
              </w:rPr>
              <w:br/>
              <w:t>Diepold (2022)</w:t>
            </w:r>
          </w:p>
        </w:tc>
        <w:tc>
          <w:tcPr>
            <w:tcW w:w="3744" w:type="dxa"/>
            <w:shd w:val="clear" w:color="auto" w:fill="EEF2FA"/>
          </w:tcPr>
          <w:p w14:paraId="785DE19E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Survey and taxonomy of MARL methods</w:t>
            </w:r>
          </w:p>
        </w:tc>
        <w:tc>
          <w:tcPr>
            <w:tcW w:w="3024" w:type="dxa"/>
            <w:shd w:val="clear" w:color="auto" w:fill="EEF2FA"/>
          </w:tcPr>
          <w:p w14:paraId="44A555FF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Scalability and partial observability as top open challenges</w:t>
            </w:r>
          </w:p>
        </w:tc>
        <w:tc>
          <w:tcPr>
            <w:tcW w:w="5544" w:type="dxa"/>
            <w:shd w:val="clear" w:color="auto" w:fill="FFF8E1"/>
          </w:tcPr>
          <w:p w14:paraId="15E0EB2F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Survey only; no empirical contribution</w:t>
            </w:r>
          </w:p>
        </w:tc>
      </w:tr>
      <w:tr w:rsidR="001D34E9" w14:paraId="2ABCF207" w14:textId="77777777">
        <w:tc>
          <w:tcPr>
            <w:tcW w:w="5544" w:type="dxa"/>
            <w:gridSpan w:val="5"/>
            <w:shd w:val="clear" w:color="auto" w:fill="1B5E20"/>
          </w:tcPr>
          <w:p w14:paraId="72A478D8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FOUNDATIONAL RL ALGORITHMS</w:t>
            </w:r>
          </w:p>
        </w:tc>
      </w:tr>
      <w:tr w:rsidR="001D34E9" w14:paraId="116E9860" w14:textId="77777777">
        <w:tc>
          <w:tcPr>
            <w:tcW w:w="547" w:type="dxa"/>
            <w:shd w:val="clear" w:color="auto" w:fill="FFFFFF"/>
          </w:tcPr>
          <w:p w14:paraId="2D9DBE40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[12]</w:t>
            </w:r>
          </w:p>
        </w:tc>
        <w:tc>
          <w:tcPr>
            <w:tcW w:w="2088" w:type="dxa"/>
            <w:shd w:val="clear" w:color="auto" w:fill="FFFFFF"/>
          </w:tcPr>
          <w:p w14:paraId="17987093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Mnih et al.</w:t>
            </w:r>
            <w:r>
              <w:rPr>
                <w:sz w:val="18"/>
              </w:rPr>
              <w:br/>
              <w:t>(2015)</w:t>
            </w:r>
          </w:p>
        </w:tc>
        <w:tc>
          <w:tcPr>
            <w:tcW w:w="3744" w:type="dxa"/>
            <w:shd w:val="clear" w:color="auto" w:fill="FFFFFF"/>
          </w:tcPr>
          <w:p w14:paraId="4E236A47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DQN: CNN + experience replay + target network</w:t>
            </w:r>
          </w:p>
        </w:tc>
        <w:tc>
          <w:tcPr>
            <w:tcW w:w="3024" w:type="dxa"/>
            <w:shd w:val="clear" w:color="auto" w:fill="FFFFFF"/>
          </w:tcPr>
          <w:p w14:paraId="3FB10C72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Human-level on 29/49 Atari games</w:t>
            </w:r>
          </w:p>
        </w:tc>
        <w:tc>
          <w:tcPr>
            <w:tcW w:w="5544" w:type="dxa"/>
            <w:shd w:val="clear" w:color="auto" w:fill="FFF8E1"/>
          </w:tcPr>
          <w:p w14:paraId="0637456A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Discrete actions only; no multi-agent extension</w:t>
            </w:r>
          </w:p>
        </w:tc>
      </w:tr>
      <w:tr w:rsidR="001D34E9" w14:paraId="176BB8BD" w14:textId="77777777">
        <w:tc>
          <w:tcPr>
            <w:tcW w:w="547" w:type="dxa"/>
            <w:shd w:val="clear" w:color="auto" w:fill="EEF2FA"/>
          </w:tcPr>
          <w:p w14:paraId="5AD85C70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[13]</w:t>
            </w:r>
          </w:p>
        </w:tc>
        <w:tc>
          <w:tcPr>
            <w:tcW w:w="2088" w:type="dxa"/>
            <w:shd w:val="clear" w:color="auto" w:fill="EEF2FA"/>
          </w:tcPr>
          <w:p w14:paraId="395F0C0E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Van Hasselt et al.</w:t>
            </w:r>
            <w:r>
              <w:rPr>
                <w:sz w:val="18"/>
              </w:rPr>
              <w:br/>
              <w:t>(2016)</w:t>
            </w:r>
          </w:p>
        </w:tc>
        <w:tc>
          <w:tcPr>
            <w:tcW w:w="3744" w:type="dxa"/>
            <w:shd w:val="clear" w:color="auto" w:fill="EEF2FA"/>
          </w:tcPr>
          <w:p w14:paraId="0E5E46FC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Double DQN: decoupled action selection and evaluation</w:t>
            </w:r>
          </w:p>
        </w:tc>
        <w:tc>
          <w:tcPr>
            <w:tcW w:w="3024" w:type="dxa"/>
            <w:shd w:val="clear" w:color="auto" w:fill="EEF2FA"/>
          </w:tcPr>
          <w:p w14:paraId="51D5F97A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Reduces Q-value overestimation over DQN</w:t>
            </w:r>
          </w:p>
        </w:tc>
        <w:tc>
          <w:tcPr>
            <w:tcW w:w="5544" w:type="dxa"/>
            <w:shd w:val="clear" w:color="auto" w:fill="FFF8E1"/>
          </w:tcPr>
          <w:p w14:paraId="18D0A58C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Discrete actions only</w:t>
            </w:r>
          </w:p>
        </w:tc>
      </w:tr>
      <w:tr w:rsidR="001D34E9" w14:paraId="32F3EC15" w14:textId="77777777">
        <w:tc>
          <w:tcPr>
            <w:tcW w:w="547" w:type="dxa"/>
            <w:shd w:val="clear" w:color="auto" w:fill="FFFFFF"/>
          </w:tcPr>
          <w:p w14:paraId="1A9AEC13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[14]</w:t>
            </w:r>
          </w:p>
        </w:tc>
        <w:tc>
          <w:tcPr>
            <w:tcW w:w="2088" w:type="dxa"/>
            <w:shd w:val="clear" w:color="auto" w:fill="FFFFFF"/>
          </w:tcPr>
          <w:p w14:paraId="445F5E55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Wang et al.</w:t>
            </w:r>
            <w:r>
              <w:rPr>
                <w:sz w:val="18"/>
              </w:rPr>
              <w:br/>
              <w:t>(2016)</w:t>
            </w:r>
          </w:p>
        </w:tc>
        <w:tc>
          <w:tcPr>
            <w:tcW w:w="3744" w:type="dxa"/>
            <w:shd w:val="clear" w:color="auto" w:fill="FFFFFF"/>
          </w:tcPr>
          <w:p w14:paraId="19B2BD05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Dueling Network: V(s) + A(s,a) streams</w:t>
            </w:r>
          </w:p>
        </w:tc>
        <w:tc>
          <w:tcPr>
            <w:tcW w:w="3024" w:type="dxa"/>
            <w:shd w:val="clear" w:color="auto" w:fill="FFFFFF"/>
          </w:tcPr>
          <w:p w14:paraId="790A2FFF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Better generalisation when action choice matters less</w:t>
            </w:r>
          </w:p>
        </w:tc>
        <w:tc>
          <w:tcPr>
            <w:tcW w:w="5544" w:type="dxa"/>
            <w:shd w:val="clear" w:color="auto" w:fill="FFF8E1"/>
          </w:tcPr>
          <w:p w14:paraId="16E038E8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Discrete actions only; no multi-agent extension</w:t>
            </w:r>
          </w:p>
        </w:tc>
      </w:tr>
      <w:tr w:rsidR="001D34E9" w14:paraId="02DDC395" w14:textId="77777777">
        <w:tc>
          <w:tcPr>
            <w:tcW w:w="547" w:type="dxa"/>
            <w:shd w:val="clear" w:color="auto" w:fill="EEF2FA"/>
          </w:tcPr>
          <w:p w14:paraId="52B4A643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[15]</w:t>
            </w:r>
          </w:p>
        </w:tc>
        <w:tc>
          <w:tcPr>
            <w:tcW w:w="2088" w:type="dxa"/>
            <w:shd w:val="clear" w:color="auto" w:fill="EEF2FA"/>
          </w:tcPr>
          <w:p w14:paraId="775B40DD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Schaul et al.</w:t>
            </w:r>
            <w:r>
              <w:rPr>
                <w:sz w:val="18"/>
              </w:rPr>
              <w:br/>
              <w:t>(2016)</w:t>
            </w:r>
          </w:p>
        </w:tc>
        <w:tc>
          <w:tcPr>
            <w:tcW w:w="3744" w:type="dxa"/>
            <w:shd w:val="clear" w:color="auto" w:fill="EEF2FA"/>
          </w:tcPr>
          <w:p w14:paraId="02D4470A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Prioritized Experience Replay (PER): TD-error sampling</w:t>
            </w:r>
          </w:p>
        </w:tc>
        <w:tc>
          <w:tcPr>
            <w:tcW w:w="3024" w:type="dxa"/>
            <w:shd w:val="clear" w:color="auto" w:fill="EEF2FA"/>
          </w:tcPr>
          <w:p w14:paraId="24B5FB90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Faster convergence from rare informative transitions</w:t>
            </w:r>
          </w:p>
        </w:tc>
        <w:tc>
          <w:tcPr>
            <w:tcW w:w="5544" w:type="dxa"/>
            <w:shd w:val="clear" w:color="auto" w:fill="FFF8E1"/>
          </w:tcPr>
          <w:p w14:paraId="74808E3E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Adds overhead; sensitive to hyperparameters</w:t>
            </w:r>
          </w:p>
        </w:tc>
      </w:tr>
      <w:tr w:rsidR="001D34E9" w14:paraId="20B34C94" w14:textId="77777777">
        <w:tc>
          <w:tcPr>
            <w:tcW w:w="547" w:type="dxa"/>
            <w:shd w:val="clear" w:color="auto" w:fill="FFFFFF"/>
          </w:tcPr>
          <w:p w14:paraId="10A4E38E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[16]</w:t>
            </w:r>
          </w:p>
        </w:tc>
        <w:tc>
          <w:tcPr>
            <w:tcW w:w="2088" w:type="dxa"/>
            <w:shd w:val="clear" w:color="auto" w:fill="FFFFFF"/>
          </w:tcPr>
          <w:p w14:paraId="20BA6973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Schulman et al.</w:t>
            </w:r>
            <w:r>
              <w:rPr>
                <w:sz w:val="18"/>
              </w:rPr>
              <w:br/>
              <w:t>(2017)</w:t>
            </w:r>
          </w:p>
        </w:tc>
        <w:tc>
          <w:tcPr>
            <w:tcW w:w="3744" w:type="dxa"/>
            <w:shd w:val="clear" w:color="auto" w:fill="FFFFFF"/>
          </w:tcPr>
          <w:p w14:paraId="2A6C275D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PPO: clipped surrogate objective</w:t>
            </w:r>
          </w:p>
        </w:tc>
        <w:tc>
          <w:tcPr>
            <w:tcW w:w="3024" w:type="dxa"/>
            <w:shd w:val="clear" w:color="auto" w:fill="FFFFFF"/>
          </w:tcPr>
          <w:p w14:paraId="122ED24F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Stable baseline for continuous and discrete control</w:t>
            </w:r>
          </w:p>
        </w:tc>
        <w:tc>
          <w:tcPr>
            <w:tcW w:w="5544" w:type="dxa"/>
            <w:shd w:val="clear" w:color="auto" w:fill="FFF8E1"/>
          </w:tcPr>
          <w:p w14:paraId="2946EB08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On-policy; sample inefficient</w:t>
            </w:r>
          </w:p>
        </w:tc>
      </w:tr>
      <w:tr w:rsidR="001D34E9" w14:paraId="51667DA5" w14:textId="77777777">
        <w:tc>
          <w:tcPr>
            <w:tcW w:w="547" w:type="dxa"/>
            <w:shd w:val="clear" w:color="auto" w:fill="EEF2FA"/>
          </w:tcPr>
          <w:p w14:paraId="198D85DC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[17]</w:t>
            </w:r>
          </w:p>
        </w:tc>
        <w:tc>
          <w:tcPr>
            <w:tcW w:w="2088" w:type="dxa"/>
            <w:shd w:val="clear" w:color="auto" w:fill="EEF2FA"/>
          </w:tcPr>
          <w:p w14:paraId="65551652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Lowe et al.</w:t>
            </w:r>
            <w:r>
              <w:rPr>
                <w:sz w:val="18"/>
              </w:rPr>
              <w:br/>
              <w:t>(2017)</w:t>
            </w:r>
          </w:p>
        </w:tc>
        <w:tc>
          <w:tcPr>
            <w:tcW w:w="3744" w:type="dxa"/>
            <w:shd w:val="clear" w:color="auto" w:fill="EEF2FA"/>
          </w:tcPr>
          <w:p w14:paraId="0C4639FC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MADDPG: centralised critic + decentralised actor</w:t>
            </w:r>
          </w:p>
        </w:tc>
        <w:tc>
          <w:tcPr>
            <w:tcW w:w="3024" w:type="dxa"/>
            <w:shd w:val="clear" w:color="auto" w:fill="EEF2FA"/>
          </w:tcPr>
          <w:p w14:paraId="7D2B2520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Stable training across cooperative and competitive tasks</w:t>
            </w:r>
          </w:p>
        </w:tc>
        <w:tc>
          <w:tcPr>
            <w:tcW w:w="5544" w:type="dxa"/>
            <w:shd w:val="clear" w:color="auto" w:fill="FFF8E1"/>
          </w:tcPr>
          <w:p w14:paraId="7B3C3FBF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Scales poorly with number of agents</w:t>
            </w:r>
          </w:p>
        </w:tc>
      </w:tr>
      <w:tr w:rsidR="001D34E9" w14:paraId="227031B5" w14:textId="77777777">
        <w:tc>
          <w:tcPr>
            <w:tcW w:w="547" w:type="dxa"/>
            <w:shd w:val="clear" w:color="auto" w:fill="FFFFFF"/>
          </w:tcPr>
          <w:p w14:paraId="63EEF523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[18]</w:t>
            </w:r>
          </w:p>
        </w:tc>
        <w:tc>
          <w:tcPr>
            <w:tcW w:w="2088" w:type="dxa"/>
            <w:shd w:val="clear" w:color="auto" w:fill="FFFFFF"/>
          </w:tcPr>
          <w:p w14:paraId="613F2385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Fujimoto et al.</w:t>
            </w:r>
            <w:r>
              <w:rPr>
                <w:sz w:val="18"/>
              </w:rPr>
              <w:br/>
              <w:t>(2018)</w:t>
            </w:r>
          </w:p>
        </w:tc>
        <w:tc>
          <w:tcPr>
            <w:tcW w:w="3744" w:type="dxa"/>
            <w:shd w:val="clear" w:color="auto" w:fill="FFFFFF"/>
          </w:tcPr>
          <w:p w14:paraId="4E427D0F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TD3: clipped double Q + delayed updates + target smoothing</w:t>
            </w:r>
          </w:p>
        </w:tc>
        <w:tc>
          <w:tcPr>
            <w:tcW w:w="3024" w:type="dxa"/>
            <w:shd w:val="clear" w:color="auto" w:fill="FFFFFF"/>
          </w:tcPr>
          <w:p w14:paraId="67C476D2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State-of-the-art on continuous control benchmarks</w:t>
            </w:r>
          </w:p>
        </w:tc>
        <w:tc>
          <w:tcPr>
            <w:tcW w:w="5544" w:type="dxa"/>
            <w:shd w:val="clear" w:color="auto" w:fill="FFF8E1"/>
          </w:tcPr>
          <w:p w14:paraId="770F5657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Not directly extendable to cooperative MARL</w:t>
            </w:r>
          </w:p>
        </w:tc>
      </w:tr>
      <w:tr w:rsidR="001D34E9" w14:paraId="30C3CDE6" w14:textId="77777777">
        <w:tc>
          <w:tcPr>
            <w:tcW w:w="547" w:type="dxa"/>
            <w:shd w:val="clear" w:color="auto" w:fill="EEF2FA"/>
          </w:tcPr>
          <w:p w14:paraId="452FA806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[19]</w:t>
            </w:r>
          </w:p>
        </w:tc>
        <w:tc>
          <w:tcPr>
            <w:tcW w:w="2088" w:type="dxa"/>
            <w:shd w:val="clear" w:color="auto" w:fill="EEF2FA"/>
          </w:tcPr>
          <w:p w14:paraId="504DBBA8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Rashid et al.</w:t>
            </w:r>
            <w:r>
              <w:rPr>
                <w:sz w:val="18"/>
              </w:rPr>
              <w:br/>
              <w:t>(2018)</w:t>
            </w:r>
          </w:p>
        </w:tc>
        <w:tc>
          <w:tcPr>
            <w:tcW w:w="3744" w:type="dxa"/>
            <w:shd w:val="clear" w:color="auto" w:fill="EEF2FA"/>
          </w:tcPr>
          <w:p w14:paraId="5124EED4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QMIX: monotonic joint Q-value factorisation</w:t>
            </w:r>
          </w:p>
        </w:tc>
        <w:tc>
          <w:tcPr>
            <w:tcW w:w="3024" w:type="dxa"/>
            <w:shd w:val="clear" w:color="auto" w:fill="EEF2FA"/>
          </w:tcPr>
          <w:p w14:paraId="10EB09D8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Outperforms IQL and VDN on cooperative tasks</w:t>
            </w:r>
          </w:p>
        </w:tc>
        <w:tc>
          <w:tcPr>
            <w:tcW w:w="5544" w:type="dxa"/>
            <w:shd w:val="clear" w:color="auto" w:fill="FFF8E1"/>
          </w:tcPr>
          <w:p w14:paraId="23E55A3E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Monotonicity limits representational capacity</w:t>
            </w:r>
          </w:p>
        </w:tc>
      </w:tr>
      <w:tr w:rsidR="001D34E9" w14:paraId="3346B5E0" w14:textId="77777777">
        <w:tc>
          <w:tcPr>
            <w:tcW w:w="547" w:type="dxa"/>
            <w:shd w:val="clear" w:color="auto" w:fill="FFFFFF"/>
          </w:tcPr>
          <w:p w14:paraId="62BEAE12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[20]</w:t>
            </w:r>
          </w:p>
        </w:tc>
        <w:tc>
          <w:tcPr>
            <w:tcW w:w="2088" w:type="dxa"/>
            <w:shd w:val="clear" w:color="auto" w:fill="FFFFFF"/>
          </w:tcPr>
          <w:p w14:paraId="4828C740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Yang et al.</w:t>
            </w:r>
            <w:r>
              <w:rPr>
                <w:sz w:val="18"/>
              </w:rPr>
              <w:br/>
              <w:t>(2018)</w:t>
            </w:r>
          </w:p>
        </w:tc>
        <w:tc>
          <w:tcPr>
            <w:tcW w:w="3744" w:type="dxa"/>
            <w:shd w:val="clear" w:color="auto" w:fill="FFFFFF"/>
          </w:tcPr>
          <w:p w14:paraId="5F70AC81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Mean Field MARL: pairwise → mean-field interaction</w:t>
            </w:r>
          </w:p>
        </w:tc>
        <w:tc>
          <w:tcPr>
            <w:tcW w:w="3024" w:type="dxa"/>
            <w:shd w:val="clear" w:color="auto" w:fill="FFFFFF"/>
          </w:tcPr>
          <w:p w14:paraId="0096AAEE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Scales to 200 agents with linear complexity</w:t>
            </w:r>
          </w:p>
        </w:tc>
        <w:tc>
          <w:tcPr>
            <w:tcW w:w="5544" w:type="dxa"/>
            <w:shd w:val="clear" w:color="auto" w:fill="FFF8E1"/>
          </w:tcPr>
          <w:p w14:paraId="2F282CAD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Loses individual agent detail in heterogeneous swarms</w:t>
            </w:r>
          </w:p>
        </w:tc>
      </w:tr>
      <w:tr w:rsidR="001D34E9" w14:paraId="0575F757" w14:textId="77777777">
        <w:tc>
          <w:tcPr>
            <w:tcW w:w="547" w:type="dxa"/>
            <w:shd w:val="clear" w:color="auto" w:fill="EEF2FA"/>
          </w:tcPr>
          <w:p w14:paraId="3ABC2D3A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[21]</w:t>
            </w:r>
          </w:p>
        </w:tc>
        <w:tc>
          <w:tcPr>
            <w:tcW w:w="2088" w:type="dxa"/>
            <w:shd w:val="clear" w:color="auto" w:fill="EEF2FA"/>
          </w:tcPr>
          <w:p w14:paraId="601FD9E8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Yu et al.</w:t>
            </w:r>
            <w:r>
              <w:rPr>
                <w:sz w:val="18"/>
              </w:rPr>
              <w:br/>
              <w:t>(2022)</w:t>
            </w:r>
          </w:p>
        </w:tc>
        <w:tc>
          <w:tcPr>
            <w:tcW w:w="3744" w:type="dxa"/>
            <w:shd w:val="clear" w:color="auto" w:fill="EEF2FA"/>
          </w:tcPr>
          <w:p w14:paraId="40F7749E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MAPPO: PPO + shared centralised critic</w:t>
            </w:r>
          </w:p>
        </w:tc>
        <w:tc>
          <w:tcPr>
            <w:tcW w:w="3024" w:type="dxa"/>
            <w:shd w:val="clear" w:color="auto" w:fill="EEF2FA"/>
          </w:tcPr>
          <w:p w14:paraId="7041BB58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Competitive with QMIX; widely adopted MARL baseline</w:t>
            </w:r>
          </w:p>
        </w:tc>
        <w:tc>
          <w:tcPr>
            <w:tcW w:w="5544" w:type="dxa"/>
            <w:shd w:val="clear" w:color="auto" w:fill="FFF8E1"/>
          </w:tcPr>
          <w:p w14:paraId="24BD1907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On-policy; requires global state during training</w:t>
            </w:r>
          </w:p>
        </w:tc>
      </w:tr>
      <w:tr w:rsidR="001D34E9" w14:paraId="4C21AC7A" w14:textId="77777777">
        <w:tc>
          <w:tcPr>
            <w:tcW w:w="547" w:type="dxa"/>
            <w:shd w:val="clear" w:color="auto" w:fill="FFFFFF"/>
          </w:tcPr>
          <w:p w14:paraId="199E7742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[22]</w:t>
            </w:r>
          </w:p>
        </w:tc>
        <w:tc>
          <w:tcPr>
            <w:tcW w:w="2088" w:type="dxa"/>
            <w:shd w:val="clear" w:color="auto" w:fill="FFFFFF"/>
          </w:tcPr>
          <w:p w14:paraId="6F51F0B9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Sunehag et al.</w:t>
            </w:r>
            <w:r>
              <w:rPr>
                <w:sz w:val="18"/>
              </w:rPr>
              <w:br/>
              <w:t>(2018)</w:t>
            </w:r>
          </w:p>
        </w:tc>
        <w:tc>
          <w:tcPr>
            <w:tcW w:w="3744" w:type="dxa"/>
            <w:shd w:val="clear" w:color="auto" w:fill="FFFFFF"/>
          </w:tcPr>
          <w:p w14:paraId="358CC991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VDN: additive per-agent Q-value decomposition</w:t>
            </w:r>
          </w:p>
        </w:tc>
        <w:tc>
          <w:tcPr>
            <w:tcW w:w="3024" w:type="dxa"/>
            <w:shd w:val="clear" w:color="auto" w:fill="FFFFFF"/>
          </w:tcPr>
          <w:p w14:paraId="751D89C7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Outperforms independent Q-learning; simple and tractable</w:t>
            </w:r>
          </w:p>
        </w:tc>
        <w:tc>
          <w:tcPr>
            <w:tcW w:w="5544" w:type="dxa"/>
            <w:shd w:val="clear" w:color="auto" w:fill="FFF8E1"/>
          </w:tcPr>
          <w:p w14:paraId="093B89C9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Too restrictive for complex inter-agent dependencies</w:t>
            </w:r>
          </w:p>
        </w:tc>
      </w:tr>
      <w:tr w:rsidR="001D34E9" w14:paraId="08D213FA" w14:textId="77777777">
        <w:tc>
          <w:tcPr>
            <w:tcW w:w="5544" w:type="dxa"/>
            <w:gridSpan w:val="5"/>
            <w:shd w:val="clear" w:color="auto" w:fill="4A1486"/>
          </w:tcPr>
          <w:p w14:paraId="42E29099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UAV COORDINATION PAPERS</w:t>
            </w:r>
          </w:p>
        </w:tc>
      </w:tr>
      <w:tr w:rsidR="001D34E9" w14:paraId="5C0CDAF7" w14:textId="77777777">
        <w:tc>
          <w:tcPr>
            <w:tcW w:w="547" w:type="dxa"/>
            <w:shd w:val="clear" w:color="auto" w:fill="FFFFFF"/>
          </w:tcPr>
          <w:p w14:paraId="7E5521DA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[1]</w:t>
            </w:r>
          </w:p>
        </w:tc>
        <w:tc>
          <w:tcPr>
            <w:tcW w:w="2088" w:type="dxa"/>
            <w:shd w:val="clear" w:color="auto" w:fill="FFFFFF"/>
          </w:tcPr>
          <w:p w14:paraId="2300A5B4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Tang et al.</w:t>
            </w:r>
            <w:r>
              <w:rPr>
                <w:sz w:val="18"/>
              </w:rPr>
              <w:br/>
              <w:t>(2024)</w:t>
            </w:r>
          </w:p>
        </w:tc>
        <w:tc>
          <w:tcPr>
            <w:tcW w:w="3744" w:type="dxa"/>
            <w:shd w:val="clear" w:color="auto" w:fill="FFFFFF"/>
          </w:tcPr>
          <w:p w14:paraId="6AE1A774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Improved D3QN + PER + heuristic target bias</w:t>
            </w:r>
          </w:p>
        </w:tc>
        <w:tc>
          <w:tcPr>
            <w:tcW w:w="3024" w:type="dxa"/>
            <w:shd w:val="clear" w:color="auto" w:fill="FFFFFF"/>
          </w:tcPr>
          <w:p w14:paraId="6DE20EC4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95% success; outperforms A* and RRT</w:t>
            </w:r>
          </w:p>
        </w:tc>
        <w:tc>
          <w:tcPr>
            <w:tcW w:w="5544" w:type="dxa"/>
            <w:shd w:val="clear" w:color="auto" w:fill="FFF8E1"/>
          </w:tcPr>
          <w:p w14:paraId="145D5830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Single UAV; 2D only</w:t>
            </w:r>
          </w:p>
        </w:tc>
      </w:tr>
      <w:tr w:rsidR="001D34E9" w14:paraId="5D558748" w14:textId="77777777">
        <w:tc>
          <w:tcPr>
            <w:tcW w:w="547" w:type="dxa"/>
            <w:shd w:val="clear" w:color="auto" w:fill="EEF2FA"/>
          </w:tcPr>
          <w:p w14:paraId="7439120A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[2]</w:t>
            </w:r>
          </w:p>
        </w:tc>
        <w:tc>
          <w:tcPr>
            <w:tcW w:w="2088" w:type="dxa"/>
            <w:shd w:val="clear" w:color="auto" w:fill="EEF2FA"/>
          </w:tcPr>
          <w:p w14:paraId="4C760171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Kong et al.</w:t>
            </w:r>
            <w:r>
              <w:rPr>
                <w:sz w:val="18"/>
              </w:rPr>
              <w:br/>
              <w:t>(2024)</w:t>
            </w:r>
          </w:p>
        </w:tc>
        <w:tc>
          <w:tcPr>
            <w:tcW w:w="3744" w:type="dxa"/>
            <w:shd w:val="clear" w:color="auto" w:fill="EEF2FA"/>
          </w:tcPr>
          <w:p w14:paraId="662236F9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TANet-TD3: assignment + path planning, Hungarian supervision</w:t>
            </w:r>
          </w:p>
        </w:tc>
        <w:tc>
          <w:tcPr>
            <w:tcW w:w="3024" w:type="dxa"/>
            <w:shd w:val="clear" w:color="auto" w:fill="EEF2FA"/>
          </w:tcPr>
          <w:p w14:paraId="49A3D003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Handles dynamic targets with partial observability</w:t>
            </w:r>
          </w:p>
        </w:tc>
        <w:tc>
          <w:tcPr>
            <w:tcW w:w="5544" w:type="dxa"/>
            <w:shd w:val="clear" w:color="auto" w:fill="FFF8E1"/>
          </w:tcPr>
          <w:p w14:paraId="2C6FEFF6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5 drones only; 2D only; no collision avoidance</w:t>
            </w:r>
          </w:p>
        </w:tc>
      </w:tr>
      <w:tr w:rsidR="001D34E9" w14:paraId="12D85167" w14:textId="77777777">
        <w:tc>
          <w:tcPr>
            <w:tcW w:w="547" w:type="dxa"/>
            <w:shd w:val="clear" w:color="auto" w:fill="FFFFFF"/>
          </w:tcPr>
          <w:p w14:paraId="3533C9F8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[3]</w:t>
            </w:r>
          </w:p>
        </w:tc>
        <w:tc>
          <w:tcPr>
            <w:tcW w:w="2088" w:type="dxa"/>
            <w:shd w:val="clear" w:color="auto" w:fill="FFFFFF"/>
          </w:tcPr>
          <w:p w14:paraId="1ED80FC1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Jarray et al.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(2025)</w:t>
            </w:r>
          </w:p>
        </w:tc>
        <w:tc>
          <w:tcPr>
            <w:tcW w:w="3744" w:type="dxa"/>
            <w:shd w:val="clear" w:color="auto" w:fill="FFFFFF"/>
          </w:tcPr>
          <w:p w14:paraId="61E11EBA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DQN + 3D CNN + dynamic step reward</w:t>
            </w:r>
          </w:p>
        </w:tc>
        <w:tc>
          <w:tcPr>
            <w:tcW w:w="3024" w:type="dxa"/>
            <w:shd w:val="clear" w:color="auto" w:fill="FFFFFF"/>
          </w:tcPr>
          <w:p w14:paraId="1464A794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 xml:space="preserve">98% success in low-obstacle 3D </w:t>
            </w:r>
            <w:r>
              <w:rPr>
                <w:sz w:val="18"/>
              </w:rPr>
              <w:lastRenderedPageBreak/>
              <w:t>environment (25 km²)</w:t>
            </w:r>
          </w:p>
        </w:tc>
        <w:tc>
          <w:tcPr>
            <w:tcW w:w="5544" w:type="dxa"/>
            <w:shd w:val="clear" w:color="auto" w:fill="FFF8E1"/>
          </w:tcPr>
          <w:p w14:paraId="747DA2B8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lastRenderedPageBreak/>
              <w:t>Single UAV; static obstacles only</w:t>
            </w:r>
          </w:p>
        </w:tc>
      </w:tr>
      <w:tr w:rsidR="001D34E9" w14:paraId="29E2756D" w14:textId="77777777">
        <w:tc>
          <w:tcPr>
            <w:tcW w:w="547" w:type="dxa"/>
            <w:shd w:val="clear" w:color="auto" w:fill="EEF2FA"/>
          </w:tcPr>
          <w:p w14:paraId="0FB786C1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[4]</w:t>
            </w:r>
          </w:p>
        </w:tc>
        <w:tc>
          <w:tcPr>
            <w:tcW w:w="2088" w:type="dxa"/>
            <w:shd w:val="clear" w:color="auto" w:fill="EEF2FA"/>
          </w:tcPr>
          <w:p w14:paraId="0EB965A5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Zhang et al.</w:t>
            </w:r>
            <w:r>
              <w:rPr>
                <w:sz w:val="18"/>
              </w:rPr>
              <w:br/>
              <w:t>(2025)</w:t>
            </w:r>
          </w:p>
        </w:tc>
        <w:tc>
          <w:tcPr>
            <w:tcW w:w="3744" w:type="dxa"/>
            <w:shd w:val="clear" w:color="auto" w:fill="EEF2FA"/>
          </w:tcPr>
          <w:p w14:paraId="797D2203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PO-WMFDDPG: mean-field DDPG + multi-head attention</w:t>
            </w:r>
          </w:p>
        </w:tc>
        <w:tc>
          <w:tcPr>
            <w:tcW w:w="3024" w:type="dxa"/>
            <w:shd w:val="clear" w:color="auto" w:fill="EEF2FA"/>
          </w:tcPr>
          <w:p w14:paraId="508EBA56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&gt;90% success at 120 UAVs where baselines collapse</w:t>
            </w:r>
          </w:p>
        </w:tc>
        <w:tc>
          <w:tcPr>
            <w:tcW w:w="5544" w:type="dxa"/>
            <w:shd w:val="clear" w:color="auto" w:fill="FFF8E1"/>
          </w:tcPr>
          <w:p w14:paraId="0E8F48A4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2D only; static obstacles; no dynamic reassignment</w:t>
            </w:r>
          </w:p>
        </w:tc>
      </w:tr>
      <w:tr w:rsidR="001D34E9" w14:paraId="75550DBD" w14:textId="77777777">
        <w:tc>
          <w:tcPr>
            <w:tcW w:w="547" w:type="dxa"/>
            <w:shd w:val="clear" w:color="auto" w:fill="FFFFFF"/>
          </w:tcPr>
          <w:p w14:paraId="6FBF92C3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[5]</w:t>
            </w:r>
          </w:p>
        </w:tc>
        <w:tc>
          <w:tcPr>
            <w:tcW w:w="2088" w:type="dxa"/>
            <w:shd w:val="clear" w:color="auto" w:fill="FFFFFF"/>
          </w:tcPr>
          <w:p w14:paraId="236E3D93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Poudel &amp; Moh</w:t>
            </w:r>
            <w:r>
              <w:rPr>
                <w:sz w:val="18"/>
              </w:rPr>
              <w:br/>
              <w:t>(2026)</w:t>
            </w:r>
          </w:p>
        </w:tc>
        <w:tc>
          <w:tcPr>
            <w:tcW w:w="3744" w:type="dxa"/>
            <w:shd w:val="clear" w:color="auto" w:fill="FFFFFF"/>
          </w:tcPr>
          <w:p w14:paraId="573CF81C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RCTP: MAML + MA-DDPG + coalition formation</w:t>
            </w:r>
          </w:p>
        </w:tc>
        <w:tc>
          <w:tcPr>
            <w:tcW w:w="3024" w:type="dxa"/>
            <w:shd w:val="clear" w:color="auto" w:fill="FFFFFF"/>
          </w:tcPr>
          <w:p w14:paraId="59071D7E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30-40% faster mission completion under drone failures</w:t>
            </w:r>
          </w:p>
        </w:tc>
        <w:tc>
          <w:tcPr>
            <w:tcW w:w="5544" w:type="dxa"/>
            <w:shd w:val="clear" w:color="auto" w:fill="FFF8E1"/>
          </w:tcPr>
          <w:p w14:paraId="01034404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2D only; up to 30 drones</w:t>
            </w:r>
          </w:p>
        </w:tc>
      </w:tr>
      <w:tr w:rsidR="001D34E9" w14:paraId="0284915C" w14:textId="77777777">
        <w:tc>
          <w:tcPr>
            <w:tcW w:w="547" w:type="dxa"/>
            <w:shd w:val="clear" w:color="auto" w:fill="EEF2FA"/>
          </w:tcPr>
          <w:p w14:paraId="5AFD0605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[6]</w:t>
            </w:r>
          </w:p>
        </w:tc>
        <w:tc>
          <w:tcPr>
            <w:tcW w:w="2088" w:type="dxa"/>
            <w:shd w:val="clear" w:color="auto" w:fill="EEF2FA"/>
          </w:tcPr>
          <w:p w14:paraId="37DCC482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Xu et al.</w:t>
            </w:r>
            <w:r>
              <w:rPr>
                <w:sz w:val="18"/>
              </w:rPr>
              <w:br/>
              <w:t>(2026)</w:t>
            </w:r>
          </w:p>
        </w:tc>
        <w:tc>
          <w:tcPr>
            <w:tcW w:w="3744" w:type="dxa"/>
            <w:shd w:val="clear" w:color="auto" w:fill="EEF2FA"/>
          </w:tcPr>
          <w:p w14:paraId="2B6B8F23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MRLMN: IPPO + role-based reward + GPT-4o distillation</w:t>
            </w:r>
          </w:p>
        </w:tc>
        <w:tc>
          <w:tcPr>
            <w:tcW w:w="3024" w:type="dxa"/>
            <w:shd w:val="clear" w:color="auto" w:fill="EEF2FA"/>
          </w:tcPr>
          <w:p w14:paraId="585EF85F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+52% data rate; +27% user coverage</w:t>
            </w:r>
          </w:p>
        </w:tc>
        <w:tc>
          <w:tcPr>
            <w:tcW w:w="5544" w:type="dxa"/>
            <w:shd w:val="clear" w:color="auto" w:fill="FFF8E1"/>
          </w:tcPr>
          <w:p w14:paraId="4E6B395D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Networking task only; 2D; GPT-4o dependency</w:t>
            </w:r>
          </w:p>
        </w:tc>
      </w:tr>
      <w:tr w:rsidR="001D34E9" w14:paraId="6FD6847E" w14:textId="77777777">
        <w:tc>
          <w:tcPr>
            <w:tcW w:w="547" w:type="dxa"/>
            <w:shd w:val="clear" w:color="auto" w:fill="FFFFFF"/>
          </w:tcPr>
          <w:p w14:paraId="32C93177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[7]</w:t>
            </w:r>
          </w:p>
        </w:tc>
        <w:tc>
          <w:tcPr>
            <w:tcW w:w="2088" w:type="dxa"/>
            <w:shd w:val="clear" w:color="auto" w:fill="FFFFFF"/>
          </w:tcPr>
          <w:p w14:paraId="6B7B812A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Wang et al.</w:t>
            </w:r>
            <w:r>
              <w:rPr>
                <w:sz w:val="18"/>
              </w:rPr>
              <w:br/>
              <w:t>(2025)</w:t>
            </w:r>
          </w:p>
        </w:tc>
        <w:tc>
          <w:tcPr>
            <w:tcW w:w="3744" w:type="dxa"/>
            <w:shd w:val="clear" w:color="auto" w:fill="FFFFFF"/>
          </w:tcPr>
          <w:p w14:paraId="7C171E6B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RALLY: LLM role assignment + RMIX value mixing</w:t>
            </w:r>
          </w:p>
        </w:tc>
        <w:tc>
          <w:tcPr>
            <w:tcW w:w="3024" w:type="dxa"/>
            <w:shd w:val="clear" w:color="auto" w:fill="FFFFFF"/>
          </w:tcPr>
          <w:p w14:paraId="1DF6D9F2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Generalises to unseen swarm sizes without retraining</w:t>
            </w:r>
          </w:p>
        </w:tc>
        <w:tc>
          <w:tcPr>
            <w:tcW w:w="5544" w:type="dxa"/>
            <w:shd w:val="clear" w:color="auto" w:fill="FFF8E1"/>
          </w:tcPr>
          <w:p w14:paraId="2213E21F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14.5s latency; no target assignment</w:t>
            </w:r>
          </w:p>
        </w:tc>
      </w:tr>
      <w:tr w:rsidR="001D34E9" w14:paraId="060588AF" w14:textId="77777777">
        <w:tc>
          <w:tcPr>
            <w:tcW w:w="547" w:type="dxa"/>
            <w:shd w:val="clear" w:color="auto" w:fill="EEF2FA"/>
          </w:tcPr>
          <w:p w14:paraId="13A5CFAF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[8]</w:t>
            </w:r>
          </w:p>
        </w:tc>
        <w:tc>
          <w:tcPr>
            <w:tcW w:w="2088" w:type="dxa"/>
            <w:shd w:val="clear" w:color="auto" w:fill="EEF2FA"/>
          </w:tcPr>
          <w:p w14:paraId="5B1D346E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Khan et al.</w:t>
            </w:r>
            <w:r>
              <w:rPr>
                <w:sz w:val="18"/>
              </w:rPr>
              <w:br/>
              <w:t>(2026)</w:t>
            </w:r>
          </w:p>
        </w:tc>
        <w:tc>
          <w:tcPr>
            <w:tcW w:w="3744" w:type="dxa"/>
            <w:shd w:val="clear" w:color="auto" w:fill="EEF2FA"/>
          </w:tcPr>
          <w:p w14:paraId="0A714139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Comparison: CrewAI vs AutoGen vs LangChain + hybrid</w:t>
            </w:r>
          </w:p>
        </w:tc>
        <w:tc>
          <w:tcPr>
            <w:tcW w:w="3024" w:type="dxa"/>
            <w:shd w:val="clear" w:color="auto" w:fill="EEF2FA"/>
          </w:tcPr>
          <w:p w14:paraId="35DFD258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96.1% success at 76% lower token cost</w:t>
            </w:r>
          </w:p>
        </w:tc>
        <w:tc>
          <w:tcPr>
            <w:tcW w:w="5544" w:type="dxa"/>
            <w:shd w:val="clear" w:color="auto" w:fill="FFF8E1"/>
          </w:tcPr>
          <w:p w14:paraId="66953B01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Wildfire domain only; hybrid tested with 6 agents only</w:t>
            </w:r>
          </w:p>
        </w:tc>
      </w:tr>
      <w:tr w:rsidR="001D34E9" w14:paraId="0482E388" w14:textId="77777777">
        <w:tc>
          <w:tcPr>
            <w:tcW w:w="5544" w:type="dxa"/>
            <w:gridSpan w:val="5"/>
            <w:shd w:val="clear" w:color="auto" w:fill="7B0000"/>
          </w:tcPr>
          <w:p w14:paraId="1D594398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MOST RELATED WORK</w:t>
            </w:r>
          </w:p>
        </w:tc>
      </w:tr>
      <w:tr w:rsidR="001D34E9" w14:paraId="1DBEC764" w14:textId="77777777">
        <w:tc>
          <w:tcPr>
            <w:tcW w:w="547" w:type="dxa"/>
            <w:shd w:val="clear" w:color="auto" w:fill="FFFFFF"/>
          </w:tcPr>
          <w:p w14:paraId="2C5F8C8F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[9]</w:t>
            </w:r>
          </w:p>
        </w:tc>
        <w:tc>
          <w:tcPr>
            <w:tcW w:w="2088" w:type="dxa"/>
            <w:shd w:val="clear" w:color="auto" w:fill="FFFFFF"/>
          </w:tcPr>
          <w:p w14:paraId="68A00D9B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Rezaee et al.</w:t>
            </w:r>
            <w:r>
              <w:rPr>
                <w:sz w:val="18"/>
              </w:rPr>
              <w:br/>
              <w:t>(2026)</w:t>
            </w:r>
          </w:p>
        </w:tc>
        <w:tc>
          <w:tcPr>
            <w:tcW w:w="3744" w:type="dxa"/>
            <w:shd w:val="clear" w:color="auto" w:fill="FFFFFF"/>
          </w:tcPr>
          <w:p w14:paraId="5F36F455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IGAT-MARL: sparse conflict graph + Graph Attention Network</w:t>
            </w:r>
          </w:p>
        </w:tc>
        <w:tc>
          <w:tcPr>
            <w:tcW w:w="3024" w:type="dxa"/>
            <w:shd w:val="clear" w:color="auto" w:fill="FFFFFF"/>
          </w:tcPr>
          <w:p w14:paraId="5A4858D6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+17% reward; 44% fewer graph edges vs. best baseline</w:t>
            </w:r>
          </w:p>
        </w:tc>
        <w:tc>
          <w:tcPr>
            <w:tcW w:w="5544" w:type="dxa"/>
            <w:shd w:val="clear" w:color="auto" w:fill="FFF8E1"/>
          </w:tcPr>
          <w:p w14:paraId="24850287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No target assignment; fixed-wing only; 2D only</w:t>
            </w:r>
          </w:p>
        </w:tc>
      </w:tr>
      <w:tr w:rsidR="001D34E9" w14:paraId="1ADBCCDF" w14:textId="77777777">
        <w:tc>
          <w:tcPr>
            <w:tcW w:w="547" w:type="dxa"/>
            <w:shd w:val="clear" w:color="auto" w:fill="EEF2FA"/>
          </w:tcPr>
          <w:p w14:paraId="3AF412B5" w14:textId="77777777" w:rsidR="001D34E9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[10]</w:t>
            </w:r>
          </w:p>
        </w:tc>
        <w:tc>
          <w:tcPr>
            <w:tcW w:w="2088" w:type="dxa"/>
            <w:shd w:val="clear" w:color="auto" w:fill="EEF2FA"/>
          </w:tcPr>
          <w:p w14:paraId="407E7941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Sheng et al.</w:t>
            </w:r>
            <w:r>
              <w:rPr>
                <w:sz w:val="18"/>
              </w:rPr>
              <w:br/>
              <w:t>(2026)</w:t>
            </w:r>
          </w:p>
        </w:tc>
        <w:tc>
          <w:tcPr>
            <w:tcW w:w="3744" w:type="dxa"/>
            <w:shd w:val="clear" w:color="auto" w:fill="EEF2FA"/>
          </w:tcPr>
          <w:p w14:paraId="4EFE81BD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DA-MAPPO: per-step Hungarian assignment in observation + MAPPO</w:t>
            </w:r>
          </w:p>
        </w:tc>
        <w:tc>
          <w:tcPr>
            <w:tcW w:w="3024" w:type="dxa"/>
            <w:shd w:val="clear" w:color="auto" w:fill="EEF2FA"/>
          </w:tcPr>
          <w:p w14:paraId="14C4024F" w14:textId="77777777" w:rsidR="001D34E9" w:rsidRDefault="00000000">
            <w:pPr>
              <w:spacing w:before="40" w:after="40"/>
            </w:pPr>
            <w:r>
              <w:rPr>
                <w:sz w:val="18"/>
              </w:rPr>
              <w:t>90-99% mission success; 25 pp above best baseline</w:t>
            </w:r>
          </w:p>
        </w:tc>
        <w:tc>
          <w:tcPr>
            <w:tcW w:w="5544" w:type="dxa"/>
            <w:shd w:val="clear" w:color="auto" w:fill="FFF8E1"/>
          </w:tcPr>
          <w:p w14:paraId="3E995196" w14:textId="77777777" w:rsidR="001D34E9" w:rsidRDefault="00000000">
            <w:pPr>
              <w:spacing w:before="40" w:after="40"/>
            </w:pPr>
            <w:r>
              <w:rPr>
                <w:color w:val="643C00"/>
                <w:sz w:val="18"/>
              </w:rPr>
              <w:t>2D only; 3 drones only; no collision-avoidance mechanism</w:t>
            </w:r>
          </w:p>
        </w:tc>
      </w:tr>
    </w:tbl>
    <w:p w14:paraId="7D4F57A2" w14:textId="77777777" w:rsidR="001D34E9" w:rsidRDefault="00000000">
      <w:pPr>
        <w:spacing w:before="100"/>
        <w:rPr>
          <w:i/>
          <w:color w:val="643C00"/>
          <w:sz w:val="18"/>
        </w:rPr>
      </w:pPr>
      <w:r>
        <w:rPr>
          <w:i/>
          <w:color w:val="643C00"/>
          <w:sz w:val="18"/>
        </w:rPr>
        <w:t>Note: Gap column (highlighted) — no existing work integrates dynamic target assignment with conflict-aware collision avoidance in a single learned policy.</w:t>
      </w:r>
    </w:p>
    <w:p w14:paraId="60D20340" w14:textId="77777777" w:rsidR="00144557" w:rsidRDefault="00144557" w:rsidP="00144557">
      <w:pPr>
        <w:spacing w:after="120" w:line="360" w:lineRule="auto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A5377C">
        <w:rPr>
          <w:rFonts w:asciiTheme="majorBidi" w:hAnsiTheme="majorBidi" w:cstheme="majorBidi"/>
          <w:sz w:val="24"/>
          <w:szCs w:val="24"/>
        </w:rPr>
        <w:t>In multi-UAV cooperative missions, task allocation and collision avoidance are interdependent a UAV's path to its assigned target directly affects its proximity to other UAVs, and any safety-driven course correction changes whether that target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5377C">
        <w:rPr>
          <w:rFonts w:asciiTheme="majorBidi" w:hAnsiTheme="majorBidi" w:cstheme="majorBidi"/>
          <w:sz w:val="24"/>
          <w:szCs w:val="24"/>
        </w:rPr>
        <w:t>remains reachable. When both demands arise simultaneously, a single avoidance maneuver can leave a critical target uncovered,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5377C">
        <w:rPr>
          <w:rFonts w:asciiTheme="majorBidi" w:hAnsiTheme="majorBidi" w:cstheme="majorBidi"/>
          <w:sz w:val="24"/>
          <w:szCs w:val="24"/>
        </w:rPr>
        <w:t>force reassignment across the swarm and create new collision risks in the process. This problem becomes most severe when target priorities change mid-mission, as the swarm must reorganize assignments and resolve collision risks at the same time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5377C">
        <w:rPr>
          <w:rFonts w:asciiTheme="majorBidi" w:hAnsiTheme="majorBidi" w:cstheme="majorBidi"/>
          <w:sz w:val="24"/>
          <w:szCs w:val="24"/>
        </w:rPr>
        <w:t>with no coordinated way to handle both. Despite being the two most studied problems in multi-UAV coordination, task allocation and collision avoidance have never been addressed together within a single learned policy.</w:t>
      </w:r>
    </w:p>
    <w:p w14:paraId="44A7A950" w14:textId="77777777" w:rsidR="00144557" w:rsidRPr="00144557" w:rsidRDefault="00144557" w:rsidP="00144557"/>
    <w:sectPr w:rsidR="00144557" w:rsidRPr="00144557" w:rsidSect="00034616">
      <w:pgSz w:w="1656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001345">
    <w:abstractNumId w:val="8"/>
  </w:num>
  <w:num w:numId="2" w16cid:durableId="483739630">
    <w:abstractNumId w:val="6"/>
  </w:num>
  <w:num w:numId="3" w16cid:durableId="358509943">
    <w:abstractNumId w:val="5"/>
  </w:num>
  <w:num w:numId="4" w16cid:durableId="1488398017">
    <w:abstractNumId w:val="4"/>
  </w:num>
  <w:num w:numId="5" w16cid:durableId="1476334488">
    <w:abstractNumId w:val="7"/>
  </w:num>
  <w:num w:numId="6" w16cid:durableId="1909918320">
    <w:abstractNumId w:val="3"/>
  </w:num>
  <w:num w:numId="7" w16cid:durableId="157817497">
    <w:abstractNumId w:val="2"/>
  </w:num>
  <w:num w:numId="8" w16cid:durableId="1233614945">
    <w:abstractNumId w:val="1"/>
  </w:num>
  <w:num w:numId="9" w16cid:durableId="95479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557"/>
    <w:rsid w:val="0015074B"/>
    <w:rsid w:val="001D34E9"/>
    <w:rsid w:val="0029639D"/>
    <w:rsid w:val="00326F90"/>
    <w:rsid w:val="007143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9062E"/>
  <w14:defaultImageDpi w14:val="300"/>
  <w15:docId w15:val="{02276688-98A6-A54F-BBD0-BEDD54B1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SP25-RCS-009(Ayesha Khalil)</cp:lastModifiedBy>
  <cp:revision>2</cp:revision>
  <dcterms:created xsi:type="dcterms:W3CDTF">2013-12-23T23:15:00Z</dcterms:created>
  <dcterms:modified xsi:type="dcterms:W3CDTF">2026-06-16T14:01:00Z</dcterms:modified>
  <cp:category/>
</cp:coreProperties>
</file>