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COMSATS University Islamabad</w:t>
      </w:r>
    </w:p>
    <w:p>
      <w:pPr>
        <w:jc w:val="center"/>
      </w:pPr>
      <w:r>
        <w:rPr>
          <w:rFonts w:ascii="Times New Roman" w:hAnsi="Times New Roman"/>
          <w:sz w:val="24"/>
        </w:rPr>
        <w:t>Synopsis for MS ☑   Ph.D. ☐</w:t>
      </w:r>
    </w:p>
    <w:p/>
    <w:tbl>
      <w:tblPr>
        <w:tblStyle w:val="TableGrid"/>
        <w:tblW w:type="auto" w:w="0"/>
        <w:tblLook w:firstColumn="1" w:firstRow="1" w:lastColumn="0" w:lastRow="0" w:noHBand="0" w:noVBand="1" w:val="04A0"/>
      </w:tblPr>
      <w:tblGrid>
        <w:gridCol w:w="4153"/>
        <w:gridCol w:w="4153"/>
      </w:tblGrid>
      <w:tr>
        <w:tc>
          <w:tcPr>
            <w:tcW w:type="dxa" w:w="4153"/>
          </w:tcPr>
          <w:p>
            <w:r/>
            <w:r>
              <w:rPr>
                <w:rFonts w:ascii="Times New Roman" w:hAnsi="Times New Roman"/>
                <w:b w:val="0"/>
                <w:sz w:val="22"/>
              </w:rPr>
              <w:t>Name: Ayesha Khalil</w:t>
            </w:r>
          </w:p>
        </w:tc>
        <w:tc>
          <w:tcPr>
            <w:tcW w:type="dxa" w:w="4153"/>
          </w:tcPr>
          <w:p>
            <w:r/>
            <w:r>
              <w:rPr>
                <w:rFonts w:ascii="Times New Roman" w:hAnsi="Times New Roman"/>
                <w:b w:val="0"/>
                <w:sz w:val="22"/>
              </w:rPr>
              <w:t>Registration No.: SP25-RCS-009</w:t>
            </w:r>
          </w:p>
        </w:tc>
      </w:tr>
      <w:tr>
        <w:tc>
          <w:tcPr>
            <w:tcW w:type="dxa" w:w="4153"/>
          </w:tcPr>
          <w:p>
            <w:r/>
            <w:r>
              <w:rPr>
                <w:rFonts w:ascii="Times New Roman" w:hAnsi="Times New Roman"/>
                <w:b w:val="0"/>
                <w:sz w:val="22"/>
              </w:rPr>
              <w:t>Program: MS Computer Science</w:t>
            </w:r>
          </w:p>
        </w:tc>
        <w:tc>
          <w:tcPr>
            <w:tcW w:type="dxa" w:w="4153"/>
          </w:tcPr>
          <w:p>
            <w:r/>
            <w:r>
              <w:rPr>
                <w:rFonts w:ascii="Times New Roman" w:hAnsi="Times New Roman"/>
                <w:b w:val="0"/>
                <w:sz w:val="22"/>
              </w:rPr>
              <w:t>Area of Specialization: Multi-Agent Systems / Intelligent Autonomous Systems</w:t>
            </w:r>
          </w:p>
        </w:tc>
      </w:tr>
      <w:tr>
        <w:tc>
          <w:tcPr>
            <w:tcW w:type="dxa" w:w="4153"/>
          </w:tcPr>
          <w:p>
            <w:r/>
            <w:r>
              <w:rPr>
                <w:rFonts w:ascii="Times New Roman" w:hAnsi="Times New Roman"/>
                <w:b w:val="0"/>
                <w:sz w:val="22"/>
              </w:rPr>
              <w:t>Department: Computer Science</w:t>
            </w:r>
          </w:p>
        </w:tc>
        <w:tc>
          <w:tcPr>
            <w:tcW w:type="dxa" w:w="4153"/>
          </w:tcPr>
          <w:p>
            <w:r/>
            <w:r>
              <w:rPr>
                <w:rFonts w:ascii="Times New Roman" w:hAnsi="Times New Roman"/>
                <w:b w:val="0"/>
                <w:sz w:val="22"/>
              </w:rPr>
              <w:t>Campus: Islamabad</w:t>
            </w:r>
          </w:p>
        </w:tc>
      </w:tr>
      <w:tr>
        <w:tc>
          <w:tcPr>
            <w:tcW w:type="dxa" w:w="4153"/>
          </w:tcPr>
          <w:p>
            <w:r/>
            <w:r>
              <w:rPr>
                <w:rFonts w:ascii="Times New Roman" w:hAnsi="Times New Roman"/>
                <w:b w:val="0"/>
                <w:sz w:val="22"/>
              </w:rPr>
              <w:t>Date of Admission: _______________</w:t>
            </w:r>
          </w:p>
        </w:tc>
        <w:tc>
          <w:tcPr>
            <w:tcW w:type="dxa" w:w="4153"/>
          </w:tcPr>
          <w:p>
            <w:r/>
            <w:r>
              <w:rPr>
                <w:rFonts w:ascii="Times New Roman" w:hAnsi="Times New Roman"/>
                <w:b w:val="0"/>
                <w:sz w:val="22"/>
              </w:rPr>
              <w:t>Date of Synopsis Submission: May 30, 2026</w:t>
            </w:r>
          </w:p>
        </w:tc>
      </w:tr>
      <w:tr>
        <w:tc>
          <w:tcPr>
            <w:tcW w:type="dxa" w:w="8306"/>
            <w:gridSpan w:val="2"/>
          </w:tcPr>
          <w:p>
            <w:r/>
            <w:r>
              <w:rPr>
                <w:rFonts w:ascii="Times New Roman" w:hAnsi="Times New Roman"/>
                <w:sz w:val="22"/>
              </w:rPr>
              <w:t>Proposed Title of the Thesis:</w:t>
              <w:br/>
              <w:br/>
              <w:t>Integrating Real-Time Target Assignment and Conflict-Aware Collision Avoidance for Multi-UAV Navigation in Three-Dimensional Environments Using Multi-Agent Reinforcement Learning</w:t>
            </w:r>
          </w:p>
        </w:tc>
      </w:tr>
    </w:tbl>
    <w:p/>
    <w:p>
      <w:pPr>
        <w:jc w:val="center"/>
      </w:pPr>
      <w:r>
        <w:rPr>
          <w:rFonts w:ascii="Times New Roman" w:hAnsi="Times New Roman"/>
          <w:b/>
          <w:sz w:val="24"/>
        </w:rPr>
        <w:t>Supervisory Committee</w:t>
      </w:r>
    </w:p>
    <w:tbl>
      <w:tblPr>
        <w:tblStyle w:val="TableGrid"/>
        <w:tblW w:type="auto" w:w="0"/>
        <w:tblLook w:firstColumn="1" w:firstRow="1" w:lastColumn="0" w:lastRow="0" w:noHBand="0" w:noVBand="1" w:val="04A0"/>
      </w:tblPr>
      <w:tblGrid>
        <w:gridCol w:w="4153"/>
        <w:gridCol w:w="4153"/>
      </w:tblGrid>
      <w:tr>
        <w:tc>
          <w:tcPr>
            <w:tcW w:type="dxa" w:w="4153"/>
          </w:tcPr>
          <w:p>
            <w:r/>
            <w:r>
              <w:rPr>
                <w:rFonts w:ascii="Times New Roman" w:hAnsi="Times New Roman"/>
                <w:b/>
                <w:sz w:val="22"/>
              </w:rPr>
              <w:t>Name and Designation</w:t>
            </w:r>
          </w:p>
        </w:tc>
        <w:tc>
          <w:tcPr>
            <w:tcW w:type="dxa" w:w="4153"/>
          </w:tcPr>
          <w:p>
            <w:r/>
            <w:r>
              <w:rPr>
                <w:rFonts w:ascii="Times New Roman" w:hAnsi="Times New Roman"/>
                <w:b/>
                <w:sz w:val="22"/>
              </w:rPr>
              <w:t>Role</w:t>
            </w:r>
          </w:p>
        </w:tc>
      </w:tr>
      <w:tr>
        <w:tc>
          <w:tcPr>
            <w:tcW w:type="dxa" w:w="4153"/>
          </w:tcPr>
          <w:p>
            <w:r/>
            <w:r>
              <w:rPr>
                <w:rFonts w:ascii="Times New Roman" w:hAnsi="Times New Roman"/>
                <w:b w:val="0"/>
                <w:sz w:val="22"/>
              </w:rPr>
            </w:r>
          </w:p>
        </w:tc>
        <w:tc>
          <w:tcPr>
            <w:tcW w:type="dxa" w:w="4153"/>
          </w:tcPr>
          <w:p>
            <w:r/>
            <w:r>
              <w:rPr>
                <w:rFonts w:ascii="Times New Roman" w:hAnsi="Times New Roman"/>
                <w:b w:val="0"/>
                <w:sz w:val="22"/>
              </w:rPr>
              <w:t>Supervisor</w:t>
            </w:r>
          </w:p>
        </w:tc>
      </w:tr>
      <w:tr>
        <w:tc>
          <w:tcPr>
            <w:tcW w:type="dxa" w:w="4153"/>
          </w:tcPr>
          <w:p>
            <w:r/>
            <w:r>
              <w:rPr>
                <w:rFonts w:ascii="Times New Roman" w:hAnsi="Times New Roman"/>
                <w:b w:val="0"/>
                <w:sz w:val="22"/>
              </w:rPr>
            </w:r>
          </w:p>
        </w:tc>
        <w:tc>
          <w:tcPr>
            <w:tcW w:type="dxa" w:w="4153"/>
          </w:tcPr>
          <w:p>
            <w:r/>
            <w:r>
              <w:rPr>
                <w:rFonts w:ascii="Times New Roman" w:hAnsi="Times New Roman"/>
                <w:b w:val="0"/>
                <w:sz w:val="22"/>
              </w:rPr>
              <w:t>Co-supervisor/Member</w:t>
            </w:r>
          </w:p>
        </w:tc>
      </w:tr>
      <w:tr>
        <w:tc>
          <w:tcPr>
            <w:tcW w:type="dxa" w:w="4153"/>
          </w:tcPr>
          <w:p>
            <w:r/>
            <w:r>
              <w:rPr>
                <w:rFonts w:ascii="Times New Roman" w:hAnsi="Times New Roman"/>
                <w:b w:val="0"/>
                <w:sz w:val="22"/>
              </w:rPr>
            </w:r>
          </w:p>
        </w:tc>
        <w:tc>
          <w:tcPr>
            <w:tcW w:type="dxa" w:w="4153"/>
          </w:tcPr>
          <w:p>
            <w:r/>
            <w:r>
              <w:rPr>
                <w:rFonts w:ascii="Times New Roman" w:hAnsi="Times New Roman"/>
                <w:b w:val="0"/>
                <w:sz w:val="22"/>
              </w:rPr>
              <w:t>Member</w:t>
            </w:r>
          </w:p>
        </w:tc>
      </w:tr>
      <w:tr>
        <w:tc>
          <w:tcPr>
            <w:tcW w:type="dxa" w:w="4153"/>
          </w:tcPr>
          <w:p>
            <w:r/>
            <w:r>
              <w:rPr>
                <w:rFonts w:ascii="Times New Roman" w:hAnsi="Times New Roman"/>
                <w:b w:val="0"/>
                <w:sz w:val="22"/>
              </w:rPr>
            </w:r>
          </w:p>
        </w:tc>
        <w:tc>
          <w:tcPr>
            <w:tcW w:type="dxa" w:w="4153"/>
          </w:tcPr>
          <w:p>
            <w:r/>
            <w:r>
              <w:rPr>
                <w:rFonts w:ascii="Times New Roman" w:hAnsi="Times New Roman"/>
                <w:b w:val="0"/>
                <w:sz w:val="22"/>
              </w:rPr>
              <w:t>Member</w:t>
            </w:r>
          </w:p>
        </w:tc>
      </w:tr>
    </w:tbl>
    <w:p/>
    <w:p>
      <w:pPr>
        <w:jc w:val="center"/>
      </w:pPr>
      <w:r>
        <w:rPr>
          <w:rFonts w:ascii="Times New Roman" w:hAnsi="Times New Roman"/>
          <w:b/>
          <w:sz w:val="24"/>
        </w:rPr>
        <w:t>Student's Signature  ________________________________</w:t>
      </w:r>
    </w:p>
    <w:p/>
    <w:p>
      <w:r>
        <w:rPr>
          <w:rFonts w:ascii="Times New Roman" w:hAnsi="Times New Roman"/>
          <w:b/>
          <w:sz w:val="24"/>
        </w:rPr>
        <w:t>Summary of the Research</w:t>
      </w:r>
    </w:p>
    <w:p>
      <w:pPr>
        <w:spacing w:after="120" w:line="360" w:lineRule="exact"/>
        <w:jc w:val="both"/>
      </w:pPr>
      <w:r>
        <w:rPr>
          <w:rFonts w:ascii="Times New Roman" w:hAnsi="Times New Roman"/>
          <w:sz w:val="24"/>
        </w:rPr>
        <w:t>Multi-UAV coordination using deep reinforcement learning has advanced significantly, yet a specific and documented gap persists: no existing framework simultaneously handles dynamic target assignment and conflict-aware collision avoidance in three-dimensional environments. The two most advanced contributions to these sub-problems — DA-MAPPO (Sheng et al., 2026) for target assignment and IGAT-MARL (Rezaee et al., 2026) for collision avoidance — were developed independently, each tested in two-dimensional environments with at most ten drones, and each explicitly identifies the other paper's contribution as its own future work. DA-MAPPO demonstrated that embedding real-time Hungarian-algorithm-based target assignments into each drone's observation vector is the sole mechanism responsible for successful navigation: its own ablation study shows 0% mission success when this assignment information is removed. IGAT-MARL demonstrated that sparse conflict-aware interaction graphs, which connect only drone pairs on a predicted collision course, reduce unnecessary communication by 44% while improving avoidance performance. This research proposes a unified MAPPO-based framework that integrates both mechanisms in a single policy trained in a 3D simulation environment. The central research problem is the interference that arises in 3D space: the assignment module re-routes drones toward their targets without awareness of active conflict states, while the conflict graph forces course deviations without awareness of current target assignments. In three dimensions, altitude introduces vertical collision courses absent from planar environments, making this competition structurally significant. The proposed framework encodes both assignment state and conflict neighborhood in each drone's observation, trained via curriculum learning from 3 to 8 drones with progressive obstacle density. Evaluation will compare against four controlled baselines across three swarm sizes and three obstacle densities, yielding the first empirical answer to whether these two mechanisms cooperate or interfere when operating jointly in 3D.</w:t>
      </w:r>
    </w:p>
    <w:p>
      <w:r>
        <w:rPr>
          <w:rFonts w:ascii="Times New Roman" w:hAnsi="Times New Roman"/>
          <w:i/>
          <w:sz w:val="22"/>
        </w:rPr>
        <w:t>[Introduction must start from next page]</w:t>
      </w:r>
    </w:p>
    <w:p>
      <w:r>
        <w:br w:type="page"/>
      </w:r>
    </w:p>
    <w:p>
      <w:r>
        <w:rPr>
          <w:rFonts w:ascii="Times New Roman" w:hAnsi="Times New Roman"/>
          <w:sz w:val="20"/>
        </w:rPr>
        <w:t>Student's Name: Ayesha Khalil          Enrollment No.: SP25-RCS-009          Supervisor's Signature: _______________</w:t>
      </w:r>
    </w:p>
    <w:p>
      <w:r>
        <w:rPr>
          <w:sz w:val="16"/>
        </w:rPr>
        <w:t>_______________________________________________________________________________________________</w:t>
      </w:r>
    </w:p>
    <w:p/>
    <w:p>
      <w:pPr>
        <w:spacing w:before="280" w:after="120"/>
      </w:pPr>
      <w:r>
        <w:rPr>
          <w:rFonts w:ascii="Times New Roman" w:hAnsi="Times New Roman"/>
          <w:b/>
          <w:sz w:val="24"/>
        </w:rPr>
        <w:t>1.   Introduction</w:t>
      </w:r>
    </w:p>
    <w:p>
      <w:pPr>
        <w:spacing w:after="120" w:line="360" w:lineRule="exact"/>
        <w:jc w:val="both"/>
      </w:pPr>
      <w:r>
        <w:rPr>
          <w:rFonts w:ascii="Times New Roman" w:hAnsi="Times New Roman"/>
          <w:sz w:val="24"/>
        </w:rPr>
        <w:t>Autonomous unmanned aerial vehicle (UAV) systems have attracted substantial research attention over the past decade, driven by their demonstrated value in disaster response, search-and-rescue operations, infrastructure inspection, and time-sensitive logistics. In these applications, the relevant challenge is rarely one of controlling a single drone; it is coordinating groups of drones that must collectively accomplish missions — each agent pursuing its assigned goal while sharing airspace with teammates and avoiding obstacles in a dynamic environment.</w:t>
      </w:r>
    </w:p>
    <w:p>
      <w:pPr>
        <w:spacing w:after="120" w:line="360" w:lineRule="exact"/>
        <w:jc w:val="both"/>
      </w:pPr>
      <w:r>
        <w:rPr>
          <w:rFonts w:ascii="Times New Roman" w:hAnsi="Times New Roman"/>
          <w:sz w:val="24"/>
        </w:rPr>
        <w:t>Deep reinforcement learning (DRL) has emerged as the dominant paradigm for training UAV navigation policies. Unlike classical path-planning algorithms such as A* and rapidly-exploring random trees (RRT), which require complete environment knowledge and fail when conditions change mid-flight, DRL agents learn adaptive policies through interaction with a simulated environment. When multiple agents must be coordinated simultaneously, multi-agent deep reinforcement learning (MARL) extends this framework, allowing groups of agents to develop cooperative behaviors through joint or decentralized training.</w:t>
      </w:r>
    </w:p>
    <w:p>
      <w:pPr>
        <w:spacing w:after="120" w:line="360" w:lineRule="exact"/>
        <w:jc w:val="both"/>
      </w:pPr>
      <w:r>
        <w:rPr>
          <w:rFonts w:ascii="Times New Roman" w:hAnsi="Times New Roman"/>
          <w:sz w:val="24"/>
        </w:rPr>
        <w:t>Despite rapid progress, the MARL literature on UAV coordination has developed along parallel tracks that have not been integrated. Work on dynamic target assignment has been developed separately from work on collision avoidance between drones in flight. Work on large-scale swarm coordination has been conducted in two-dimensional environments, while work on three-dimensional path planning has focused on single drones. This research addresses one specific intersection that no existing work has studied: the combination of real-time dynamic target assignment and conflict-aware collision avoidance in a three-dimensional multi-drone setting.</w:t>
      </w:r>
    </w:p>
    <w:p>
      <w:pPr>
        <w:spacing w:before="280" w:after="120"/>
      </w:pPr>
      <w:r>
        <w:rPr>
          <w:rFonts w:ascii="Times New Roman" w:hAnsi="Times New Roman"/>
          <w:b/>
          <w:sz w:val="24"/>
        </w:rPr>
        <w:t>2.   Literature Review</w:t>
      </w:r>
    </w:p>
    <w:p>
      <w:pPr>
        <w:spacing w:after="120" w:line="360" w:lineRule="exact"/>
        <w:jc w:val="both"/>
      </w:pPr>
      <w:r>
        <w:rPr>
          <w:rFonts w:ascii="Times New Roman" w:hAnsi="Times New Roman"/>
          <w:sz w:val="24"/>
        </w:rPr>
        <w:t>The foundation of modern deep reinforcement learning was established by Mnih et al. [12], who demonstrated that a convolutional neural network trained with Q-learning could achieve human-level performance on Atari games directly from pixel inputs. Subsequent refinements addressed key instabilities: Van Hasselt et al. [13] introduced Double DQN to reduce systematic overestimation of action values; Wang et al. [14] proposed the Dueling Network architecture, which separately estimates state values and action advantages; and Schaul et al. [15] introduced Prioritized Experience Replay, which samples transitions in proportion to their temporal-difference error. These contributions form the basis of the Improved D3QN architecture used by Tang et al. [1] for single-UAV dynamic scene navigation.</w:t>
      </w:r>
    </w:p>
    <w:p>
      <w:pPr>
        <w:spacing w:after="120" w:line="360" w:lineRule="exact"/>
        <w:jc w:val="both"/>
      </w:pPr>
      <w:r>
        <w:rPr>
          <w:rFonts w:ascii="Times New Roman" w:hAnsi="Times New Roman"/>
          <w:sz w:val="24"/>
        </w:rPr>
        <w:t>Policy gradient methods provided an alternative naturally suited to continuous action spaces. Schulman et al. [16] proposed Proximal Policy Optimization (PPO), which constrains policy updates through a clipped surrogate objective, achieving training stability without trust-region complexity. Fujimoto et al. [18] developed Twin Delayed Deep Deterministic Policy Gradient (TD3), addressing overestimation in actor-critic methods through clipped double-Q learning and delayed updates. TD3 was adopted by Kong et al. [2] as the policy backbone for multi-UAV target assignment.</w:t>
      </w:r>
    </w:p>
    <w:p>
      <w:pPr>
        <w:spacing w:after="120" w:line="360" w:lineRule="exact"/>
        <w:jc w:val="both"/>
      </w:pPr>
      <w:r>
        <w:rPr>
          <w:rFonts w:ascii="Times New Roman" w:hAnsi="Times New Roman"/>
          <w:sz w:val="24"/>
        </w:rPr>
        <w:t>The extension to multi-agent settings introduced new coordination challenges. Lowe et al. [17] proposed MADDPG, a centralized-training decentralized-execution framework in which each agent's critic observes the full joint state during training but the actor relies only on local observations at execution time. Rashid et al. [19] introduced QMIX, which factorizes the joint action-value function subject to a monotonicity constraint. Yang et al. [20] applied mean-field theory to MARL, approximating the population interaction through a mean-field term, reducing computational complexity from quadratic to linear in the number of agents. Yu et al. [21] established that MAPPO — PPO with a shared critic — is surprisingly competitive with more complex MARL algorithms on cooperative benchmarks, motivating its use as the policy backbone in recent UAV coordination work [10].</w:t>
      </w:r>
    </w:p>
    <w:p>
      <w:pPr>
        <w:spacing w:after="120" w:line="360" w:lineRule="exact"/>
        <w:jc w:val="both"/>
      </w:pPr>
      <w:r>
        <w:rPr>
          <w:rFonts w:ascii="Times New Roman" w:hAnsi="Times New Roman"/>
          <w:sz w:val="24"/>
        </w:rPr>
        <w:t>Surveys have provided systematic overviews of progress. Govinda et al. [11] identified the absence of unified frameworks addressing both navigation efficiency and inter-agent coordination as a persistent limitation. Aggarwal and Kumar [23] highlighted DRL as the most promising direction for real-time adaptive UAV path planning. Gronauer and Diepold [25] identified scalability and partial observability as the two most persistent open challenges in multi-agent DRL.</w:t>
      </w:r>
    </w:p>
    <w:p>
      <w:pPr>
        <w:spacing w:after="120" w:line="360" w:lineRule="exact"/>
        <w:jc w:val="both"/>
      </w:pPr>
      <w:r>
        <w:rPr>
          <w:rFonts w:ascii="Times New Roman" w:hAnsi="Times New Roman"/>
          <w:sz w:val="24"/>
        </w:rPr>
        <w:t>For single-UAV navigation, Tang et al. [1] proposed an Improved D3QN achieving approximately 95% success rates in environments with moving threat zones, outperforming A* and RRT on path quality. Jarray et al. [3] introduced a dynamic reward function providing dense step-by-step feedback in a 25 km² 3D grid, achieving 98% success in low-obstacle conditions, substantially outperforming particle swarm and grey wolf optimization baselines.</w:t>
      </w:r>
    </w:p>
    <w:p>
      <w:pPr>
        <w:spacing w:after="120" w:line="360" w:lineRule="exact"/>
        <w:jc w:val="both"/>
      </w:pPr>
      <w:r>
        <w:rPr>
          <w:rFonts w:ascii="Times New Roman" w:hAnsi="Times New Roman"/>
          <w:sz w:val="24"/>
        </w:rPr>
        <w:t>Multi-UAV coordination introduced target assignment alongside path planning. Kong et al. [2] proposed TANet-TD3, performing target assignment and path planning simultaneously using Hungarian algorithm labels, evaluated on five drones in a 2D environment. Zhang et al. [4] scaled swarm coordination to 80–120 drones using PO-WMFDDPG, combining mean-field DDPG with multi-head attention, maintaining above 90% success at 120 drones where standard MARL baselines collapse.</w:t>
      </w:r>
    </w:p>
    <w:p>
      <w:pPr>
        <w:spacing w:after="120" w:line="360" w:lineRule="exact"/>
        <w:jc w:val="both"/>
      </w:pPr>
      <w:r>
        <w:rPr>
          <w:rFonts w:ascii="Times New Roman" w:hAnsi="Times New Roman"/>
          <w:sz w:val="24"/>
        </w:rPr>
        <w:t>The most directly relevant precursor is DA-MAPPO (Sheng et al. [10]), which embeds real-time Hungarian-algorithm-based assignments directly into each drone's observation vector, updated at every decision step. Its ablation study shows mission success drops from over 90% to exactly 0% when this assignment-augmented state is removed, establishing that this mechanism alone drives the framework's effectiveness. DA-MAPPO was evaluated on three drones in a 2D environment with static obstacles; its authors explicitly list 3D extension and larger swarm sizes as future work.</w:t>
      </w:r>
    </w:p>
    <w:p>
      <w:pPr>
        <w:spacing w:after="120" w:line="360" w:lineRule="exact"/>
        <w:jc w:val="both"/>
      </w:pPr>
      <w:r>
        <w:rPr>
          <w:rFonts w:ascii="Times New Roman" w:hAnsi="Times New Roman"/>
          <w:sz w:val="24"/>
        </w:rPr>
        <w:t>For collision avoidance, Rezaee et al. [9] proposed IGAT-MARL, replacing dense all-to-all interaction graphs with a sparse conflict-driven graph connecting only drone pairs predicted to be on a collision course within a defined time horizon. The framework achieves 17% higher reward, 10% fewer dangerous separation events, and 44% fewer interaction edges compared to the prior best baseline. Critically, IGAT-MARL has no target assignment component, and the authors list incorporating task allocation as a clear future direction.</w:t>
      </w:r>
    </w:p>
    <w:p>
      <w:pPr>
        <w:spacing w:after="120" w:line="360" w:lineRule="exact"/>
        <w:jc w:val="both"/>
      </w:pPr>
      <w:r>
        <w:rPr>
          <w:rFonts w:ascii="Times New Roman" w:hAnsi="Times New Roman"/>
          <w:sz w:val="24"/>
        </w:rPr>
        <w:t>Recent work has explored integrating large language models into UAV coordination. Xu et al. [6] proposed MRLMN using GPT-4o to provide strategic relay position initialization, significantly reducing the cold-start problem in MARL training. Wang et al. [7] developed RALLY, using LLM semantic consensus to assign roles to drones before refining coordination through an RMIX network. Poudel and Moh [5] addressed heterogeneous drone fleets in disaster scenarios using MAML for rapid adaptation combined with resource-aware coalition formation [8].</w:t>
      </w:r>
    </w:p>
    <w:p>
      <w:pPr>
        <w:spacing w:after="120" w:line="360" w:lineRule="exact"/>
        <w:jc w:val="both"/>
      </w:pPr>
      <w:r>
        <w:rPr>
          <w:rFonts w:ascii="Times New Roman" w:hAnsi="Times New Roman"/>
          <w:sz w:val="24"/>
        </w:rPr>
        <w:t>Taken together, the literature reveals a consistent structural gap: the mechanisms that solve target assignment (DA-MAPPO) and collision avoidance (IGAT-MARL) have never been combined, and neither has been evaluated in three-dimensional space. Both papers document this gap in their own future work sections. No published work provides an empirical answer to whether these two mechanisms, when placed inside the same policy in 3D, cooperate or interfere with each other.</w:t>
      </w:r>
    </w:p>
    <w:p>
      <w:pPr>
        <w:spacing w:before="280" w:after="120"/>
      </w:pPr>
      <w:r>
        <w:rPr>
          <w:rFonts w:ascii="Times New Roman" w:hAnsi="Times New Roman"/>
          <w:b/>
          <w:sz w:val="24"/>
        </w:rPr>
        <w:t>3.   Problem Statement</w:t>
      </w:r>
    </w:p>
    <w:p>
      <w:pPr>
        <w:spacing w:after="120" w:line="360" w:lineRule="exact"/>
        <w:jc w:val="both"/>
      </w:pPr>
      <w:r>
        <w:rPr>
          <w:rFonts w:ascii="Times New Roman" w:hAnsi="Times New Roman"/>
          <w:sz w:val="24"/>
        </w:rPr>
        <w:t>DA-MAPPO [10] and IGAT-MARL [9] are the two most advanced solutions to the sub-problems of dynamic target assignment and collision avoidance in multi-UAV coordination. DA-MAPPO demonstrated that its assignment-augmented observation is the sole mechanism driving performance (0% success without it), but tested only three drones in a 2D environment without an explicit collision-avoidance component. IGAT-MARL demonstrated that sparse conflict-driven interaction graphs improve collision avoidance at scale, but contains no target assignment. Both papers explicitly name the other's contribution as their next step, confirming that the gap is acknowledged and unresolved in the existing literature.</w:t>
      </w:r>
    </w:p>
    <w:p>
      <w:pPr>
        <w:spacing w:after="120" w:line="360" w:lineRule="exact"/>
        <w:jc w:val="both"/>
      </w:pPr>
      <w:r>
        <w:rPr>
          <w:rFonts w:ascii="Times New Roman" w:hAnsi="Times New Roman"/>
          <w:sz w:val="24"/>
        </w:rPr>
        <w:t>The specific problem addressed in this research arises in three-dimensional space: the assignment module sends each drone toward its target without awareness of which drone pairs are in active conflict states, while the conflict graph forces course deviations without awareness of current target assignments. In 2D, this interference is limited to the horizontal plane. In 3D, altitude introduces vertical collision trajectories — a drone assigned to a target directly above it may be on a collision course with another drone on the same vertical path — and the two mechanisms issue contradictory navigation commands. No existing work has placed these mechanisms in the same policy or tested whether the assignment-augmented observation that is critical in 2D remains effective when drones must simultaneously reason about altitude and collision avoidance.</w:t>
      </w:r>
    </w:p>
    <w:p>
      <w:pPr>
        <w:spacing w:after="120" w:line="360" w:lineRule="exact"/>
        <w:jc w:val="both"/>
      </w:pPr>
      <w:r>
        <w:rPr>
          <w:rFonts w:ascii="Times New Roman" w:hAnsi="Times New Roman"/>
          <w:b/>
          <w:sz w:val="24"/>
        </w:rPr>
        <w:t xml:space="preserve">Research Question: </w:t>
      </w:r>
      <w:r>
        <w:rPr>
          <w:rFonts w:ascii="Times New Roman" w:hAnsi="Times New Roman"/>
          <w:sz w:val="24"/>
        </w:rPr>
        <w:t>Can a single MAPPO policy, trained with both assignment-augmented observations and a conflict-aware interaction graph, achieve above 85% mission success for 5–8 UAVs navigating to dynamically assigned targets in a 3D environment — and do the two mechanisms reinforce or degrade each other?</w:t>
      </w:r>
    </w:p>
    <w:p>
      <w:pPr>
        <w:spacing w:before="280" w:after="120"/>
      </w:pPr>
      <w:r>
        <w:rPr>
          <w:rFonts w:ascii="Times New Roman" w:hAnsi="Times New Roman"/>
          <w:b/>
          <w:sz w:val="24"/>
        </w:rPr>
        <w:t>4.   Research Objectives</w:t>
      </w:r>
    </w:p>
    <w:p>
      <w:pPr>
        <w:spacing w:after="120" w:line="360" w:lineRule="exact"/>
        <w:jc w:val="both"/>
      </w:pPr>
      <w:r>
        <w:rPr>
          <w:rFonts w:ascii="Times New Roman" w:hAnsi="Times New Roman"/>
          <w:b/>
          <w:sz w:val="24"/>
        </w:rPr>
        <w:t xml:space="preserve">1.  </w:t>
      </w:r>
      <w:r>
        <w:rPr>
          <w:rFonts w:ascii="Times New Roman" w:hAnsi="Times New Roman"/>
          <w:sz w:val="24"/>
        </w:rPr>
        <w:t>To design a unified observation representation that encodes both the current Hungarian-algorithm-based target assignment and the current conflict-aware neighborhood for each drone in a 3D MAPPO policy.</w:t>
      </w:r>
    </w:p>
    <w:p>
      <w:pPr>
        <w:spacing w:after="120" w:line="360" w:lineRule="exact"/>
        <w:jc w:val="both"/>
      </w:pPr>
      <w:r>
        <w:rPr>
          <w:rFonts w:ascii="Times New Roman" w:hAnsi="Times New Roman"/>
          <w:b/>
          <w:sz w:val="24"/>
        </w:rPr>
        <w:t xml:space="preserve">2.  </w:t>
      </w:r>
      <w:r>
        <w:rPr>
          <w:rFonts w:ascii="Times New Roman" w:hAnsi="Times New Roman"/>
          <w:sz w:val="24"/>
        </w:rPr>
        <w:t>To train and evaluate the proposed framework across swarm sizes of 3, 5, and 8 drones and assess whether performance degrades as the number of simultaneous assignment-conflict interactions increases.</w:t>
      </w:r>
    </w:p>
    <w:p>
      <w:pPr>
        <w:spacing w:after="120" w:line="360" w:lineRule="exact"/>
        <w:jc w:val="both"/>
      </w:pPr>
      <w:r>
        <w:rPr>
          <w:rFonts w:ascii="Times New Roman" w:hAnsi="Times New Roman"/>
          <w:b/>
          <w:sz w:val="24"/>
        </w:rPr>
        <w:t xml:space="preserve">3.  </w:t>
      </w:r>
      <w:r>
        <w:rPr>
          <w:rFonts w:ascii="Times New Roman" w:hAnsi="Times New Roman"/>
          <w:sz w:val="24"/>
        </w:rPr>
        <w:t>To conduct controlled ablation experiments isolating the contribution of the assignment mechanism, the conflict graph, and the 3D extension — determining whether each component helps independently and whether they help more in combination.</w:t>
      </w:r>
    </w:p>
    <w:p>
      <w:pPr>
        <w:spacing w:after="120" w:line="360" w:lineRule="exact"/>
        <w:jc w:val="both"/>
      </w:pPr>
      <w:r>
        <w:rPr>
          <w:rFonts w:ascii="Times New Roman" w:hAnsi="Times New Roman"/>
          <w:b/>
          <w:sz w:val="24"/>
        </w:rPr>
        <w:t xml:space="preserve">4.  </w:t>
      </w:r>
      <w:r>
        <w:rPr>
          <w:rFonts w:ascii="Times New Roman" w:hAnsi="Times New Roman"/>
          <w:sz w:val="24"/>
        </w:rPr>
        <w:t>To identify the failure boundary: the specific conditions of swarm size, obstacle density, and target movement speed under which the combined policy fails, and to characterize the nature of that failure.</w:t>
      </w:r>
    </w:p>
    <w:p>
      <w:pPr>
        <w:spacing w:before="280" w:after="120"/>
      </w:pPr>
      <w:r>
        <w:rPr>
          <w:rFonts w:ascii="Times New Roman" w:hAnsi="Times New Roman"/>
          <w:b/>
          <w:sz w:val="24"/>
        </w:rPr>
        <w:t>5.   Research Methodology</w:t>
      </w:r>
    </w:p>
    <w:p>
      <w:pPr>
        <w:spacing w:after="120" w:line="360" w:lineRule="exact"/>
        <w:jc w:val="both"/>
      </w:pPr>
      <w:r>
        <w:rPr>
          <w:rFonts w:ascii="Times New Roman" w:hAnsi="Times New Roman"/>
          <w:sz w:val="24"/>
        </w:rPr>
        <w:t>The proposed research follows a quantitative, experimental methodology using multi-agent deep reinforcement learning in a controlled 3D simulation environment. The framework is built on MAPPO (Multi-Agent Proximal Policy Optimization), selected on the basis of its validated performance in the target assignment setting by DA-MAPPO and its known stability under partial observability.</w:t>
      </w:r>
    </w:p>
    <w:p>
      <w:pPr>
        <w:spacing w:before="200" w:after="80"/>
      </w:pPr>
      <w:r>
        <w:rPr>
          <w:rFonts w:ascii="Times New Roman" w:hAnsi="Times New Roman"/>
          <w:b/>
          <w:sz w:val="22"/>
        </w:rPr>
        <w:t>5.1   Framework Design</w:t>
      </w:r>
    </w:p>
    <w:p>
      <w:pPr>
        <w:spacing w:after="120" w:line="360" w:lineRule="exact"/>
        <w:jc w:val="both"/>
      </w:pPr>
      <w:r>
        <w:rPr>
          <w:rFonts w:ascii="Times New Roman" w:hAnsi="Times New Roman"/>
          <w:sz w:val="24"/>
        </w:rPr>
        <w:t>Each drone's observation vector consists of four components: (1) its own 3D position and velocity; (2) the 3D relative position of its currently assigned target, derived from a minimum-cost Hungarian assignment computed at every decision step; (3) the positions and velocities of conflict neighbors only, determined by a dynamic conflict graph connecting drone pairs predicted to enter a collision threshold within a defined time horizon; and (4) obstacle proximity readings in six cardinal directions. Actions are continuous 3D velocity commands processed by a shared MAPPO actor-critic network with centralized training and decentralized execution.</w:t>
      </w:r>
    </w:p>
    <w:p>
      <w:pPr>
        <w:spacing w:before="200" w:after="80"/>
      </w:pPr>
      <w:r>
        <w:rPr>
          <w:rFonts w:ascii="Times New Roman" w:hAnsi="Times New Roman"/>
          <w:b/>
          <w:sz w:val="22"/>
        </w:rPr>
        <w:t>5.2   Training Strategy</w:t>
      </w:r>
    </w:p>
    <w:p>
      <w:pPr>
        <w:spacing w:after="120" w:line="360" w:lineRule="exact"/>
        <w:jc w:val="both"/>
      </w:pPr>
      <w:r>
        <w:rPr>
          <w:rFonts w:ascii="Times New Roman" w:hAnsi="Times New Roman"/>
          <w:sz w:val="24"/>
        </w:rPr>
        <w:t>A four-stage curriculum is applied. Stage 1 replicates DA-MAPPO with 3 drones in 3D with static targets as a validation baseline. Stage 2 introduces 5 drones with moving targets and moderate obstacle density. Stage 3 scales to 8 drones with high obstacle density and dynamic targets. Stage 4 tests generalization across varied swarm sizes not seen during training. This curriculum follows the approach validated by both DA-MAPPO and IGAT-MARL.</w:t>
      </w:r>
    </w:p>
    <w:p>
      <w:pPr>
        <w:spacing w:before="200" w:after="80"/>
      </w:pPr>
      <w:r>
        <w:rPr>
          <w:rFonts w:ascii="Times New Roman" w:hAnsi="Times New Roman"/>
          <w:b/>
          <w:sz w:val="22"/>
        </w:rPr>
        <w:t>5.3   Evaluation Measures</w:t>
      </w:r>
    </w:p>
    <w:p>
      <w:pPr>
        <w:spacing w:after="120" w:line="360" w:lineRule="exact"/>
        <w:jc w:val="both"/>
      </w:pPr>
      <w:r>
        <w:rPr>
          <w:rFonts w:ascii="Times New Roman" w:hAnsi="Times New Roman"/>
          <w:sz w:val="24"/>
        </w:rPr>
        <w:t>The primary metric is mission success rate: the fraction of episodes in which all drones reach their assigned targets without any inter-drone or obstacle collision within a fixed time limit. Secondary metrics include inter-drone collision count, obstacle collision count, number of target reassignments per episode, and average trajectory length per drone. Evaluation is conducted across three obstacle densities (30, 40, and 50 obstacles) and three swarm sizes (3, 5, and 8 drones). Four baselines are used: (1) standard MAPPO without assignment or conflict graph; (2) DA-MAPPO ported to 3D without the conflict graph; (3) IGAT-MARL with a fixed assignment; and (4) the original 2D DA-MAPPO for replication verification. All experiments use PyBullet simulation and PyTorch, both freely available.</w:t>
      </w:r>
    </w:p>
    <w:p>
      <w:pPr>
        <w:spacing w:before="200" w:after="80"/>
      </w:pPr>
      <w:r>
        <w:rPr>
          <w:rFonts w:ascii="Times New Roman" w:hAnsi="Times New Roman"/>
          <w:b/>
          <w:sz w:val="22"/>
        </w:rPr>
        <w:t>5.4   Research Pipeline</w:t>
      </w:r>
    </w:p>
    <w:p>
      <w:r>
        <w:rPr>
          <w:rFonts w:ascii="Times New Roman" w:hAnsi="Times New Roman"/>
          <w:b/>
          <w:sz w:val="20"/>
        </w:rPr>
        <w:t>Table 2.  Proposed Framework Pipeline</w:t>
      </w:r>
    </w:p>
    <w:tbl>
      <w:tblPr>
        <w:tblStyle w:val="TableGrid"/>
        <w:tblW w:type="auto" w:w="0"/>
        <w:tblLook w:firstColumn="1" w:firstRow="1" w:lastColumn="0" w:lastRow="0" w:noHBand="0" w:noVBand="1" w:val="04A0"/>
      </w:tblPr>
      <w:tblGrid>
        <w:gridCol w:w="8306"/>
      </w:tblGrid>
      <w:tr>
        <w:tc>
          <w:tcPr>
            <w:tcW w:type="dxa" w:w="8306"/>
          </w:tcPr>
          <w:p>
            <w:r/>
            <w:r>
              <w:rPr>
                <w:rFonts w:ascii="Times New Roman" w:hAnsi="Times New Roman"/>
                <w:b w:val="0"/>
                <w:sz w:val="20"/>
              </w:rPr>
              <w:t>INPUT: 3D Environment — Drones, Dynamic Targets, Obstacles</w:t>
            </w:r>
          </w:p>
        </w:tc>
      </w:tr>
      <w:tr>
        <w:tc>
          <w:tcPr>
            <w:tcW w:type="dxa" w:w="8306"/>
          </w:tcPr>
          <w:p>
            <w:r/>
            <w:r>
              <w:rPr>
                <w:rFonts w:ascii="Times New Roman" w:hAnsi="Times New Roman"/>
                <w:b w:val="0"/>
                <w:sz w:val="20"/>
              </w:rPr>
              <w:t>Step 1: Hungarian Assignment (minimum-cost, runs every decision step)</w:t>
            </w:r>
          </w:p>
        </w:tc>
      </w:tr>
      <w:tr>
        <w:tc>
          <w:tcPr>
            <w:tcW w:type="dxa" w:w="8306"/>
          </w:tcPr>
          <w:p>
            <w:r/>
            <w:r>
              <w:rPr>
                <w:rFonts w:ascii="Times New Roman" w:hAnsi="Times New Roman"/>
                <w:b w:val="0"/>
                <w:sz w:val="20"/>
              </w:rPr>
              <w:t>Step 2: Conflict Graph Update (connects only collision-predicted drone pairs)</w:t>
            </w:r>
          </w:p>
        </w:tc>
      </w:tr>
      <w:tr>
        <w:tc>
          <w:tcPr>
            <w:tcW w:type="dxa" w:w="8306"/>
          </w:tcPr>
          <w:p>
            <w:r/>
            <w:r>
              <w:rPr>
                <w:rFonts w:ascii="Times New Roman" w:hAnsi="Times New Roman"/>
                <w:b w:val="0"/>
                <w:sz w:val="20"/>
              </w:rPr>
              <w:t>Step 3: Combined Observation Vector (assignment state + conflict neighbors + obstacle proximity)</w:t>
            </w:r>
          </w:p>
        </w:tc>
      </w:tr>
      <w:tr>
        <w:tc>
          <w:tcPr>
            <w:tcW w:type="dxa" w:w="8306"/>
          </w:tcPr>
          <w:p>
            <w:r/>
            <w:r>
              <w:rPr>
                <w:rFonts w:ascii="Times New Roman" w:hAnsi="Times New Roman"/>
                <w:b w:val="0"/>
                <w:sz w:val="20"/>
              </w:rPr>
              <w:t>Step 4: MAPPO Policy — Continuous 3D Velocity Commands</w:t>
            </w:r>
          </w:p>
        </w:tc>
      </w:tr>
      <w:tr>
        <w:tc>
          <w:tcPr>
            <w:tcW w:type="dxa" w:w="8306"/>
          </w:tcPr>
          <w:p>
            <w:r/>
            <w:r>
              <w:rPr>
                <w:rFonts w:ascii="Times New Roman" w:hAnsi="Times New Roman"/>
                <w:b w:val="0"/>
                <w:sz w:val="20"/>
              </w:rPr>
              <w:t>OUTPUT: Evaluation — Mission Success Rate, Collision Count, Trajectory Length</w:t>
            </w:r>
          </w:p>
        </w:tc>
      </w:tr>
    </w:tbl>
    <w:p/>
    <w:p>
      <w:pPr>
        <w:spacing w:before="280" w:after="120"/>
      </w:pPr>
      <w:r>
        <w:rPr>
          <w:rFonts w:ascii="Times New Roman" w:hAnsi="Times New Roman"/>
          <w:b/>
          <w:sz w:val="24"/>
        </w:rPr>
        <w:t>References</w:t>
      </w:r>
    </w:p>
    <w:p>
      <w:pPr>
        <w:spacing w:after="60"/>
        <w:ind w:left="432" w:hanging="432"/>
      </w:pPr>
      <w:r>
        <w:rPr>
          <w:rFonts w:ascii="Times New Roman" w:hAnsi="Times New Roman"/>
          <w:sz w:val="22"/>
        </w:rPr>
        <w:t>[1]  J. Tang, Y. Liang, and K. Li, "Dynamic scene path planning of UAVs based on deep reinforcement learning," Drones, vol. 8, no. 2, p. 60, 2024.</w:t>
      </w:r>
    </w:p>
    <w:p>
      <w:pPr>
        <w:spacing w:after="60"/>
        <w:ind w:left="432" w:hanging="432"/>
      </w:pPr>
      <w:r>
        <w:rPr>
          <w:rFonts w:ascii="Times New Roman" w:hAnsi="Times New Roman"/>
          <w:sz w:val="22"/>
        </w:rPr>
        <w:t>[2]  X. Kong, Y. Zhou, Z. Li, and S. Wang, "Multi-UAV simultaneous target assignment and path planning based on deep reinforcement learning in dynamic multiple obstacles environments," Front. Neurorobot., vol. 17, p. 1302898, 2024.</w:t>
      </w:r>
    </w:p>
    <w:p>
      <w:pPr>
        <w:spacing w:after="60"/>
        <w:ind w:left="432" w:hanging="432"/>
      </w:pPr>
      <w:r>
        <w:rPr>
          <w:rFonts w:ascii="Times New Roman" w:hAnsi="Times New Roman"/>
          <w:sz w:val="22"/>
        </w:rPr>
        <w:t>[3]  R. Jarray, I. Zaghbani, and S. Bouallègue, "Dynamic reward-based deep reinforcement learning algorithm for UAV path planning in large-scale environments," Procedia Comput. Sci., vol. 270, pp. 692–702, 2025.</w:t>
      </w:r>
    </w:p>
    <w:p>
      <w:pPr>
        <w:spacing w:after="60"/>
        <w:ind w:left="432" w:hanging="432"/>
      </w:pPr>
      <w:r>
        <w:rPr>
          <w:rFonts w:ascii="Times New Roman" w:hAnsi="Times New Roman"/>
          <w:sz w:val="22"/>
        </w:rPr>
        <w:t>[4]  Y. Zhang et al., "Large-scale UAV swarm path planning based on mean-field reinforcement learning," Chin. J. Aeronaut., vol. 38, no. 9, p. 103484, 2025.</w:t>
      </w:r>
    </w:p>
    <w:p>
      <w:pPr>
        <w:spacing w:after="60"/>
        <w:ind w:left="432" w:hanging="432"/>
      </w:pPr>
      <w:r>
        <w:rPr>
          <w:rFonts w:ascii="Times New Roman" w:hAnsi="Times New Roman"/>
          <w:sz w:val="22"/>
        </w:rPr>
        <w:t>[5]  S. Poudel and S. Moh, "MAML-integrated multi-agent reinforcement learning for adaptive coalition-based UAV coordination in disaster scenarios," Internet of Things, vol. 37, p. 101930, 2026.</w:t>
      </w:r>
    </w:p>
    <w:p>
      <w:pPr>
        <w:spacing w:after="60"/>
        <w:ind w:left="432" w:hanging="432"/>
      </w:pPr>
      <w:r>
        <w:rPr>
          <w:rFonts w:ascii="Times New Roman" w:hAnsi="Times New Roman"/>
          <w:sz w:val="22"/>
        </w:rPr>
        <w:t>[6]  Y. Xu et al., "Scalable UAV multi-hop networking via multi-agent reinforcement learning with large language models," arXiv:2505.08448, 2026.</w:t>
      </w:r>
    </w:p>
    <w:p>
      <w:pPr>
        <w:spacing w:after="60"/>
        <w:ind w:left="432" w:hanging="432"/>
      </w:pPr>
      <w:r>
        <w:rPr>
          <w:rFonts w:ascii="Times New Roman" w:hAnsi="Times New Roman"/>
          <w:sz w:val="22"/>
        </w:rPr>
        <w:t>[7]  Y. Wang et al., "RALLY: Role-adaptive LLM-driven yoked navigation for agentic UAV swarms," IEEE Open J. Veh. Technol., vol. 6, 2025.</w:t>
      </w:r>
    </w:p>
    <w:p>
      <w:pPr>
        <w:spacing w:after="60"/>
        <w:ind w:left="432" w:hanging="432"/>
      </w:pPr>
      <w:r>
        <w:rPr>
          <w:rFonts w:ascii="Times New Roman" w:hAnsi="Times New Roman"/>
          <w:sz w:val="22"/>
        </w:rPr>
        <w:t>[8]  M. S. Khan, M. J. Khan, M. Sharif, and S. Yasmin, "Beyond single-framework architectures: A systematic evaluation and hybrid design for scalable multi-agent coordination," IEEE Access, vol. 14, 2026.</w:t>
      </w:r>
    </w:p>
    <w:p>
      <w:pPr>
        <w:spacing w:after="60"/>
        <w:ind w:left="432" w:hanging="432"/>
      </w:pPr>
      <w:r>
        <w:rPr>
          <w:rFonts w:ascii="Times New Roman" w:hAnsi="Times New Roman"/>
          <w:sz w:val="22"/>
        </w:rPr>
        <w:t>[9]  M. R. Rezaee, N. A. W. A. Hamid, M. Hussin, and Z. A. Zukarnain, "Efficient multi-agent deep reinforcement learning algorithm for multi UAV collision avoidance," Appl. Soft Comput., vol. 197, p. 115145, 2026.</w:t>
      </w:r>
    </w:p>
    <w:p>
      <w:pPr>
        <w:spacing w:after="60"/>
        <w:ind w:left="432" w:hanging="432"/>
      </w:pPr>
      <w:r>
        <w:rPr>
          <w:rFonts w:ascii="Times New Roman" w:hAnsi="Times New Roman"/>
          <w:sz w:val="22"/>
        </w:rPr>
        <w:t>[10] Y. Sheng, X. Xie, H. Liu, and J. Li, "Dynamic target assignment and cooperative decision-making for UAV swarms based on multi-agent reinforcement learning," IEEE Internet Things J., doi: 10.1109/JIOT.2026.3686066, 2026.</w:t>
      </w:r>
    </w:p>
    <w:p>
      <w:pPr>
        <w:spacing w:after="60"/>
        <w:ind w:left="432" w:hanging="432"/>
      </w:pPr>
      <w:r>
        <w:rPr>
          <w:rFonts w:ascii="Times New Roman" w:hAnsi="Times New Roman"/>
          <w:sz w:val="22"/>
        </w:rPr>
        <w:t>[11] S. Govinda, B. Brik, and S. Harous, "A survey on deep reinforcement learning applications in autonomous systems," IEEE Trans. Intell. Transp. Syst., vol. 26, no. 7, 2025.</w:t>
      </w:r>
    </w:p>
    <w:p>
      <w:pPr>
        <w:spacing w:after="60"/>
        <w:ind w:left="432" w:hanging="432"/>
      </w:pPr>
      <w:r>
        <w:rPr>
          <w:rFonts w:ascii="Times New Roman" w:hAnsi="Times New Roman"/>
          <w:sz w:val="22"/>
        </w:rPr>
        <w:t>[12] V. Mnih et al., "Human-level control through deep reinforcement learning," Nature, vol. 518, pp. 529–533, 2015.</w:t>
      </w:r>
    </w:p>
    <w:p>
      <w:pPr>
        <w:spacing w:after="60"/>
        <w:ind w:left="432" w:hanging="432"/>
      </w:pPr>
      <w:r>
        <w:rPr>
          <w:rFonts w:ascii="Times New Roman" w:hAnsi="Times New Roman"/>
          <w:sz w:val="22"/>
        </w:rPr>
        <w:t>[13] H. Van Hasselt, A. Guez, and D. Silver, "Deep reinforcement learning with double Q-learning," in Proc. AAAI, 2016, pp. 2094–2100.</w:t>
      </w:r>
    </w:p>
    <w:p>
      <w:pPr>
        <w:spacing w:after="60"/>
        <w:ind w:left="432" w:hanging="432"/>
      </w:pPr>
      <w:r>
        <w:rPr>
          <w:rFonts w:ascii="Times New Roman" w:hAnsi="Times New Roman"/>
          <w:sz w:val="22"/>
        </w:rPr>
        <w:t>[14] Z. Wang et al., "Dueling network architectures for deep reinforcement learning," in Proc. ICML, 2016, pp. 1995–2003.</w:t>
      </w:r>
    </w:p>
    <w:p>
      <w:pPr>
        <w:spacing w:after="60"/>
        <w:ind w:left="432" w:hanging="432"/>
      </w:pPr>
      <w:r>
        <w:rPr>
          <w:rFonts w:ascii="Times New Roman" w:hAnsi="Times New Roman"/>
          <w:sz w:val="22"/>
        </w:rPr>
        <w:t>[15] T. Schaul, J. Quan, I. Antonoglou, and D. Silver, "Prioritized experience replay," in Proc. ICLR, 2016.</w:t>
      </w:r>
    </w:p>
    <w:p>
      <w:pPr>
        <w:spacing w:after="60"/>
        <w:ind w:left="432" w:hanging="432"/>
      </w:pPr>
      <w:r>
        <w:rPr>
          <w:rFonts w:ascii="Times New Roman" w:hAnsi="Times New Roman"/>
          <w:sz w:val="22"/>
        </w:rPr>
        <w:t>[16] J. Schulman, F. Wolski, P. Dhariwal, A. Radford, and O. Klimov, "Proximal policy optimization algorithms," arXiv:1707.06347, 2017.</w:t>
      </w:r>
    </w:p>
    <w:p>
      <w:pPr>
        <w:spacing w:after="60"/>
        <w:ind w:left="432" w:hanging="432"/>
      </w:pPr>
      <w:r>
        <w:rPr>
          <w:rFonts w:ascii="Times New Roman" w:hAnsi="Times New Roman"/>
          <w:sz w:val="22"/>
        </w:rPr>
        <w:t>[17] R. Lowe et al., "Multi-agent actor-critic for mixed cooperative-competitive environments," in Proc. NeurIPS, 2017, pp. 6379–6390.</w:t>
      </w:r>
    </w:p>
    <w:p>
      <w:pPr>
        <w:spacing w:after="60"/>
        <w:ind w:left="432" w:hanging="432"/>
      </w:pPr>
      <w:r>
        <w:rPr>
          <w:rFonts w:ascii="Times New Roman" w:hAnsi="Times New Roman"/>
          <w:sz w:val="22"/>
        </w:rPr>
        <w:t>[18] S. Fujimoto, H. Hoof, and D. Meger, "Addressing function approximation error in actor-critic methods," in Proc. ICML, 2018, pp. 1587–1596.</w:t>
      </w:r>
    </w:p>
    <w:p>
      <w:pPr>
        <w:spacing w:after="60"/>
        <w:ind w:left="432" w:hanging="432"/>
      </w:pPr>
      <w:r>
        <w:rPr>
          <w:rFonts w:ascii="Times New Roman" w:hAnsi="Times New Roman"/>
          <w:sz w:val="22"/>
        </w:rPr>
        <w:t>[19] T. Rashid et al., "QMIX: Monotonic value function factorisation for deep multi-agent reinforcement learning," in Proc. ICML, 2018, pp. 4295–4304.</w:t>
      </w:r>
    </w:p>
    <w:p>
      <w:pPr>
        <w:spacing w:after="60"/>
        <w:ind w:left="432" w:hanging="432"/>
      </w:pPr>
      <w:r>
        <w:rPr>
          <w:rFonts w:ascii="Times New Roman" w:hAnsi="Times New Roman"/>
          <w:sz w:val="22"/>
        </w:rPr>
        <w:t>[20] Y. Yang et al., "Mean field multi-agent reinforcement learning," in Proc. ICML, 2018, pp. 5571–5580.</w:t>
      </w:r>
    </w:p>
    <w:p>
      <w:pPr>
        <w:spacing w:after="60"/>
        <w:ind w:left="432" w:hanging="432"/>
      </w:pPr>
      <w:r>
        <w:rPr>
          <w:rFonts w:ascii="Times New Roman" w:hAnsi="Times New Roman"/>
          <w:sz w:val="22"/>
        </w:rPr>
        <w:t>[21] C. Yu et al., "The surprising effectiveness of PPO in cooperative multi-agent games," in Proc. NeurIPS, 2022.</w:t>
      </w:r>
    </w:p>
    <w:p>
      <w:pPr>
        <w:spacing w:after="60"/>
        <w:ind w:left="432" w:hanging="432"/>
      </w:pPr>
      <w:r>
        <w:rPr>
          <w:rFonts w:ascii="Times New Roman" w:hAnsi="Times New Roman"/>
          <w:sz w:val="22"/>
        </w:rPr>
        <w:t>[22] P. Sunehag et al., "Value-decomposition networks for cooperative multi-agent learning based on team reward," in Proc. AAMAS, 2018.</w:t>
      </w:r>
    </w:p>
    <w:p>
      <w:pPr>
        <w:spacing w:after="60"/>
        <w:ind w:left="432" w:hanging="432"/>
      </w:pPr>
      <w:r>
        <w:rPr>
          <w:rFonts w:ascii="Times New Roman" w:hAnsi="Times New Roman"/>
          <w:sz w:val="22"/>
        </w:rPr>
        <w:t>[23] S. Aggarwal and N. Kumar, "Path planning techniques for unmanned aerial vehicles: A review, solutions, and challenges," Comput. Commun., vol. 149, pp. 270–299, 2020.</w:t>
      </w:r>
    </w:p>
    <w:p>
      <w:pPr>
        <w:spacing w:after="60"/>
        <w:ind w:left="432" w:hanging="432"/>
      </w:pPr>
      <w:r>
        <w:rPr>
          <w:rFonts w:ascii="Times New Roman" w:hAnsi="Times New Roman"/>
          <w:sz w:val="22"/>
        </w:rPr>
        <w:t>[24] F. A. Oliehoek and C. Amato, A Concise Introduction to Decentralized POMDPs. Springer, 2016.</w:t>
      </w:r>
    </w:p>
    <w:p>
      <w:pPr>
        <w:spacing w:after="60"/>
        <w:ind w:left="432" w:hanging="432"/>
      </w:pPr>
      <w:r>
        <w:rPr>
          <w:rFonts w:ascii="Times New Roman" w:hAnsi="Times New Roman"/>
          <w:sz w:val="22"/>
        </w:rPr>
        <w:t>[25] A. Gronauer and K. Diepold, "Multi-agent deep reinforcement learning: A survey," Artif. Intell. Rev., vol. 55, pp. 895–943, 2022.</w:t>
      </w:r>
    </w:p>
    <w:p>
      <w:r>
        <w:br w:type="page"/>
      </w:r>
    </w:p>
    <w:p>
      <w:r>
        <w:rPr>
          <w:rFonts w:ascii="Times New Roman" w:hAnsi="Times New Roman"/>
          <w:sz w:val="20"/>
        </w:rPr>
        <w:t>Student's Name: Ayesha Khalil          Enrollment No.: SP25-RCS-009          Supervisor's Signature: _______________</w:t>
      </w:r>
    </w:p>
    <w:p>
      <w:r>
        <w:rPr>
          <w:sz w:val="16"/>
        </w:rPr>
        <w:t>_______________________________________________________________________________________________</w:t>
      </w:r>
    </w:p>
    <w:p>
      <w:pPr>
        <w:spacing w:before="280" w:after="120"/>
      </w:pPr>
      <w:r>
        <w:rPr>
          <w:rFonts w:ascii="Times New Roman" w:hAnsi="Times New Roman"/>
          <w:b/>
          <w:sz w:val="24"/>
        </w:rPr>
        <w:t>Tentative Schedule</w:t>
      </w:r>
    </w:p>
    <w:p>
      <w:r>
        <w:rPr>
          <w:rFonts w:ascii="Times New Roman" w:hAnsi="Times New Roman"/>
          <w:b/>
          <w:sz w:val="20"/>
        </w:rPr>
        <w:t>Table 3.  Tentative Research Schedule</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
              <w:rPr>
                <w:rFonts w:ascii="Times New Roman" w:hAnsi="Times New Roman"/>
                <w:b/>
                <w:sz w:val="20"/>
              </w:rPr>
              <w:t>Tasks</w:t>
            </w:r>
          </w:p>
        </w:tc>
        <w:tc>
          <w:tcPr>
            <w:tcW w:type="dxa" w:w="1187"/>
          </w:tcPr>
          <w:p>
            <w:pPr>
              <w:jc w:val="center"/>
            </w:pPr>
            <w:r/>
            <w:r>
              <w:rPr>
                <w:rFonts w:ascii="Times New Roman" w:hAnsi="Times New Roman"/>
                <w:b/>
                <w:sz w:val="20"/>
              </w:rPr>
              <w:t>M 1–3</w:t>
            </w:r>
          </w:p>
        </w:tc>
        <w:tc>
          <w:tcPr>
            <w:tcW w:type="dxa" w:w="1187"/>
          </w:tcPr>
          <w:p>
            <w:pPr>
              <w:jc w:val="center"/>
            </w:pPr>
            <w:r/>
            <w:r>
              <w:rPr>
                <w:rFonts w:ascii="Times New Roman" w:hAnsi="Times New Roman"/>
                <w:b/>
                <w:sz w:val="20"/>
              </w:rPr>
              <w:t>M 4–6</w:t>
            </w:r>
          </w:p>
        </w:tc>
        <w:tc>
          <w:tcPr>
            <w:tcW w:type="dxa" w:w="1187"/>
          </w:tcPr>
          <w:p>
            <w:pPr>
              <w:jc w:val="center"/>
            </w:pPr>
            <w:r/>
            <w:r>
              <w:rPr>
                <w:rFonts w:ascii="Times New Roman" w:hAnsi="Times New Roman"/>
                <w:b/>
                <w:sz w:val="20"/>
              </w:rPr>
              <w:t>M 7–9</w:t>
            </w:r>
          </w:p>
        </w:tc>
        <w:tc>
          <w:tcPr>
            <w:tcW w:type="dxa" w:w="1187"/>
          </w:tcPr>
          <w:p>
            <w:pPr>
              <w:jc w:val="center"/>
            </w:pPr>
            <w:r/>
            <w:r>
              <w:rPr>
                <w:rFonts w:ascii="Times New Roman" w:hAnsi="Times New Roman"/>
                <w:b/>
                <w:sz w:val="20"/>
              </w:rPr>
              <w:t>M 10–11</w:t>
            </w:r>
          </w:p>
        </w:tc>
        <w:tc>
          <w:tcPr>
            <w:tcW w:type="dxa" w:w="1187"/>
          </w:tcPr>
          <w:p>
            <w:pPr>
              <w:jc w:val="center"/>
            </w:pPr>
            <w:r/>
            <w:r>
              <w:rPr>
                <w:rFonts w:ascii="Times New Roman" w:hAnsi="Times New Roman"/>
                <w:b/>
                <w:sz w:val="20"/>
              </w:rPr>
              <w:t>M 12–13</w:t>
            </w:r>
          </w:p>
        </w:tc>
        <w:tc>
          <w:tcPr>
            <w:tcW w:type="dxa" w:w="1187"/>
          </w:tcPr>
          <w:p>
            <w:pPr>
              <w:jc w:val="center"/>
            </w:pPr>
            <w:r/>
            <w:r>
              <w:rPr>
                <w:rFonts w:ascii="Times New Roman" w:hAnsi="Times New Roman"/>
                <w:b/>
                <w:sz w:val="20"/>
              </w:rPr>
              <w:t>M 14–18</w:t>
            </w:r>
          </w:p>
        </w:tc>
      </w:tr>
      <w:tr>
        <w:tc>
          <w:tcPr>
            <w:tcW w:type="dxa" w:w="1187"/>
          </w:tcPr>
          <w:p>
            <w:r/>
            <w:r>
              <w:rPr>
                <w:rFonts w:ascii="Times New Roman" w:hAnsi="Times New Roman"/>
                <w:b w:val="0"/>
                <w:sz w:val="20"/>
              </w:rPr>
              <w:t>Task-I: 3D environment setup + DA-MAPPO baseline replication</w:t>
            </w:r>
          </w:p>
        </w:tc>
        <w:tc>
          <w:tcPr>
            <w:tcW w:type="dxa" w:w="1187"/>
          </w:tcPr>
          <w:p>
            <w:pPr>
              <w:jc w:val="center"/>
            </w:pPr>
            <w:r/>
            <w:r>
              <w:rPr>
                <w:rFonts w:ascii="Times New Roman" w:hAnsi="Times New Roman"/>
                <w:b w:val="0"/>
                <w:sz w:val="20"/>
              </w:rPr>
              <w:t>●</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r>
      <w:tr>
        <w:tc>
          <w:tcPr>
            <w:tcW w:type="dxa" w:w="1187"/>
          </w:tcPr>
          <w:p>
            <w:r/>
            <w:r>
              <w:rPr>
                <w:rFonts w:ascii="Times New Roman" w:hAnsi="Times New Roman"/>
                <w:b w:val="0"/>
                <w:sz w:val="20"/>
              </w:rPr>
              <w:t>Task-II: Assignment obs + conflict graph integration into MAPPO</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t>●</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r>
      <w:tr>
        <w:tc>
          <w:tcPr>
            <w:tcW w:type="dxa" w:w="1187"/>
          </w:tcPr>
          <w:p>
            <w:r/>
            <w:r>
              <w:rPr>
                <w:rFonts w:ascii="Times New Roman" w:hAnsi="Times New Roman"/>
                <w:b w:val="0"/>
                <w:sz w:val="20"/>
              </w:rPr>
              <w:t>Task-III: Curriculum training (3 → 5 → 8 drones)</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t>●</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r>
      <w:tr>
        <w:tc>
          <w:tcPr>
            <w:tcW w:type="dxa" w:w="1187"/>
          </w:tcPr>
          <w:p>
            <w:r/>
            <w:r>
              <w:rPr>
                <w:rFonts w:ascii="Times New Roman" w:hAnsi="Times New Roman"/>
                <w:b w:val="0"/>
                <w:sz w:val="20"/>
              </w:rPr>
              <w:t>Task-IV: Evaluation vs. 4 baselines (3 sizes × 3 densities)</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t>●</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r>
      <w:tr>
        <w:tc>
          <w:tcPr>
            <w:tcW w:type="dxa" w:w="1187"/>
          </w:tcPr>
          <w:p>
            <w:r/>
            <w:r>
              <w:rPr>
                <w:rFonts w:ascii="Times New Roman" w:hAnsi="Times New Roman"/>
                <w:b w:val="0"/>
                <w:sz w:val="20"/>
              </w:rPr>
              <w:t>Task-V: Ablation experiments + failure case analysis</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t>●</w:t>
            </w:r>
          </w:p>
        </w:tc>
        <w:tc>
          <w:tcPr>
            <w:tcW w:type="dxa" w:w="1187"/>
          </w:tcPr>
          <w:p>
            <w:pPr>
              <w:jc w:val="center"/>
            </w:pPr>
            <w:r/>
            <w:r>
              <w:rPr>
                <w:rFonts w:ascii="Times New Roman" w:hAnsi="Times New Roman"/>
                <w:b w:val="0"/>
                <w:sz w:val="20"/>
              </w:rPr>
            </w:r>
          </w:p>
        </w:tc>
      </w:tr>
      <w:tr>
        <w:tc>
          <w:tcPr>
            <w:tcW w:type="dxa" w:w="1187"/>
          </w:tcPr>
          <w:p>
            <w:r/>
            <w:r>
              <w:rPr>
                <w:rFonts w:ascii="Times New Roman" w:hAnsi="Times New Roman"/>
                <w:b w:val="0"/>
                <w:sz w:val="20"/>
              </w:rPr>
              <w:t>Task-VI: Thesis writing, revision, and submission</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t>●</w:t>
            </w:r>
          </w:p>
        </w:tc>
      </w:tr>
    </w:tbl>
    <w:p/>
    <w:p>
      <w:pPr>
        <w:spacing w:before="280" w:after="120"/>
      </w:pPr>
      <w:r>
        <w:rPr>
          <w:rFonts w:ascii="Times New Roman" w:hAnsi="Times New Roman"/>
          <w:b/>
          <w:sz w:val="24"/>
        </w:rPr>
        <w:t>Details of Completed Coursework</w:t>
      </w:r>
    </w:p>
    <w:p>
      <w:r>
        <w:rPr>
          <w:rFonts w:ascii="Times New Roman" w:hAnsi="Times New Roman"/>
          <w:i/>
          <w:sz w:val="22"/>
        </w:rPr>
        <w:t>(or attach provisional transcript)</w:t>
      </w:r>
    </w:p>
    <w:p>
      <w:r>
        <w:rPr>
          <w:rFonts w:ascii="Times New Roman" w:hAnsi="Times New Roman"/>
          <w:b/>
          <w:sz w:val="20"/>
        </w:rPr>
        <w:t>Table 4.  Completed Coursework</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pPr>
              <w:jc w:val="center"/>
            </w:pPr>
            <w:r/>
            <w:r>
              <w:rPr>
                <w:rFonts w:ascii="Times New Roman" w:hAnsi="Times New Roman"/>
                <w:b/>
                <w:sz w:val="20"/>
              </w:rPr>
              <w:t>#</w:t>
            </w:r>
          </w:p>
        </w:tc>
        <w:tc>
          <w:tcPr>
            <w:tcW w:type="dxa" w:w="2076"/>
          </w:tcPr>
          <w:p>
            <w:pPr>
              <w:jc w:val="center"/>
            </w:pPr>
            <w:r/>
            <w:r>
              <w:rPr>
                <w:rFonts w:ascii="Times New Roman" w:hAnsi="Times New Roman"/>
                <w:b/>
                <w:sz w:val="20"/>
              </w:rPr>
              <w:t>Course Code and Title</w:t>
            </w:r>
          </w:p>
        </w:tc>
        <w:tc>
          <w:tcPr>
            <w:tcW w:type="dxa" w:w="2076"/>
          </w:tcPr>
          <w:p>
            <w:pPr>
              <w:jc w:val="center"/>
            </w:pPr>
            <w:r/>
            <w:r>
              <w:rPr>
                <w:rFonts w:ascii="Times New Roman" w:hAnsi="Times New Roman"/>
                <w:b/>
                <w:sz w:val="20"/>
              </w:rPr>
              <w:t>Credit Hours</w:t>
            </w:r>
          </w:p>
        </w:tc>
        <w:tc>
          <w:tcPr>
            <w:tcW w:type="dxa" w:w="2076"/>
          </w:tcPr>
          <w:p>
            <w:pPr>
              <w:jc w:val="center"/>
            </w:pPr>
            <w:r/>
            <w:r>
              <w:rPr>
                <w:rFonts w:ascii="Times New Roman" w:hAnsi="Times New Roman"/>
                <w:b/>
                <w:sz w:val="20"/>
              </w:rPr>
              <w:t>Grade / Semester</w:t>
            </w:r>
          </w:p>
        </w:tc>
      </w:tr>
      <w:tr>
        <w:tc>
          <w:tcPr>
            <w:tcW w:type="dxa" w:w="2076"/>
          </w:tcPr>
          <w:p>
            <w:r/>
            <w:r>
              <w:rPr>
                <w:rFonts w:ascii="Times New Roman" w:hAnsi="Times New Roman"/>
                <w:b w:val="0"/>
                <w:sz w:val="20"/>
              </w:rPr>
              <w:t>1.</w:t>
            </w:r>
          </w:p>
        </w:tc>
        <w:tc>
          <w:tcPr>
            <w:tcW w:type="dxa" w:w="2076"/>
          </w:tcPr>
          <w:p>
            <w:r/>
            <w:r>
              <w:rPr>
                <w:rFonts w:ascii="Times New Roman" w:hAnsi="Times New Roman"/>
                <w:b w:val="0"/>
                <w:sz w:val="20"/>
              </w:rPr>
            </w:r>
          </w:p>
        </w:tc>
        <w:tc>
          <w:tcPr>
            <w:tcW w:type="dxa" w:w="2076"/>
          </w:tcPr>
          <w:p>
            <w:r/>
            <w:r>
              <w:rPr>
                <w:rFonts w:ascii="Times New Roman" w:hAnsi="Times New Roman"/>
                <w:b w:val="0"/>
                <w:sz w:val="20"/>
              </w:rPr>
            </w:r>
          </w:p>
        </w:tc>
        <w:tc>
          <w:tcPr>
            <w:tcW w:type="dxa" w:w="2076"/>
          </w:tcPr>
          <w:p>
            <w:r/>
            <w:r>
              <w:rPr>
                <w:rFonts w:ascii="Times New Roman" w:hAnsi="Times New Roman"/>
                <w:b w:val="0"/>
                <w:sz w:val="20"/>
              </w:rPr>
            </w:r>
          </w:p>
        </w:tc>
      </w:tr>
      <w:tr>
        <w:tc>
          <w:tcPr>
            <w:tcW w:type="dxa" w:w="2076"/>
          </w:tcPr>
          <w:p>
            <w:r/>
            <w:r>
              <w:rPr>
                <w:rFonts w:ascii="Times New Roman" w:hAnsi="Times New Roman"/>
                <w:b w:val="0"/>
                <w:sz w:val="20"/>
              </w:rPr>
              <w:t>2.</w:t>
            </w:r>
          </w:p>
        </w:tc>
        <w:tc>
          <w:tcPr>
            <w:tcW w:type="dxa" w:w="2076"/>
          </w:tcPr>
          <w:p>
            <w:r/>
            <w:r>
              <w:rPr>
                <w:rFonts w:ascii="Times New Roman" w:hAnsi="Times New Roman"/>
                <w:b w:val="0"/>
                <w:sz w:val="20"/>
              </w:rPr>
            </w:r>
          </w:p>
        </w:tc>
        <w:tc>
          <w:tcPr>
            <w:tcW w:type="dxa" w:w="2076"/>
          </w:tcPr>
          <w:p>
            <w:r/>
            <w:r>
              <w:rPr>
                <w:rFonts w:ascii="Times New Roman" w:hAnsi="Times New Roman"/>
                <w:b w:val="0"/>
                <w:sz w:val="20"/>
              </w:rPr>
            </w:r>
          </w:p>
        </w:tc>
        <w:tc>
          <w:tcPr>
            <w:tcW w:type="dxa" w:w="2076"/>
          </w:tcPr>
          <w:p>
            <w:r/>
            <w:r>
              <w:rPr>
                <w:rFonts w:ascii="Times New Roman" w:hAnsi="Times New Roman"/>
                <w:b w:val="0"/>
                <w:sz w:val="20"/>
              </w:rPr>
            </w:r>
          </w:p>
        </w:tc>
      </w:tr>
      <w:tr>
        <w:tc>
          <w:tcPr>
            <w:tcW w:type="dxa" w:w="2076"/>
          </w:tcPr>
          <w:p>
            <w:r/>
            <w:r>
              <w:rPr>
                <w:rFonts w:ascii="Times New Roman" w:hAnsi="Times New Roman"/>
                <w:b w:val="0"/>
                <w:sz w:val="20"/>
              </w:rPr>
              <w:t>3.</w:t>
            </w:r>
          </w:p>
        </w:tc>
        <w:tc>
          <w:tcPr>
            <w:tcW w:type="dxa" w:w="2076"/>
          </w:tcPr>
          <w:p>
            <w:r/>
            <w:r>
              <w:rPr>
                <w:rFonts w:ascii="Times New Roman" w:hAnsi="Times New Roman"/>
                <w:b w:val="0"/>
                <w:sz w:val="20"/>
              </w:rPr>
            </w:r>
          </w:p>
        </w:tc>
        <w:tc>
          <w:tcPr>
            <w:tcW w:type="dxa" w:w="2076"/>
          </w:tcPr>
          <w:p>
            <w:r/>
            <w:r>
              <w:rPr>
                <w:rFonts w:ascii="Times New Roman" w:hAnsi="Times New Roman"/>
                <w:b w:val="0"/>
                <w:sz w:val="20"/>
              </w:rPr>
            </w:r>
          </w:p>
        </w:tc>
        <w:tc>
          <w:tcPr>
            <w:tcW w:type="dxa" w:w="2076"/>
          </w:tcPr>
          <w:p>
            <w:r/>
            <w:r>
              <w:rPr>
                <w:rFonts w:ascii="Times New Roman" w:hAnsi="Times New Roman"/>
                <w:b w:val="0"/>
                <w:sz w:val="20"/>
              </w:rPr>
            </w:r>
          </w:p>
        </w:tc>
      </w:tr>
      <w:tr>
        <w:tc>
          <w:tcPr>
            <w:tcW w:type="dxa" w:w="2076"/>
          </w:tcPr>
          <w:p>
            <w:r/>
            <w:r>
              <w:rPr>
                <w:rFonts w:ascii="Times New Roman" w:hAnsi="Times New Roman"/>
                <w:b w:val="0"/>
                <w:sz w:val="20"/>
              </w:rPr>
              <w:t>4.</w:t>
            </w:r>
          </w:p>
        </w:tc>
        <w:tc>
          <w:tcPr>
            <w:tcW w:type="dxa" w:w="2076"/>
          </w:tcPr>
          <w:p>
            <w:r/>
            <w:r>
              <w:rPr>
                <w:rFonts w:ascii="Times New Roman" w:hAnsi="Times New Roman"/>
                <w:b w:val="0"/>
                <w:sz w:val="20"/>
              </w:rPr>
            </w:r>
          </w:p>
        </w:tc>
        <w:tc>
          <w:tcPr>
            <w:tcW w:type="dxa" w:w="2076"/>
          </w:tcPr>
          <w:p>
            <w:r/>
            <w:r>
              <w:rPr>
                <w:rFonts w:ascii="Times New Roman" w:hAnsi="Times New Roman"/>
                <w:b w:val="0"/>
                <w:sz w:val="20"/>
              </w:rPr>
            </w:r>
          </w:p>
        </w:tc>
        <w:tc>
          <w:tcPr>
            <w:tcW w:type="dxa" w:w="2076"/>
          </w:tcPr>
          <w:p>
            <w:r/>
            <w:r>
              <w:rPr>
                <w:rFonts w:ascii="Times New Roman" w:hAnsi="Times New Roman"/>
                <w:b w:val="0"/>
                <w:sz w:val="20"/>
              </w:rPr>
            </w:r>
          </w:p>
        </w:tc>
      </w:tr>
      <w:tr>
        <w:tc>
          <w:tcPr>
            <w:tcW w:type="dxa" w:w="2076"/>
          </w:tcPr>
          <w:p>
            <w:r/>
            <w:r>
              <w:rPr>
                <w:rFonts w:ascii="Times New Roman" w:hAnsi="Times New Roman"/>
                <w:b w:val="0"/>
                <w:sz w:val="20"/>
              </w:rPr>
              <w:t>5.</w:t>
            </w:r>
          </w:p>
        </w:tc>
        <w:tc>
          <w:tcPr>
            <w:tcW w:type="dxa" w:w="2076"/>
          </w:tcPr>
          <w:p>
            <w:r/>
            <w:r>
              <w:rPr>
                <w:rFonts w:ascii="Times New Roman" w:hAnsi="Times New Roman"/>
                <w:b w:val="0"/>
                <w:sz w:val="20"/>
              </w:rPr>
            </w:r>
          </w:p>
        </w:tc>
        <w:tc>
          <w:tcPr>
            <w:tcW w:type="dxa" w:w="2076"/>
          </w:tcPr>
          <w:p>
            <w:r/>
            <w:r>
              <w:rPr>
                <w:rFonts w:ascii="Times New Roman" w:hAnsi="Times New Roman"/>
                <w:b w:val="0"/>
                <w:sz w:val="20"/>
              </w:rPr>
            </w:r>
          </w:p>
        </w:tc>
        <w:tc>
          <w:tcPr>
            <w:tcW w:type="dxa" w:w="2076"/>
          </w:tcPr>
          <w:p>
            <w:r/>
            <w:r>
              <w:rPr>
                <w:rFonts w:ascii="Times New Roman" w:hAnsi="Times New Roman"/>
                <w:b w:val="0"/>
                <w:sz w:val="20"/>
              </w:rPr>
            </w:r>
          </w:p>
        </w:tc>
      </w:tr>
      <w:tr>
        <w:tc>
          <w:tcPr>
            <w:tcW w:type="dxa" w:w="2076"/>
          </w:tcPr>
          <w:p>
            <w:r/>
            <w:r>
              <w:rPr>
                <w:rFonts w:ascii="Times New Roman" w:hAnsi="Times New Roman"/>
                <w:b w:val="0"/>
                <w:sz w:val="20"/>
              </w:rPr>
              <w:t>6.</w:t>
            </w:r>
          </w:p>
        </w:tc>
        <w:tc>
          <w:tcPr>
            <w:tcW w:type="dxa" w:w="2076"/>
          </w:tcPr>
          <w:p>
            <w:r/>
            <w:r>
              <w:rPr>
                <w:rFonts w:ascii="Times New Roman" w:hAnsi="Times New Roman"/>
                <w:b w:val="0"/>
                <w:sz w:val="20"/>
              </w:rPr>
            </w:r>
          </w:p>
        </w:tc>
        <w:tc>
          <w:tcPr>
            <w:tcW w:type="dxa" w:w="2076"/>
          </w:tcPr>
          <w:p>
            <w:r/>
            <w:r>
              <w:rPr>
                <w:rFonts w:ascii="Times New Roman" w:hAnsi="Times New Roman"/>
                <w:b w:val="0"/>
                <w:sz w:val="20"/>
              </w:rPr>
            </w:r>
          </w:p>
        </w:tc>
        <w:tc>
          <w:tcPr>
            <w:tcW w:type="dxa" w:w="2076"/>
          </w:tcPr>
          <w:p>
            <w:r/>
            <w:r>
              <w:rPr>
                <w:rFonts w:ascii="Times New Roman" w:hAnsi="Times New Roman"/>
                <w:b w:val="0"/>
                <w:sz w:val="20"/>
              </w:rPr>
            </w:r>
          </w:p>
        </w:tc>
      </w:tr>
    </w:tbl>
    <w:p/>
    <w:p>
      <w:pPr>
        <w:jc w:val="center"/>
      </w:pPr>
      <w:r>
        <w:rPr>
          <w:rFonts w:ascii="Times New Roman" w:hAnsi="Times New Roman"/>
          <w:i/>
          <w:sz w:val="20"/>
        </w:rPr>
        <w:t>Ayesha Khalil  |  SP25-RCS-009  |  May 30, 2026</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