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28"/>
        </w:rPr>
        <w:t>UAV-Based Resource Allocation in Vehicular Networks — Research Paper Comparison Table</w:t>
      </w:r>
    </w:p>
    <w:p>
      <w:pPr>
        <w:jc w:val="center"/>
      </w:pPr>
      <w:r>
        <w:rPr>
          <w:i/>
          <w:sz w:val="18"/>
        </w:rPr>
        <w:t>Topic: AI-Driven Resource Allocation in Next-Generation Wireless Networks (V2X / UAV / 6G)   |   Papers Reviewed: 9   |   Prepared by: Ayesha</w:t>
      </w:r>
    </w:p>
    <w:p/>
    <w:p>
      <w:pPr>
        <w:pStyle w:val="Heading1"/>
      </w:pPr>
      <w:r>
        <w:rPr>
          <w:color w:val="1F4E79"/>
          <w:sz w:val="22"/>
        </w:rPr>
        <w:t>Part 1 — Feature Comparison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  <w:gridCol w:w="1578"/>
        <w:gridCol w:w="1578"/>
        <w:gridCol w:w="1578"/>
        <w:gridCol w:w="1578"/>
        <w:gridCol w:w="1578"/>
        <w:gridCol w:w="1578"/>
        <w:gridCol w:w="1578"/>
      </w:tblGrid>
      <w:tr>
        <w:tc>
          <w:tcPr>
            <w:tcW w:type="dxa" w:w="50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5472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Full Paper Title</w:t>
            </w:r>
          </w:p>
        </w:tc>
        <w:tc>
          <w:tcPr>
            <w:tcW w:type="dxa" w:w="21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AI Technique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Classical Method</w:t>
            </w:r>
          </w:p>
        </w:tc>
        <w:tc>
          <w:tcPr>
            <w:tcW w:type="dxa" w:w="64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Year</w:t>
            </w:r>
          </w:p>
        </w:tc>
        <w:tc>
          <w:tcPr>
            <w:tcW w:type="dxa" w:w="64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UAV?</w:t>
            </w:r>
          </w:p>
        </w:tc>
        <w:tc>
          <w:tcPr>
            <w:tcW w:type="dxa" w:w="86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Multi-Agent?</w:t>
            </w:r>
          </w:p>
        </w:tc>
        <w:tc>
          <w:tcPr>
            <w:tcW w:type="dxa" w:w="86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Trajectory</w:t>
              <w:br/>
              <w:t>Opt.?</w:t>
            </w:r>
          </w:p>
        </w:tc>
        <w:tc>
          <w:tcPr>
            <w:tcW w:type="dxa" w:w="86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Energy</w:t>
              <w:br/>
              <w:t>Constraint?</w:t>
            </w:r>
          </w:p>
        </w:tc>
        <w:tc>
          <w:tcPr>
            <w:tcW w:type="dxa" w:w="86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Delayed/</w:t>
              <w:br/>
              <w:t>Imperfect CSI?</w:t>
            </w:r>
          </w:p>
        </w:tc>
        <w:tc>
          <w:tcPr>
            <w:tcW w:type="dxa" w:w="64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ISAC?</w:t>
            </w:r>
          </w:p>
        </w:tc>
        <w:tc>
          <w:tcPr>
            <w:tcW w:type="dxa" w:w="86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GNN / GAT?</w:t>
            </w:r>
          </w:p>
        </w:tc>
        <w:tc>
          <w:tcPr>
            <w:tcW w:type="dxa" w:w="64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Real</w:t>
              <w:br/>
              <w:t>Data?</w:t>
            </w:r>
          </w:p>
        </w:tc>
        <w:tc>
          <w:tcPr>
            <w:tcW w:type="dxa" w:w="100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Link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Graph Neural Networks and Deep Reinforcement Learning Based Resource Allocation for V2X Communications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GraphSAGE + DDQN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2025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 GraphSAGE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center"/>
            </w:pPr>
            <w:r/>
            <w:hyperlink r:id="rId9">
              <w:r>
                <w:rPr>
                  <w:rStyle w:val="Hyperlink"/>
                  <w:color w:val="1F4E79"/>
                  <w:u w:val="single"/>
                </w:rPr>
                <w:t>Open →</w:t>
              </w:r>
            </w:hyperlink>
          </w:p>
        </w:tc>
      </w:tr>
      <w:tr>
        <w:tc>
          <w:tcPr>
            <w:tcW w:type="dxa" w:w="50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P2</w:t>
            </w:r>
          </w:p>
        </w:tc>
        <w:tc>
          <w:tcPr>
            <w:tcW w:type="dxa" w:w="5472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A Lyapunov-Guided Diffusion-Based Reinforcement Learning Approach for UAV-Assisted Vehicular Networks with Delayed CSI Feedback</w:t>
            </w:r>
          </w:p>
        </w:tc>
        <w:tc>
          <w:tcPr>
            <w:tcW w:type="dxa" w:w="2160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D3PG (Diffusion-based DDPG)</w:t>
            </w:r>
          </w:p>
        </w:tc>
        <w:tc>
          <w:tcPr>
            <w:tcW w:type="dxa" w:w="1872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Lyapunov Optimization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2025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◑ (altitude only)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 (Xiamen, SUMO)</w:t>
            </w:r>
          </w:p>
        </w:tc>
        <w:tc>
          <w:tcPr>
            <w:tcW w:type="dxa" w:w="1008"/>
            <w:shd w:val="clear" w:color="auto" w:fill="D6E4F7"/>
            <w:vAlign w:val="center"/>
          </w:tcPr>
          <w:p>
            <w:pPr>
              <w:jc w:val="center"/>
            </w:pPr>
            <w:r/>
            <w:hyperlink r:id="rId10">
              <w:r>
                <w:rPr>
                  <w:rStyle w:val="Hyperlink"/>
                  <w:color w:val="1F4E79"/>
                  <w:u w:val="single"/>
                </w:rPr>
                <w:t>Open →</w:t>
              </w:r>
            </w:hyperlink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P3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Multi-Agent DRL for V2X Resource Allocation: Disentangling Challenges and Benchmarking Solutions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MAPPO / IPPO / QMIX (benchmarked)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2026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 (SUMO)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center"/>
            </w:pPr>
            <w:r/>
            <w:hyperlink r:id="rId11">
              <w:r>
                <w:rPr>
                  <w:rStyle w:val="Hyperlink"/>
                  <w:color w:val="1F4E79"/>
                  <w:u w:val="single"/>
                </w:rPr>
                <w:t>Open →</w:t>
              </w:r>
            </w:hyperlink>
          </w:p>
        </w:tc>
      </w:tr>
      <w:tr>
        <w:tc>
          <w:tcPr>
            <w:tcW w:type="dxa" w:w="50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P4</w:t>
            </w:r>
          </w:p>
        </w:tc>
        <w:tc>
          <w:tcPr>
            <w:tcW w:type="dxa" w:w="5472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Joint Optimization of UAV Trajectory, Resource Allocation, and Task Offloading in Multi-UAV-Assisted IoV</w:t>
            </w:r>
          </w:p>
        </w:tc>
        <w:tc>
          <w:tcPr>
            <w:tcW w:type="dxa" w:w="2160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DRL + LLM (macro-scheduler)</w:t>
            </w:r>
          </w:p>
        </w:tc>
        <w:tc>
          <w:tcPr>
            <w:tcW w:type="dxa" w:w="1872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SOCP (trajectory) + LP (offloading)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2026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 (5 UAVs)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1008"/>
            <w:shd w:val="clear" w:color="auto" w:fill="D6E4F7"/>
            <w:vAlign w:val="center"/>
          </w:tcPr>
          <w:p>
            <w:pPr>
              <w:jc w:val="center"/>
            </w:pPr>
            <w:r/>
            <w:hyperlink r:id="rId12">
              <w:r>
                <w:rPr>
                  <w:rStyle w:val="Hyperlink"/>
                  <w:color w:val="1F4E79"/>
                  <w:u w:val="single"/>
                </w:rPr>
                <w:t>Open →</w:t>
              </w:r>
            </w:hyperlink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P5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Digital Twin-Assisted Adaptive Multi-Agent DRL for Intelligent Spectrum and Resource Management in Open-RAN UAV-Enabled 6G Networks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MADRL (Enhanced DDPG)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PSO (trajectory)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2026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 (3 UAVs)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◑ (DT sync modeled)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center"/>
            </w:pPr>
            <w:r/>
            <w:hyperlink r:id="rId13">
              <w:r>
                <w:rPr>
                  <w:rStyle w:val="Hyperlink"/>
                  <w:color w:val="1F4E79"/>
                  <w:u w:val="single"/>
                </w:rPr>
                <w:t>Open →</w:t>
              </w:r>
            </w:hyperlink>
          </w:p>
        </w:tc>
      </w:tr>
      <w:tr>
        <w:tc>
          <w:tcPr>
            <w:tcW w:type="dxa" w:w="50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P6</w:t>
            </w:r>
          </w:p>
        </w:tc>
        <w:tc>
          <w:tcPr>
            <w:tcW w:type="dxa" w:w="5472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A Multi-Agent Resource Allocation Method for UAV Networks based on Adaptive Spatial Reward Mechanisms and Context-Awareness</w:t>
            </w:r>
          </w:p>
        </w:tc>
        <w:tc>
          <w:tcPr>
            <w:tcW w:type="dxa" w:w="2160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ASAC (MA2C + spatial reward)</w:t>
            </w:r>
          </w:p>
        </w:tc>
        <w:tc>
          <w:tcPr>
            <w:tcW w:type="dxa" w:w="1872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K-means (init)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2026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 (7 UAVs)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100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sz w:val="15"/>
              </w:rPr>
              <w:t>Conference</w:t>
              <w:br/>
              <w:t>(no link)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P7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Resource Allocation and Sharing for UAV-Assisted Integrated TN-NTN with Multi-Connectivity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— (no AI)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Hungarian Method + Bisection Search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2026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center"/>
            </w:pPr>
            <w:r/>
            <w:hyperlink r:id="rId14">
              <w:r>
                <w:rPr>
                  <w:rStyle w:val="Hyperlink"/>
                  <w:color w:val="1F4E79"/>
                  <w:u w:val="single"/>
                </w:rPr>
                <w:t>Open →</w:t>
              </w:r>
            </w:hyperlink>
          </w:p>
        </w:tc>
      </w:tr>
      <w:tr>
        <w:tc>
          <w:tcPr>
            <w:tcW w:type="dxa" w:w="50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P8</w:t>
            </w:r>
          </w:p>
        </w:tc>
        <w:tc>
          <w:tcPr>
            <w:tcW w:type="dxa" w:w="5472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Dynamic Allocation of C-V2X Communication Resources Based on Graph Attention Network and Deep Reinforcement Learning</w:t>
            </w:r>
          </w:p>
        </w:tc>
        <w:tc>
          <w:tcPr>
            <w:tcW w:type="dxa" w:w="2160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GAT + A2C</w:t>
            </w:r>
          </w:p>
        </w:tc>
        <w:tc>
          <w:tcPr>
            <w:tcW w:type="dxa" w:w="1872"/>
            <w:shd w:val="clear" w:color="auto" w:fill="D6E4F7"/>
            <w:vAlign w:val="center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2025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 GAT</w:t>
            </w:r>
          </w:p>
        </w:tc>
        <w:tc>
          <w:tcPr>
            <w:tcW w:type="dxa" w:w="648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1008"/>
            <w:shd w:val="clear" w:color="auto" w:fill="D6E4F7"/>
            <w:vAlign w:val="center"/>
          </w:tcPr>
          <w:p>
            <w:pPr>
              <w:jc w:val="center"/>
            </w:pPr>
            <w:r/>
            <w:hyperlink r:id="rId15">
              <w:r>
                <w:rPr>
                  <w:rStyle w:val="Hyperlink"/>
                  <w:color w:val="1F4E79"/>
                  <w:u w:val="single"/>
                </w:rPr>
                <w:t>Open →</w:t>
              </w:r>
            </w:hyperlink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P9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Resource Allocation and Trajectory Planning in Integrated Sensing and Communication Enabled UAV-Assisted Vehicular Network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— (no AI)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/>
            <w:r>
              <w:rPr>
                <w:b w:val="0"/>
                <w:sz w:val="15"/>
              </w:rPr>
              <w:t>BCD-SCA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2025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✓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64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✗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center"/>
            </w:pPr>
            <w:r/>
            <w:hyperlink r:id="rId16">
              <w:r>
                <w:rPr>
                  <w:rStyle w:val="Hyperlink"/>
                  <w:color w:val="1F4E79"/>
                  <w:u w:val="single"/>
                </w:rPr>
                <w:t>Open →</w:t>
              </w:r>
            </w:hyperlink>
          </w:p>
        </w:tc>
      </w:tr>
    </w:tbl>
    <w:p/>
    <w:p>
      <w:pPr>
        <w:pStyle w:val="Heading1"/>
      </w:pPr>
      <w:r>
        <w:rPr>
          <w:color w:val="1F4E79"/>
          <w:sz w:val="22"/>
        </w:rPr>
        <w:t>Part 2 — Core Strength &amp; Main Gap Per Paper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22"/>
        <w:gridCol w:w="5522"/>
        <w:gridCol w:w="5522"/>
        <w:gridCol w:w="5522"/>
      </w:tblGrid>
      <w:tr>
        <w:tc>
          <w:tcPr>
            <w:tcW w:type="dxa" w:w="50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64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Full Paper Title</w:t>
            </w:r>
          </w:p>
        </w:tc>
        <w:tc>
          <w:tcPr>
            <w:tcW w:type="dxa" w:w="64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Core Strength</w:t>
            </w:r>
          </w:p>
        </w:tc>
        <w:tc>
          <w:tcPr>
            <w:tcW w:type="dxa" w:w="64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Main Gap (What's Missing)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Graph Neural Networks and Deep Reinforcement Learning Based Resource Allocation for V2X Communications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GNN gives global interference awareness without any central controller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No UAV; single agent; discrete power only; no MARL comparison</w:t>
            </w:r>
          </w:p>
        </w:tc>
      </w:tr>
      <w:tr>
        <w:tc>
          <w:tcPr>
            <w:tcW w:type="dxa" w:w="50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A Lyapunov-Guided Diffusion-Based Reinforcement Learning Approach for UAV-Assisted Vehicular Networks with Delayed CSI Feedback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Only paper handling delayed CSI + battery together; diffusion model outperforms deterministic RL under uncertainty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Single UAV; altitude-only trajectory; single highway tested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Multi-Agent DRL for V2X Resource Allocation: Disentangling Challenges and Benchmarking Solutions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First systematic MARL benchmark for V2X; proves MAPPO best; open-source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Highway topology only; no new algorithm; no latency-deadline metric</w:t>
            </w:r>
          </w:p>
        </w:tc>
      </w:tr>
      <w:tr>
        <w:tc>
          <w:tcPr>
            <w:tcW w:type="dxa" w:w="50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Joint Optimization of UAV Trajectory, Resource Allocation, and Task Offloading in Multi-UAV-Assisted IoV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Hierarchical decomposition: each sub-problem solved by best tool (SOCP + DRL + LLM + LP)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LLM adds unquantified latency; no UAV collision avoidance; no energy model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P5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Digital Twin-Assisted Adaptive Multi-Agent DRL for Intelligent Spectrum and Resource Management in Open-RAN UAV-Enabled 6G Networks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Digital Twin enables safe offline training; Open-RAN architecture; PSO+MADRL clean decomposition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DT assumes perfect telemetry; fixed UAV altitude; tiny scale (3 UAVs only)</w:t>
            </w:r>
          </w:p>
        </w:tc>
      </w:tr>
      <w:tr>
        <w:tc>
          <w:tcPr>
            <w:tcW w:type="dxa" w:w="50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P6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A Multi-Agent Resource Allocation Method for UAV Networks based on Adaptive Spatial Reward Mechanisms and Context-Awareness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Novel spatial reward shaping — agents care about WHERE they are, not just outcomes; 16% improvement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Pre-fixed UAV trajectories; static users; perfect CSI assumed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P7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Resource Allocation and Sharing for UAV-Assisted Integrated TN-NTN with Multi-Connectivity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Closed-form + Hungarian gives guaranteed-optimal spectrum sharing; TN-NTN integration novel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Zero AI/DRL; no trajectory optimization; one HAP only; energy constraint not enforced in simulation</w:t>
            </w:r>
          </w:p>
        </w:tc>
      </w:tr>
      <w:tr>
        <w:tc>
          <w:tcPr>
            <w:tcW w:type="dxa" w:w="504"/>
            <w:shd w:val="clear" w:color="auto" w:fill="D6E4F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P8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Dynamic Allocation of C-V2X Communication Resources Based on Graph Attention Network and Deep Reinforcement Learning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GAT's attention weights prioritize high-interference neighbors — smarter graph learning than plain GNN</w:t>
            </w:r>
          </w:p>
        </w:tc>
        <w:tc>
          <w:tcPr>
            <w:tcW w:type="dxa" w:w="6480"/>
            <w:shd w:val="clear" w:color="auto" w:fill="D6E4F7"/>
            <w:vAlign w:val="center"/>
          </w:tcPr>
          <w:p>
            <w:r/>
            <w:r>
              <w:rPr>
                <w:b w:val="0"/>
                <w:sz w:val="16"/>
              </w:rPr>
              <w:t>100% V2X penetration assumed (real-world &lt;5%); perfect CSI; single Manhattan grid only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P9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Resource Allocation and Trajectory Planning in Integrated Sensing and Communication Enabled UAV-Assisted Vehicular Network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First joint optimization of RA + trajectory + ISAC sensing in one framework; 32%+ gain over baselines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/>
            <w:r>
              <w:rPr>
                <w:b w:val="0"/>
                <w:sz w:val="16"/>
              </w:rPr>
              <w:t>Single UAV; BCD-SCA too slow for real-time; no AI/DRL; perfect CSI assumed</w:t>
            </w:r>
          </w:p>
        </w:tc>
      </w:tr>
    </w:tbl>
    <w:p/>
    <w:p>
      <w:pPr>
        <w:pStyle w:val="Heading1"/>
      </w:pPr>
      <w:r>
        <w:rPr>
          <w:color w:val="1F4E79"/>
          <w:sz w:val="22"/>
        </w:rPr>
        <w:t>Part 3 — Gaps Missing Across ALL 9 Papers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45"/>
        <w:gridCol w:w="11045"/>
      </w:tblGrid>
      <w:tr>
        <w:tc>
          <w:tcPr>
            <w:tcW w:type="dxa" w:w="100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Gap (What No Paper Addresses)</w:t>
            </w:r>
          </w:p>
        </w:tc>
        <w:tc>
          <w:tcPr>
            <w:tcW w:type="dxa" w:w="100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Papers That Ignore It</w:t>
            </w:r>
          </w:p>
        </w:tc>
      </w:tr>
      <w:tr>
        <w:tc>
          <w:tcPr>
            <w:tcW w:type="dxa" w:w="10080"/>
            <w:shd w:val="clear" w:color="auto" w:fill="FFFFFF"/>
            <w:vAlign w:val="center"/>
          </w:tcPr>
          <w:p>
            <w:r/>
            <w:r>
              <w:rPr>
                <w:b/>
                <w:sz w:val="17"/>
              </w:rPr>
              <w:t>Multi-UAV + ISAC together</w:t>
            </w:r>
          </w:p>
        </w:tc>
        <w:tc>
          <w:tcPr>
            <w:tcW w:type="dxa" w:w="10080"/>
            <w:shd w:val="clear" w:color="auto" w:fill="FFFFFF"/>
            <w:vAlign w:val="center"/>
          </w:tcPr>
          <w:p>
            <w:r/>
            <w:r>
              <w:rPr>
                <w:b w:val="0"/>
                <w:sz w:val="17"/>
              </w:rPr>
              <w:t>All 9 papers</w:t>
            </w:r>
          </w:p>
        </w:tc>
      </w:tr>
      <w:tr>
        <w:tc>
          <w:tcPr>
            <w:tcW w:type="dxa" w:w="10080"/>
            <w:shd w:val="clear" w:color="auto" w:fill="D6E4F7"/>
            <w:vAlign w:val="center"/>
          </w:tcPr>
          <w:p>
            <w:r/>
            <w:r>
              <w:rPr>
                <w:b/>
                <w:sz w:val="17"/>
              </w:rPr>
              <w:t>Delayed / imperfect CSI handled properly</w:t>
            </w:r>
          </w:p>
        </w:tc>
        <w:tc>
          <w:tcPr>
            <w:tcW w:type="dxa" w:w="10080"/>
            <w:shd w:val="clear" w:color="auto" w:fill="D6E4F7"/>
            <w:vAlign w:val="center"/>
          </w:tcPr>
          <w:p>
            <w:r/>
            <w:r>
              <w:rPr>
                <w:b w:val="0"/>
                <w:sz w:val="17"/>
              </w:rPr>
              <w:t>P1, P3, P4, P6, P7, P8, P9 (P2 handles it, P5 partially)</w:t>
            </w:r>
          </w:p>
        </w:tc>
      </w:tr>
      <w:tr>
        <w:tc>
          <w:tcPr>
            <w:tcW w:type="dxa" w:w="10080"/>
            <w:shd w:val="clear" w:color="auto" w:fill="FFFFFF"/>
            <w:vAlign w:val="center"/>
          </w:tcPr>
          <w:p>
            <w:r/>
            <w:r>
              <w:rPr>
                <w:b/>
                <w:sz w:val="17"/>
              </w:rPr>
              <w:t>Joint trajectory + resource allocation + energy</w:t>
            </w:r>
          </w:p>
        </w:tc>
        <w:tc>
          <w:tcPr>
            <w:tcW w:type="dxa" w:w="10080"/>
            <w:shd w:val="clear" w:color="auto" w:fill="FFFFFF"/>
            <w:vAlign w:val="center"/>
          </w:tcPr>
          <w:p>
            <w:r/>
            <w:r>
              <w:rPr>
                <w:b w:val="0"/>
                <w:sz w:val="17"/>
              </w:rPr>
              <w:t>P1, P3, P6, P8 fully; others partially</w:t>
            </w:r>
          </w:p>
        </w:tc>
      </w:tr>
      <w:tr>
        <w:tc>
          <w:tcPr>
            <w:tcW w:type="dxa" w:w="10080"/>
            <w:shd w:val="clear" w:color="auto" w:fill="D6E4F7"/>
            <w:vAlign w:val="center"/>
          </w:tcPr>
          <w:p>
            <w:r/>
            <w:r>
              <w:rPr>
                <w:b/>
                <w:sz w:val="17"/>
              </w:rPr>
              <w:t>Real-world hardware / actual deployment validation</w:t>
            </w:r>
          </w:p>
        </w:tc>
        <w:tc>
          <w:tcPr>
            <w:tcW w:type="dxa" w:w="10080"/>
            <w:shd w:val="clear" w:color="auto" w:fill="D6E4F7"/>
            <w:vAlign w:val="center"/>
          </w:tcPr>
          <w:p>
            <w:r/>
            <w:r>
              <w:rPr>
                <w:b w:val="0"/>
                <w:sz w:val="17"/>
              </w:rPr>
              <w:t>All 9 papers (simulation only)</w:t>
            </w:r>
          </w:p>
        </w:tc>
      </w:tr>
      <w:tr>
        <w:tc>
          <w:tcPr>
            <w:tcW w:type="dxa" w:w="10080"/>
            <w:shd w:val="clear" w:color="auto" w:fill="FFFFFF"/>
            <w:vAlign w:val="center"/>
          </w:tcPr>
          <w:p>
            <w:r/>
            <w:r>
              <w:rPr>
                <w:b/>
                <w:sz w:val="17"/>
              </w:rPr>
              <w:t>Low V2X penetration (&lt; 10% connected vehicles)</w:t>
            </w:r>
          </w:p>
        </w:tc>
        <w:tc>
          <w:tcPr>
            <w:tcW w:type="dxa" w:w="10080"/>
            <w:shd w:val="clear" w:color="auto" w:fill="FFFFFF"/>
            <w:vAlign w:val="center"/>
          </w:tcPr>
          <w:p>
            <w:r/>
            <w:r>
              <w:rPr>
                <w:b w:val="0"/>
                <w:sz w:val="17"/>
              </w:rPr>
              <w:t>All 9 papers assume 100% penetration</w:t>
            </w:r>
          </w:p>
        </w:tc>
      </w:tr>
      <w:tr>
        <w:tc>
          <w:tcPr>
            <w:tcW w:type="dxa" w:w="10080"/>
            <w:shd w:val="clear" w:color="auto" w:fill="D6E4F7"/>
            <w:vAlign w:val="center"/>
          </w:tcPr>
          <w:p>
            <w:r/>
            <w:r>
              <w:rPr>
                <w:b/>
                <w:sz w:val="17"/>
              </w:rPr>
              <w:t>Latency-deadline-aware scheduling for safety messages</w:t>
            </w:r>
          </w:p>
        </w:tc>
        <w:tc>
          <w:tcPr>
            <w:tcW w:type="dxa" w:w="10080"/>
            <w:shd w:val="clear" w:color="auto" w:fill="D6E4F7"/>
            <w:vAlign w:val="center"/>
          </w:tcPr>
          <w:p>
            <w:r/>
            <w:r>
              <w:rPr>
                <w:b w:val="0"/>
                <w:sz w:val="17"/>
              </w:rPr>
              <w:t>All 9 papers</w:t>
            </w:r>
          </w:p>
        </w:tc>
      </w:tr>
      <w:tr>
        <w:tc>
          <w:tcPr>
            <w:tcW w:type="dxa" w:w="10080"/>
            <w:shd w:val="clear" w:color="auto" w:fill="FFFFFF"/>
            <w:vAlign w:val="center"/>
          </w:tcPr>
          <w:p>
            <w:r/>
            <w:r>
              <w:rPr>
                <w:b/>
                <w:sz w:val="17"/>
              </w:rPr>
              <w:t>Scalability beyond 10 UAVs tested</w:t>
            </w:r>
          </w:p>
        </w:tc>
        <w:tc>
          <w:tcPr>
            <w:tcW w:type="dxa" w:w="10080"/>
            <w:shd w:val="clear" w:color="auto" w:fill="FFFFFF"/>
            <w:vAlign w:val="center"/>
          </w:tcPr>
          <w:p>
            <w:r/>
            <w:r>
              <w:rPr>
                <w:b w:val="0"/>
                <w:sz w:val="17"/>
              </w:rPr>
              <w:t>P4 (5 UAVs), P5 (3 UAVs), P6 (7 UAVs) — none tested 20+</w:t>
            </w:r>
          </w:p>
        </w:tc>
      </w:tr>
    </w:tbl>
    <w:p/>
    <w:p>
      <w:r>
        <w:rPr>
          <w:i/>
          <w:color w:val="606060"/>
          <w:sz w:val="16"/>
        </w:rPr>
        <w:t>Legend:  ✓ = Addressed   ✗ = Not addressed   ◑ = Partially addressed   |   Links open original paper (arXiv / DOI).   |   Table prepared from detailed analysis: summary.md + gaps.md per paper.</w:t>
      </w:r>
    </w:p>
    <w:sectPr w:rsidR="00FC693F" w:rsidRPr="0006063C" w:rsidSect="00034616">
      <w:pgSz w:w="23818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407.06518" TargetMode="External"/><Relationship Id="rId10" Type="http://schemas.openxmlformats.org/officeDocument/2006/relationships/hyperlink" Target="https://arxiv.org/abs/2507.20524" TargetMode="External"/><Relationship Id="rId11" Type="http://schemas.openxmlformats.org/officeDocument/2006/relationships/hyperlink" Target="https://arxiv.org/abs/2603.06607" TargetMode="External"/><Relationship Id="rId12" Type="http://schemas.openxmlformats.org/officeDocument/2006/relationships/hyperlink" Target="https://arxiv.org/abs/2605.04436" TargetMode="External"/><Relationship Id="rId13" Type="http://schemas.openxmlformats.org/officeDocument/2006/relationships/hyperlink" Target="https://arxiv.org/abs/2606.01324" TargetMode="External"/><Relationship Id="rId14" Type="http://schemas.openxmlformats.org/officeDocument/2006/relationships/hyperlink" Target="https://arxiv.org/abs/2601.15532" TargetMode="External"/><Relationship Id="rId15" Type="http://schemas.openxmlformats.org/officeDocument/2006/relationships/hyperlink" Target="https://doi.org/10.3390/s25105209" TargetMode="External"/><Relationship Id="rId16" Type="http://schemas.openxmlformats.org/officeDocument/2006/relationships/hyperlink" Target="https://doi.org/10.3390/s251572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