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Eggplant / Brinjal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Weights reviewed and structurally loadable, but checkpoint was raw state_dict with no class mapping, preprocessing, split manifests, or verified metrics. Do not expose exact image-label claims until those contracts are recovered.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Brinjal is widely grown in irrigated vegetable belts and peri-urban production systems across Pakistan.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Agriculture lists nursery sowing around mid-February and again around the end of June, with transplanting in April and July-August respectively.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Warm-season crop. Prolonged humidity increases leaf spots, blights and fruit rots; heat and water stress encourage mites and reduce fruit quality.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Fertile, well-drained loam with good organic matter. Rotation away from solanaceous crops helps reduce persistent soilborne problems.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Keep soil moisture even, especially during flowering and fruit enlargement. Avoid waterlogging and reduce prolonged foliage wetness.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General Pest Damage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Mosaic Virus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Mottling/mosaic, distortion and stunting.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 and virus-specific vectors.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Rogue symptomatic plants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 and resistant cultivars.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plant virus.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Phomopsis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stem lesions and sunken fruit rot.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humid weather, infected seed/debris.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fruit/debris and avoid saving seed from diseased fruit.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 and rotate crops.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Protectant/systemic fungicides may be used preventively where labelled.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 Mold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 stem lesions with white cottony growth and black sclerotia.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Cool-to-moderate moist dense canopies.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tissue before sclerotia spread.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Long rotation, wider spacing and irrigation timing.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Fungicides are preventive and timing-sensitive; no spray reverses advanced stem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Shoot and fruit borer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Jassids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Whiteflies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wilt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Sudden wilt; in cucumber, vector-associated bacterial wilt can rapidly collapse vines.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Cucumber beetle vectors and susceptible cucurbits.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There is no pesticide cure once infected. Remove wilted plants and manage vectors.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Physical exclusion/row covers early and vector 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Insecticides target beetle vectors, not the bacteria.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Little leaf/phytoplasma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Root-knot nematodes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Nutrient stress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Vegetable varieties and sowing: https://www.agripunjab.gov.pk/aari-cvVegetables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