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75.6521739130435" w:lineRule="auto"/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The Islamia University of Bahawalpur (IUB) has the following university rankings:</w:t>
      </w:r>
    </w:p>
    <w:p w:rsidR="00000000" w:rsidDel="00000000" w:rsidP="00000000" w:rsidRDefault="00000000" w:rsidRPr="00000000" w14:paraId="00000002">
      <w:pPr>
        <w:spacing w:after="240" w:before="240" w:line="375.6521739130435" w:lineRule="auto"/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In the QS World University Rankings 2026, IUB is ranked 18th in Pakistan and 1401+ worldwide. In the QS World University Rankings for Asia 2025, it stands at 22nd in Pakistan and 401-410 in Asia, while securing 107th position in South Asia. In the QS World University Rankings for Sustainability 2025, IUB is ranked 14th in Pakistan, 1181-1200 globally, 395th in Asia, and 72nd in South Asia. It is placed in the 1001+ band in the categories of Environmental Impact, Social Impact, and Governance.</w:t>
      </w:r>
    </w:p>
    <w:p w:rsidR="00000000" w:rsidDel="00000000" w:rsidP="00000000" w:rsidRDefault="00000000" w:rsidRPr="00000000" w14:paraId="00000003">
      <w:pPr>
        <w:spacing w:after="240" w:before="240" w:line="375.6521739130435" w:lineRule="auto"/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According to the Times Higher Education (THE) rankings, IUB is placed 10th in Pakistan and 801-1000 in the THE World University Rankings 2025. In the Times Higher Education (THE) Interdisciplinary Science Ranking (ISR) 2025, it is ranked 8th in Pakistan and 201-250 globally. In the Times Higher Education (THE) Impact Ranking 2025, IUB stands at 30th in Pakistan and 801-1000 worldwide. In the Times Higher Education Young University Rankings 2024, it is positioned in the 301-350 band. In the Times Higher Education (THE) Rankings by Subject 2025, IUB is ranked 3rd/4th in Engineering/Life Sciences (401-500), 4th in Medical &amp; Health/Social Sciences (501-600), 11th/14th in Business &amp; Economics/Computer Science (601-800), and 22nd in Physical Sciences (601-800).</w:t>
      </w:r>
    </w:p>
    <w:p w:rsidR="00000000" w:rsidDel="00000000" w:rsidP="00000000" w:rsidRDefault="00000000" w:rsidRPr="00000000" w14:paraId="00000004">
      <w:pPr>
        <w:spacing w:after="240" w:before="240" w:line="375.6521739130435" w:lineRule="auto"/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In the UI Green Metric World University Rankings 2024, IUB is ranked 10th nationally, 3rd in South Punjab, and 331st worldwide.</w:t>
      </w:r>
    </w:p>
    <w:p w:rsidR="00000000" w:rsidDel="00000000" w:rsidP="00000000" w:rsidRDefault="00000000" w:rsidRPr="00000000" w14:paraId="00000005">
      <w:pPr>
        <w:spacing w:after="240" w:before="240" w:line="375.6521739130435" w:lineRule="auto"/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In the SCimago Institutions Rankings 2024, IUB’s subject-wise positions in Pakistan and the Asiatic Region are as follows: Veterinary / Pharmacology, Toxicology &amp; Pharmaceutics (7th in Pakistan / 144th / 644th in Asiatic Region), Arts &amp; Humanities / Psychology (9th / 218th / 252nd), Medicine (10th / 912th), Engineering (14th / 551st), Agricultural and Biological Sciences (17th / 669th), Chemistry (19th / 797th), and Business, Management &amp; Accounting (23rd / 414th).</w:t>
      </w:r>
    </w:p>
    <w:p w:rsidR="00000000" w:rsidDel="00000000" w:rsidP="00000000" w:rsidRDefault="00000000" w:rsidRPr="00000000" w14:paraId="00000006">
      <w:pPr>
        <w:spacing w:after="240" w:before="240" w:line="375.6521739130435" w:lineRule="auto"/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For the Sustainable Development Goals (SDGs) 2025, IUB has an overall score of 60.9-65.5 and is ranked 801-1000 worldwide. Its performance in individual SDGs is: No Poverty (57.0-62.3, 201-300), Zero Hunger (46.9-54.3, 201-300), Good Health &amp; Well-Being (36.8-43.0, 1001-1500), Quality Education (56.3-62.0, 801-1000), Gender Equality (35.3-42.0, 801-1000), Clean Water &amp; Sanitation (36.2-48.3, 301-400), Affordable &amp; Clean Energy (46.4-55.2, 301-400), Decent Work &amp; Economic Growth (43.1-52.7, 801-1000), Industry Innovation &amp; Infrastructure (26.0-41.4, 601-800), Reduced Inequalities (47.2-56.4, 401-600), Sustainable Cities &amp; Communities (44.9-55.6, 401-600), Responsible Consumption &amp; Production (41.1-57.4, 401-600), Climate Action (36.0-46.6, 601-800), Life Below Water (10.7-39.7, 301-400), and Life on Land (29.3-45.7, 301-400).</w:t>
      </w:r>
    </w:p>
    <w:p w:rsidR="00000000" w:rsidDel="00000000" w:rsidP="00000000" w:rsidRDefault="00000000" w:rsidRPr="00000000" w14:paraId="00000007">
      <w:pPr>
        <w:spacing w:after="240" w:before="240" w:line="375.6521739130435" w:lineRule="auto"/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b w:val="1"/>
          <w:bCs w:val="1"/>
          <w:color w:val="333333"/>
          <w:sz w:val="27"/>
          <w:szCs w:val="27"/>
          <w:rtl w:val="0"/>
        </w:rPr>
        <w:t xml:space="preserve">In the Relative Performance Score of HEIs 2023, IUB achieved the following scores: Quality Assurance 77%, Teaching/Learning Environment 71%, Research 11%, Financial/E-Governance 75%, and Social Integration/Community Development 91%.</w:t>
      </w:r>
    </w:p>
    <w:p w:rsidR="00000000" w:rsidDel="00000000" w:rsidP="00000000" w:rsidRDefault="00000000" w:rsidRPr="00000000" w14:paraId="00000008">
      <w:pPr>
        <w:spacing w:after="160" w:line="375.6521739130435" w:lineRule="auto"/>
        <w:ind w:left="1440" w:firstLine="0"/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