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Classification-Retrieval Fairness Trade-off</w:t>
      </w:r>
    </w:p>
    <w:p>
      <w:r>
        <w:rPr>
          <w:b w:val="0"/>
          <w:i/>
          <w:sz w:val="24"/>
        </w:rPr>
        <w:t>A theoretical contribution for FairCLIP</w:t>
      </w:r>
    </w:p>
    <w:p>
      <w:r>
        <w:rPr>
          <w:b w:val="0"/>
          <w:i/>
          <w:sz w:val="22"/>
        </w:rPr>
        <w:t>Ayesha Kalsoom (25I-7805)  |  Supervisor: Dr. Afia Zafar</w:t>
      </w:r>
    </w:p>
    <w:p/>
    <w:p>
      <w:pPr>
        <w:pStyle w:val="Heading1"/>
      </w:pPr>
      <w:r>
        <w:t>1. The idea in one sentence</w:t>
      </w:r>
    </w:p>
    <w:p>
      <w:r>
        <w:rPr>
          <w:b/>
          <w:i w:val="0"/>
          <w:sz w:val="22"/>
        </w:rPr>
        <w:t>You cannot remove a demographic attribute from the embedding AND still classify that attribute, because the same information does both jobs; improving retrieval fairness therefore always reduces classification accuracy, and vice versa.</w:t>
      </w:r>
    </w:p>
    <w:p>
      <w:pPr>
        <w:pStyle w:val="Heading1"/>
      </w:pPr>
      <w:r>
        <w:t>2. Why this matters</w:t>
      </w:r>
    </w:p>
    <w:p>
      <w:r>
        <w:rPr>
          <w:b w:val="0"/>
          <w:i w:val="0"/>
          <w:sz w:val="22"/>
        </w:rPr>
        <w:t>This turns an empirical observation into a proven principle. It explains why FairCLIP uses different projection depths for different tasks (shallow for classification, deep for retrieval) and pre-empts the criticism that the iterative projection is an ad-hoc trick: the depth knob is fundamental, not a hack.</w:t>
      </w:r>
    </w:p>
    <w:p>
      <w:r>
        <w:drawing>
          <wp:inline xmlns:a="http://schemas.openxmlformats.org/drawingml/2006/main" xmlns:pic="http://schemas.openxmlformats.org/drawingml/2006/picture">
            <wp:extent cx="5669280" cy="1959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off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removing the demographic subspace makes groups overlap (fair retrieval) but indistinguishable (no classification).</w:t>
      </w:r>
    </w:p>
    <w:p>
      <w:pPr>
        <w:pStyle w:val="Heading1"/>
      </w:pPr>
      <w:r>
        <w:t>3. The trade-off as an algorithm</w:t>
      </w:r>
    </w:p>
    <w:p>
      <w:r>
        <w:rPr>
          <w:b w:val="0"/>
          <w:i w:val="0"/>
          <w:sz w:val="22"/>
        </w:rPr>
        <w:t>The single knob is the projection depth r. This is how FairCLIP chooses it per task:</w:t>
      </w:r>
    </w:p>
    <w:p>
      <w:r>
        <w:rPr>
          <w:rFonts w:ascii="Consolas" w:hAnsi="Consolas"/>
          <w:sz w:val="20"/>
        </w:rPr>
        <w:t>Algorithm 1: Task-Adaptive Projection Depth</w:t>
        <w:br/>
        <w:t>------------------------------------------------------------</w:t>
        <w:br/>
        <w:t>Input : trained embeddings z, demographic subspace B,</w:t>
        <w:br/>
        <w:t xml:space="preserve">        task T in {classification, retrieval}</w:t>
        <w:br/>
        <w:t>Output: task-appropriate embedding z'</w:t>
        <w:br/>
        <w:t>------------------------------------------------------------</w:t>
        <w:br/>
        <w:t xml:space="preserve"> 1:  if T == classification then</w:t>
        <w:br/>
        <w:t xml:space="preserve"> 2:       r &lt;- 1                 # keep demographic signal</w:t>
        <w:br/>
        <w:t xml:space="preserve"> 3:  else if T == retrieval then</w:t>
        <w:br/>
        <w:t xml:space="preserve"> 4:       r &lt;- r*  (2-9 rounds)  # remove residual signal</w:t>
        <w:br/>
        <w:t xml:space="preserve"> 5:  end if</w:t>
        <w:br/>
        <w:t xml:space="preserve"> 6:  z' &lt;- z</w:t>
        <w:br/>
        <w:t xml:space="preserve"> 7:  for i = 1 to r do</w:t>
        <w:br/>
        <w:t xml:space="preserve"> 8:       B_i &lt;- SVD(centroid differences of z')   # Step IV</w:t>
        <w:br/>
        <w:t xml:space="preserve"> 9:       z'  &lt;- (I - B_i B_i^T) z'                 # Step VIII</w:t>
        <w:br/>
        <w:t>10:  end for</w:t>
        <w:br/>
        <w:t>11:  return z'</w:t>
        <w:br/>
        <w:t>------------------------------------------------------------</w:t>
        <w:br/>
        <w:t>Note: r=1 preserves classification; larger r drives MaxSkew -&gt; 0</w:t>
        <w:br/>
        <w:t xml:space="preserve">      but pushes classification accuracy -&gt; 1/m (chance).</w:t>
      </w:r>
    </w:p>
    <w:p>
      <w:pPr>
        <w:pStyle w:val="Heading1"/>
      </w:pPr>
      <w:r>
        <w:t>4. Formal statement (for the paper)</w:t>
      </w:r>
    </w:p>
    <w:p>
      <w:r>
        <w:rPr>
          <w:b w:val="0"/>
          <w:i w:val="0"/>
          <w:sz w:val="22"/>
        </w:rPr>
        <w:t>Setup. Let z be L2-normalized image embeddings for attribute A with groups G = {1,...,m}. Let B be the top-k singular vectors of the centroid-difference matrix M = [mu_1 - mu, ..., mu_m - mu]. Define z' = (I - B B^T) z.</w:t>
      </w:r>
    </w:p>
    <w:p>
      <w:r>
        <w:rPr>
          <w:b/>
          <w:i w:val="0"/>
          <w:sz w:val="22"/>
        </w:rPr>
        <w:t>Theorem (Classification-Retrieval Incompatibility). (1) After projection, all group means coincide (mu'_g = mu' for all g), so any group classifier on z' cannot exceed chance accuracy 1/m. (2) For neutral queries whose bias lies in span(B), group-conditional score distributions become identical, so MaxSkew(z') -&gt; 0 and NDKL -&gt; 0. (3) Hence retaining span(B) (for classification) and removing it (for retrieval) are opposing objectives; no single projection depth optimizes both.</w:t>
      </w:r>
    </w:p>
    <w:p>
      <w:pPr>
        <w:pStyle w:val="Heading1"/>
      </w:pPr>
      <w:r>
        <w:t>5. Proof (sketch)</w:t>
      </w:r>
    </w:p>
    <w:p>
      <w:r>
        <w:rPr>
          <w:b w:val="0"/>
          <w:i w:val="0"/>
          <w:sz w:val="22"/>
        </w:rPr>
        <w:t>Part 1. The group-distinguishing signal is the centroid differences mu_g - mu, which lie in span(B) by definition. Since (I - B B^T) annihilates span(B), every group mean maps to the same point: mu'_g = mu'. With identical group means, classification cannot exceed chance 1/m.</w:t>
      </w:r>
    </w:p>
    <w:p>
      <w:r>
        <w:rPr>
          <w:b w:val="0"/>
          <w:i w:val="0"/>
          <w:sz w:val="22"/>
        </w:rPr>
        <w:t>Part 2. For a query q = q_B + q_perp with q_B in span(B), similarity after projection is &lt;z', q&gt; = &lt;z, q_perp&gt;: the group-discriminative part is removed, so group score distributions match the population and ranked-list proportions become balanced, giving MaxSkew -&gt; 0.</w:t>
      </w:r>
    </w:p>
    <w:p>
      <w:r>
        <w:rPr>
          <w:b w:val="0"/>
          <w:i w:val="0"/>
          <w:sz w:val="22"/>
        </w:rPr>
        <w:t>Part 3. Part 1 needs span(B) present; Part 2 needs it absent. Both cannot hold on one representation. Parameterizing removal by depth r yields a monotone trade-off: accuracy decreasing in r, skew decreasing in r. Hence Pareto-opposed. QED.</w:t>
      </w:r>
    </w:p>
    <w:p>
      <w:pPr>
        <w:pStyle w:val="Heading1"/>
      </w:pPr>
      <w:r>
        <w:t>6. Empirical confirmation (our data)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Projection depth r</w:t>
            </w:r>
          </w:p>
        </w:tc>
        <w:tc>
          <w:tcPr>
            <w:tcW w:type="dxa" w:w="2880"/>
          </w:tcPr>
          <w:p>
            <w:r>
              <w:t>Classification accuracy</w:t>
            </w:r>
          </w:p>
        </w:tc>
        <w:tc>
          <w:tcPr>
            <w:tcW w:type="dxa" w:w="2880"/>
          </w:tcPr>
          <w:p>
            <w:r>
              <w:t>MaxSkew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0.670</w:t>
            </w:r>
          </w:p>
        </w:tc>
        <w:tc>
          <w:tcPr>
            <w:tcW w:type="dxa" w:w="2880"/>
          </w:tcPr>
          <w:p>
            <w:r>
              <w:t>1.785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0.179</w:t>
            </w:r>
          </w:p>
        </w:tc>
        <w:tc>
          <w:tcPr>
            <w:tcW w:type="dxa" w:w="2880"/>
          </w:tcPr>
          <w:p>
            <w:r>
              <w:t>0.188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0.169</w:t>
            </w:r>
          </w:p>
        </w:tc>
        <w:tc>
          <w:tcPr>
            <w:tcW w:type="dxa" w:w="2880"/>
          </w:tcPr>
          <w:p>
            <w:r>
              <w:t>0.064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0.162</w:t>
            </w:r>
          </w:p>
        </w:tc>
        <w:tc>
          <w:tcPr>
            <w:tcW w:type="dxa" w:w="2880"/>
          </w:tcPr>
          <w:p>
            <w:r>
              <w:t>0.048</w:t>
            </w:r>
          </w:p>
        </w:tc>
      </w:tr>
    </w:tbl>
    <w:p>
      <w:r>
        <w:rPr>
          <w:b w:val="0"/>
          <w:i/>
          <w:sz w:val="22"/>
        </w:rPr>
        <w:t>The theorem predicts accuracy -&gt; 1/m. With m = 7 race groups, chance = 1/7 = 0.143. Observed accuracy settles at ~0.16 (essentially chance), and MaxSkew falls from 1.785 to 0.048 - both predictions confirmed. A separate probe shows embeddings still discriminate non-demographic content after projection (caption-variety ~0.98), ruling out the 'broken embeddings' explanation.</w:t>
      </w:r>
    </w:p>
    <w:p>
      <w:pPr>
        <w:pStyle w:val="Heading1"/>
      </w:pPr>
      <w:r>
        <w:t>7. Honest scope</w:t>
      </w:r>
    </w:p>
    <w:p>
      <w:r>
        <w:rPr>
          <w:b w:val="0"/>
          <w:i w:val="0"/>
          <w:sz w:val="22"/>
        </w:rPr>
        <w:t>This theorem is one pillar of a top-tier paper. A full submission also needs multi-seed across all backbones, ablations on all attributes, a same-hardware re-run of the base method, and ideally a fully-training-time version of the iterative projection. But this trade-off result is the theoretical core that distinguishes a top-tier contribution from a purely empirical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