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8B7355"/>
          <w:sz w:val="18"/>
          <w:szCs w:val="18"/>
        </w:rPr>
        <w:t xml:space="preserve">PROJECT REPORT  ·  ME 224 – Kinematics of Machinery</w:t>
      </w:r>
    </w:p>
    <w:p>
      <w:pPr>
        <w:pBdr>
          <w:bottom w:val="single" w:color="C49A3C" w:sz="18" w:space="4"/>
        </w:pBdr>
        <w:spacing w:after="60" w:before="0"/>
      </w:pPr>
      <w:r>
        <w:rPr>
          <w:rFonts w:ascii="Georgia" w:cs="Georgia" w:eastAsia="Georgia" w:hAnsi="Georgia"/>
          <w:b/>
          <w:bCs/>
          <w:color w:val="2C1810"/>
          <w:sz w:val="44"/>
          <w:szCs w:val="44"/>
        </w:rPr>
        <w:t xml:space="preserve">Interactive Musical Box</w:t>
      </w:r>
    </w:p>
    <w:p>
      <w:pPr>
        <w:spacing w:after="80" w:before="40"/>
      </w:pPr>
      <w:r>
        <w:rPr>
          <w:rFonts w:ascii="Georgia" w:cs="Georgia" w:eastAsia="Georgia" w:hAnsi="Georgia"/>
          <w:i/>
          <w:iCs/>
          <w:color w:val="6B3D2E"/>
          <w:sz w:val="24"/>
          <w:szCs w:val="24"/>
        </w:rPr>
        <w:t xml:space="preserve">A Bluetooth-Enabled Mechanical Music Experience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80"/>
            </w:tcMar>
          </w:tcPr>
          <w:p>
            <w:r>
              <w:rPr>
                <w:rFonts w:ascii="Calibri" w:cs="Calibri" w:eastAsia="Calibri" w:hAnsi="Calibri"/>
                <w:b/>
                <w:bCs/>
                <w:color w:val="6B3D2E"/>
                <w:sz w:val="20"/>
                <w:szCs w:val="20"/>
              </w:rPr>
              <w:t xml:space="preserve">Team</w:t>
            </w:r>
          </w:p>
        </w:tc>
        <w:tc>
          <w:tcPr>
            <w:tcW w:type="dxa" w:w="72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80"/>
            </w:tcMar>
          </w:tcPr>
          <w:p>
            <w:r>
              <w:rPr>
                <w:rFonts w:ascii="Calibri" w:cs="Calibri" w:eastAsia="Calibri" w:hAnsi="Calibri"/>
                <w:color w:val="222222"/>
                <w:sz w:val="20"/>
                <w:szCs w:val="20"/>
              </w:rPr>
              <w:t xml:space="preserve">Team 20</w:t>
            </w:r>
          </w:p>
        </w:tc>
      </w:tr>
      <w:tr>
        <w:tc>
          <w:tcPr>
            <w:tcW w:type="dxa" w:w="216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80"/>
            </w:tcMar>
          </w:tcPr>
          <w:p>
            <w:r>
              <w:rPr>
                <w:rFonts w:ascii="Calibri" w:cs="Calibri" w:eastAsia="Calibri" w:hAnsi="Calibri"/>
                <w:b/>
                <w:bCs/>
                <w:color w:val="6B3D2E"/>
                <w:sz w:val="20"/>
                <w:szCs w:val="20"/>
              </w:rPr>
              <w:t xml:space="preserve">Members</w:t>
            </w:r>
          </w:p>
        </w:tc>
        <w:tc>
          <w:tcPr>
            <w:tcW w:type="dxa" w:w="72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80"/>
            </w:tcMar>
          </w:tcPr>
          <w:p>
            <w:r>
              <w:rPr>
                <w:rFonts w:ascii="Calibri" w:cs="Calibri" w:eastAsia="Calibri" w:hAnsi="Calibri"/>
                <w:color w:val="222222"/>
                <w:sz w:val="20"/>
                <w:szCs w:val="20"/>
              </w:rPr>
              <w:t xml:space="preserve">Shinjini Ghosh (240103122)  ·  Ayeshan Raza (240103027)</w:t>
            </w:r>
          </w:p>
        </w:tc>
      </w:tr>
      <w:tr>
        <w:tc>
          <w:tcPr>
            <w:tcW w:type="dxa" w:w="216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80"/>
            </w:tcMar>
          </w:tcPr>
          <w:p>
            <w:r>
              <w:rPr>
                <w:rFonts w:ascii="Calibri" w:cs="Calibri" w:eastAsia="Calibri" w:hAnsi="Calibri"/>
                <w:b/>
                <w:bCs/>
                <w:color w:val="6B3D2E"/>
                <w:sz w:val="20"/>
                <w:szCs w:val="20"/>
              </w:rPr>
              <w:t xml:space="preserve">Course</w:t>
            </w:r>
          </w:p>
        </w:tc>
        <w:tc>
          <w:tcPr>
            <w:tcW w:type="dxa" w:w="72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80"/>
            </w:tcMar>
          </w:tcPr>
          <w:p>
            <w:r>
              <w:rPr>
                <w:rFonts w:ascii="Calibri" w:cs="Calibri" w:eastAsia="Calibri" w:hAnsi="Calibri"/>
                <w:color w:val="222222"/>
                <w:sz w:val="20"/>
                <w:szCs w:val="20"/>
              </w:rPr>
              <w:t xml:space="preserve">ME 224 – Kinematics of Machinery</w:t>
            </w:r>
          </w:p>
        </w:tc>
      </w:tr>
      <w:tr>
        <w:tc>
          <w:tcPr>
            <w:tcW w:type="dxa" w:w="216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80"/>
            </w:tcMar>
          </w:tcPr>
          <w:p>
            <w:r>
              <w:rPr>
                <w:rFonts w:ascii="Calibri" w:cs="Calibri" w:eastAsia="Calibri" w:hAnsi="Calibri"/>
                <w:b/>
                <w:bCs/>
                <w:color w:val="6B3D2E"/>
                <w:sz w:val="20"/>
                <w:szCs w:val="20"/>
              </w:rPr>
              <w:t xml:space="preserve">Project Type</w:t>
            </w:r>
          </w:p>
        </w:tc>
        <w:tc>
          <w:tcPr>
            <w:tcW w:type="dxa" w:w="72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80"/>
            </w:tcMar>
          </w:tcPr>
          <w:p>
            <w:r>
              <w:rPr>
                <w:rFonts w:ascii="Calibri" w:cs="Calibri" w:eastAsia="Calibri" w:hAnsi="Calibri"/>
                <w:color w:val="222222"/>
                <w:sz w:val="20"/>
                <w:szCs w:val="20"/>
              </w:rPr>
              <w:t xml:space="preserve">Interdisciplinary Design Project — Mechanical + Electronics</w:t>
            </w:r>
          </w:p>
        </w:tc>
      </w:tr>
      <w:tr>
        <w:tc>
          <w:tcPr>
            <w:tcW w:type="dxa" w:w="216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80"/>
            </w:tcMar>
          </w:tcPr>
          <w:p>
            <w:r>
              <w:rPr>
                <w:rFonts w:ascii="Calibri" w:cs="Calibri" w:eastAsia="Calibri" w:hAnsi="Calibri"/>
                <w:b/>
                <w:bCs/>
                <w:color w:val="6B3D2E"/>
                <w:sz w:val="20"/>
                <w:szCs w:val="20"/>
              </w:rPr>
              <w:t xml:space="preserve">Key Concepts</w:t>
            </w:r>
          </w:p>
        </w:tc>
        <w:tc>
          <w:tcPr>
            <w:tcW w:type="dxa" w:w="72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80"/>
            </w:tcMar>
          </w:tcPr>
          <w:p>
            <w:r>
              <w:rPr>
                <w:rFonts w:ascii="Calibri" w:cs="Calibri" w:eastAsia="Calibri" w:hAnsi="Calibri"/>
                <w:color w:val="222222"/>
                <w:sz w:val="20"/>
                <w:szCs w:val="20"/>
              </w:rPr>
              <w:t xml:space="preserve">Cam mechanisms, Crank-Rocker linkage, Grashof condition, Bluetooth actuation</w:t>
            </w:r>
          </w:p>
        </w:tc>
      </w:tr>
      <w:tr>
        <w:tc>
          <w:tcPr>
            <w:tcW w:type="dxa" w:w="216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80"/>
            </w:tcMar>
          </w:tcPr>
          <w:p>
            <w:r>
              <w:rPr>
                <w:rFonts w:ascii="Calibri" w:cs="Calibri" w:eastAsia="Calibri" w:hAnsi="Calibri"/>
                <w:b/>
                <w:bCs/>
                <w:color w:val="6B3D2E"/>
                <w:sz w:val="20"/>
                <w:szCs w:val="20"/>
              </w:rPr>
              <w:t xml:space="preserve">Tools</w:t>
            </w:r>
          </w:p>
        </w:tc>
        <w:tc>
          <w:tcPr>
            <w:tcW w:type="dxa" w:w="72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80"/>
            </w:tcMar>
          </w:tcPr>
          <w:p>
            <w:r>
              <w:rPr>
                <w:rFonts w:ascii="Calibri" w:cs="Calibri" w:eastAsia="Calibri" w:hAnsi="Calibri"/>
                <w:color w:val="222222"/>
                <w:sz w:val="20"/>
                <w:szCs w:val="20"/>
              </w:rPr>
              <w:t xml:space="preserve">SolidWorks, SolidWorks Motion Analysis, Bluetooth DC motors, Speaker module</w:t>
            </w:r>
          </w:p>
        </w:tc>
      </w:tr>
    </w:tbl>
    <w:p>
      <w:pPr>
        <w:spacing w:after="200" w:before="0"/>
      </w:pPr>
    </w:p>
    <w:p>
      <w:pPr>
        <w:pBdr>
          <w:bottom w:val="single" w:color="C49A3C" w:sz="12" w:space="2"/>
        </w:pBdr>
        <w:spacing w:after="60" w:before="300"/>
      </w:pPr>
      <w:r>
        <w:rPr>
          <w:rFonts w:ascii="Georgia" w:cs="Georgia" w:eastAsia="Georgia" w:hAnsi="Georgia"/>
          <w:b/>
          <w:bCs/>
          <w:color w:val="2C1810"/>
          <w:sz w:val="30"/>
          <w:szCs w:val="30"/>
        </w:rPr>
        <w:t xml:space="preserve">Abstract</w:t>
      </w:r>
    </w:p>
    <w:p>
      <w:pPr>
        <w:spacing w:after="60" w:before="60"/>
        <w:jc w:val="both"/>
      </w:pPr>
      <w:r>
        <w:rPr>
          <w:rFonts w:ascii="Calibri" w:cs="Calibri" w:eastAsia="Calibri" w:hAnsi="Calibri"/>
          <w:color w:val="222222"/>
          <w:sz w:val="22"/>
          <w:szCs w:val="22"/>
        </w:rPr>
        <w:t xml:space="preserve">This report documents the design and development of an Interactive Musical Box — a Bluetooth-enabled mechanical toy that replaces the fixed-song pin-and-comb mechanism of a traditional musical box with wireless audio streaming and motor-driven figurine animation. Each figurine is actuated by a dedicated cam mechanism (eccentric, pear-shaped, or snail cam) that converts continuous rotary motor output into precise, repeatable figurine motion. A crank-rocker four-bar linkage drives the guitar arm in a natural strumming oscillation. The entire system — motors and speaker — is controllable from a smartphone over Bluetooth, allowing any song to be played with synchronised figurine choreography. The project was designed and validated in SolidWorks before physical prototyping, applying core principles from ME 224: Kinematics of Machinery.</w:t>
      </w:r>
    </w:p>
    <w:p>
      <w:pPr>
        <w:spacing w:after="80" w:before="0"/>
      </w:pPr>
    </w:p>
    <w:p>
      <w:pPr>
        <w:pBdr>
          <w:bottom w:val="single" w:color="C49A3C" w:sz="12" w:space="2"/>
        </w:pBdr>
        <w:spacing w:after="60" w:before="300"/>
      </w:pPr>
      <w:r>
        <w:rPr>
          <w:rFonts w:ascii="Georgia" w:cs="Georgia" w:eastAsia="Georgia" w:hAnsi="Georgia"/>
          <w:b/>
          <w:bCs/>
          <w:color w:val="2C1810"/>
          <w:sz w:val="30"/>
          <w:szCs w:val="30"/>
        </w:rPr>
        <w:t xml:space="preserve">1.  Introduction &amp; Problem Statement</w:t>
      </w:r>
    </w:p>
    <w:p>
      <w:pPr>
        <w:spacing w:after="60" w:before="60"/>
        <w:jc w:val="both"/>
      </w:pPr>
      <w:r>
        <w:rPr>
          <w:rFonts w:ascii="Calibri" w:cs="Calibri" w:eastAsia="Calibri" w:hAnsi="Calibri"/>
          <w:color w:val="222222"/>
          <w:sz w:val="22"/>
          <w:szCs w:val="22"/>
        </w:rPr>
        <w:t xml:space="preserve">Traditional musical toys often fail to merge mechanical ingenuity with modern interactivity. Mechanical music boxes carry undeniable charm — their intricate pin-and-comb mechanisms have captivated audiences since the late 18th century — yet they remain static, limited to a single encoded song, and technologically unchanged for over two centuries.</w:t>
      </w:r>
    </w:p>
    <w:p>
      <w:pPr>
        <w:spacing w:after="40" w:before="0"/>
      </w:pPr>
    </w:p>
    <w:p>
      <w:pPr>
        <w:spacing w:after="60" w:before="60"/>
        <w:jc w:val="both"/>
      </w:pPr>
      <w:r>
        <w:rPr>
          <w:rFonts w:ascii="Calibri" w:cs="Calibri" w:eastAsia="Calibri" w:hAnsi="Calibri"/>
          <w:color w:val="222222"/>
          <w:sz w:val="22"/>
          <w:szCs w:val="22"/>
        </w:rPr>
        <w:t xml:space="preserve">The challenge set for this project was to design an interactive toy that combines mechanical motion (cams, cranks, and linkages) with modern electronics (Bluetooth speakers and wireless motors) to bring musical performance to life through animated figurines — all controllable from a smartphone. The result is a device that retains the aesthetic warmth of a mechanical music box while offering unlimited musical versatility and user engagement.</w:t>
      </w:r>
    </w:p>
    <w:p>
      <w:pPr>
        <w:spacing w:after="160" w:before="0"/>
      </w:pPr>
    </w:p>
    <w:p>
      <w:pPr>
        <w:pBdr>
          <w:bottom w:val="single" w:color="C49A3C" w:sz="12" w:space="2"/>
        </w:pBdr>
        <w:spacing w:after="60" w:before="300"/>
      </w:pPr>
      <w:r>
        <w:rPr>
          <w:rFonts w:ascii="Georgia" w:cs="Georgia" w:eastAsia="Georgia" w:hAnsi="Georgia"/>
          <w:b/>
          <w:bCs/>
          <w:color w:val="2C1810"/>
          <w:sz w:val="30"/>
          <w:szCs w:val="30"/>
        </w:rPr>
        <w:t xml:space="preserve">2.  Background — The Traditional Musical Box</w:t>
      </w:r>
    </w:p>
    <w:p>
      <w:pPr>
        <w:spacing w:after="60" w:before="60"/>
        <w:jc w:val="both"/>
      </w:pPr>
      <w:r>
        <w:rPr>
          <w:rFonts w:ascii="Calibri" w:cs="Calibri" w:eastAsia="Calibri" w:hAnsi="Calibri"/>
          <w:color w:val="222222"/>
          <w:sz w:val="22"/>
          <w:szCs w:val="22"/>
        </w:rPr>
        <w:t xml:space="preserve">The musical box was invented in Switzerland around 1796 by Antoine Favre, initially built into pocket watches and snuff boxes. During the 19th-century golden age, Geneva and Sainte-Croix manufacturers produced them as luxury household items across Europe. By the 20th century they were displaced by phonographs and radios, surviving only as collectibles.</w:t>
      </w:r>
    </w:p>
    <w:p>
      <w:pPr>
        <w:spacing w:after="40" w:before="0"/>
      </w:pPr>
    </w:p>
    <w:p>
      <w:pPr>
        <w:spacing w:after="60" w:before="200"/>
      </w:pPr>
      <w:r>
        <w:rPr>
          <w:rFonts w:ascii="Georgia" w:cs="Georgia" w:eastAsia="Georgia" w:hAnsi="Georgia"/>
          <w:b/>
          <w:bCs/>
          <w:color w:val="6B3D2E"/>
          <w:sz w:val="24"/>
          <w:szCs w:val="24"/>
        </w:rPr>
        <w:t xml:space="preserve">Traditional Operating Principle</w:t>
      </w:r>
    </w:p>
    <w:p>
      <w:pPr>
        <w:pStyle w:val="ListParagraph"/>
        <w:numPr>
          <w:ilvl w:val="0"/>
          <w:numId w:val="2"/>
        </w:numPr>
        <w:spacing w:after="40" w:before="40"/>
      </w:pPr>
      <w:r>
        <w:rPr>
          <w:rFonts w:ascii="Calibri" w:cs="Calibri" w:eastAsia="Calibri" w:hAnsi="Calibri"/>
          <w:color w:val="222222"/>
          <w:sz w:val="22"/>
          <w:szCs w:val="22"/>
        </w:rPr>
        <w:t xml:space="preserve">Metal Cylinder (Barrel): a rotating cylinder studded with tiny hardened pins arranged in musical patterns.</w:t>
      </w:r>
    </w:p>
    <w:p>
      <w:pPr>
        <w:pStyle w:val="ListParagraph"/>
        <w:numPr>
          <w:ilvl w:val="0"/>
          <w:numId w:val="2"/>
        </w:numPr>
        <w:spacing w:after="40" w:before="40"/>
      </w:pPr>
      <w:r>
        <w:rPr>
          <w:rFonts w:ascii="Calibri" w:cs="Calibri" w:eastAsia="Calibri" w:hAnsi="Calibri"/>
          <w:color w:val="222222"/>
          <w:sz w:val="22"/>
          <w:szCs w:val="22"/>
        </w:rPr>
        <w:t xml:space="preserve">Steel Comb: pins pluck tuned metal tines on the comb as the cylinder rotates, producing notes.</w:t>
      </w:r>
    </w:p>
    <w:p>
      <w:pPr>
        <w:pStyle w:val="ListParagraph"/>
        <w:numPr>
          <w:ilvl w:val="0"/>
          <w:numId w:val="2"/>
        </w:numPr>
        <w:spacing w:after="40" w:before="40"/>
      </w:pPr>
      <w:r>
        <w:rPr>
          <w:rFonts w:ascii="Calibri" w:cs="Calibri" w:eastAsia="Calibri" w:hAnsi="Calibri"/>
          <w:color w:val="222222"/>
          <w:sz w:val="22"/>
          <w:szCs w:val="22"/>
        </w:rPr>
        <w:t xml:space="preserve">Governor / Mainspring: a wound mainspring drives the cylinder; a centrifugal governor regulates speed for consistent tempo.</w:t>
      </w:r>
    </w:p>
    <w:p>
      <w:pPr>
        <w:pStyle w:val="ListParagraph"/>
        <w:numPr>
          <w:ilvl w:val="0"/>
          <w:numId w:val="2"/>
        </w:numPr>
        <w:spacing w:after="40" w:before="40"/>
      </w:pPr>
      <w:r>
        <w:rPr>
          <w:rFonts w:ascii="Calibri" w:cs="Calibri" w:eastAsia="Calibri" w:hAnsi="Calibri"/>
          <w:color w:val="222222"/>
          <w:sz w:val="22"/>
          <w:szCs w:val="22"/>
        </w:rPr>
        <w:t xml:space="preserve">Fixed Song: each box plays only the songs encoded in its pins — no flexibility or customisation whatsoever.</w:t>
      </w:r>
    </w:p>
    <w:p>
      <w:pPr>
        <w:spacing w:after="160" w:before="0"/>
      </w:pPr>
    </w:p>
    <w:p>
      <w:pPr>
        <w:pBdr>
          <w:bottom w:val="single" w:color="C49A3C" w:sz="12" w:space="2"/>
        </w:pBdr>
        <w:spacing w:after="60" w:before="300"/>
      </w:pPr>
      <w:r>
        <w:rPr>
          <w:rFonts w:ascii="Georgia" w:cs="Georgia" w:eastAsia="Georgia" w:hAnsi="Georgia"/>
          <w:b/>
          <w:bCs/>
          <w:color w:val="2C1810"/>
          <w:sz w:val="30"/>
          <w:szCs w:val="30"/>
        </w:rPr>
        <w:t xml:space="preserve">3.  Our Design — What Makes It Different</w:t>
      </w:r>
    </w:p>
    <w:p>
      <w:pPr>
        <w:spacing w:after="60" w:before="60"/>
        <w:jc w:val="both"/>
      </w:pPr>
      <w:r>
        <w:rPr>
          <w:rFonts w:ascii="Calibri" w:cs="Calibri" w:eastAsia="Calibri" w:hAnsi="Calibri"/>
          <w:color w:val="222222"/>
          <w:sz w:val="22"/>
          <w:szCs w:val="22"/>
        </w:rPr>
        <w:t xml:space="preserve">Our interactive musical box completely departs from the traditional pin-and-comb architecture across three key dimensions:</w:t>
      </w:r>
    </w:p>
    <w:p>
      <w:pPr>
        <w:spacing w:after="60" w:before="0"/>
      </w:pPr>
    </w:p>
    <w:p>
      <w:pPr>
        <w:spacing w:after="60" w:before="200"/>
      </w:pPr>
      <w:r>
        <w:rPr>
          <w:rFonts w:ascii="Georgia" w:cs="Georgia" w:eastAsia="Georgia" w:hAnsi="Georgia"/>
          <w:b/>
          <w:bCs/>
          <w:color w:val="6B3D2E"/>
          <w:sz w:val="24"/>
          <w:szCs w:val="24"/>
        </w:rPr>
        <w:t xml:space="preserve">3.1  No Pin System</w:t>
      </w:r>
    </w:p>
    <w:p>
      <w:pPr>
        <w:spacing w:after="60" w:before="60"/>
        <w:jc w:val="both"/>
      </w:pPr>
      <w:r>
        <w:rPr>
          <w:rFonts w:ascii="Calibri" w:cs="Calibri" w:eastAsia="Calibri" w:hAnsi="Calibri"/>
          <w:color w:val="222222"/>
          <w:sz w:val="22"/>
          <w:szCs w:val="22"/>
        </w:rPr>
        <w:t xml:space="preserve">The traditional metal cylinder and pin mechanism is entirely eliminated. Music is not mechanically encoded — instead, a Bluetooth-enabled speaker module streams any audio track wirelessly from a smartphone. This gives the device an unlimited musical repertoire without any hardware modification.</w:t>
      </w:r>
    </w:p>
    <w:p>
      <w:pPr>
        <w:spacing w:after="60" w:before="0"/>
      </w:pPr>
    </w:p>
    <w:p>
      <w:pPr>
        <w:spacing w:after="60" w:before="200"/>
      </w:pPr>
      <w:r>
        <w:rPr>
          <w:rFonts w:ascii="Georgia" w:cs="Georgia" w:eastAsia="Georgia" w:hAnsi="Georgia"/>
          <w:b/>
          <w:bCs/>
          <w:color w:val="6B3D2E"/>
          <w:sz w:val="24"/>
          <w:szCs w:val="24"/>
        </w:rPr>
        <w:t xml:space="preserve">3.2  Wireless Motor Actuation</w:t>
      </w:r>
    </w:p>
    <w:p>
      <w:pPr>
        <w:spacing w:after="60" w:before="60"/>
        <w:jc w:val="both"/>
      </w:pPr>
      <w:r>
        <w:rPr>
          <w:rFonts w:ascii="Calibri" w:cs="Calibri" w:eastAsia="Calibri" w:hAnsi="Calibri"/>
          <w:color w:val="222222"/>
          <w:sz w:val="22"/>
          <w:szCs w:val="22"/>
        </w:rPr>
        <w:t xml:space="preserve">All figurine-actuating motors are Bluetooth-enabled DC motors. Their motion can be triggered, timed, and choreographed wirelessly in real time from a smartphone, allowing the figurines' movements to be synchronised to any music being played.</w:t>
      </w:r>
    </w:p>
    <w:p>
      <w:pPr>
        <w:spacing w:after="60" w:before="0"/>
      </w:pPr>
    </w:p>
    <w:p>
      <w:pPr>
        <w:spacing w:after="60" w:before="200"/>
      </w:pPr>
      <w:r>
        <w:rPr>
          <w:rFonts w:ascii="Georgia" w:cs="Georgia" w:eastAsia="Georgia" w:hAnsi="Georgia"/>
          <w:b/>
          <w:bCs/>
          <w:color w:val="6B3D2E"/>
          <w:sz w:val="24"/>
          <w:szCs w:val="24"/>
        </w:rPr>
        <w:t xml:space="preserve">3.3  Cam-Driven Figurine Animation</w:t>
      </w:r>
    </w:p>
    <w:p>
      <w:pPr>
        <w:spacing w:after="60" w:before="60"/>
        <w:jc w:val="both"/>
      </w:pPr>
      <w:r>
        <w:rPr>
          <w:rFonts w:ascii="Calibri" w:cs="Calibri" w:eastAsia="Calibri" w:hAnsi="Calibri"/>
          <w:color w:val="222222"/>
          <w:sz w:val="22"/>
          <w:szCs w:val="22"/>
        </w:rPr>
        <w:t xml:space="preserve">Rather than static decorative elements, each figurine is animated by a dedicated cam mechanism engineered for its specific type of motion. The choice of cam profile directly determines the character and timing of each figurine's gesture.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D4B896" w:sz="1"/>
              <w:left w:val="single" w:color="D4B896" w:sz="1"/>
              <w:bottom w:val="single" w:color="D4B896" w:sz="1"/>
              <w:right w:val="single" w:color="D4B896" w:sz="1"/>
            </w:tcBorders>
            <w:shd w:fill="2C1810" w:val="clear"/>
            <w:tcMar>
              <w:top w:type="dxa" w:w="100"/>
              <w:left w:type="dxa" w:w="160"/>
              <w:bottom w:type="dxa" w:w="100"/>
              <w:right w:type="dxa" w:w="160"/>
            </w:tcMar>
          </w:tcPr>
          <w:p>
            <w:pPr>
              <w:jc w:val="center"/>
            </w:pPr>
            <w:r>
              <w:rPr>
                <w:rFonts w:ascii="Calibri" w:cs="Calibri" w:eastAsia="Calibri" w:hAnsi="Calibri"/>
                <w:b/>
                <w:bCs/>
                <w:color w:val="FAF6EE"/>
                <w:sz w:val="20"/>
                <w:szCs w:val="20"/>
              </w:rPr>
              <w:t xml:space="preserve">Feature</w:t>
            </w:r>
          </w:p>
        </w:tc>
        <w:tc>
          <w:tcPr>
            <w:tcW w:type="dxa" w:w="3480"/>
            <w:tcBorders>
              <w:top w:val="single" w:color="D4B896" w:sz="1"/>
              <w:left w:val="single" w:color="D4B896" w:sz="1"/>
              <w:bottom w:val="single" w:color="D4B896" w:sz="1"/>
              <w:right w:val="single" w:color="D4B896" w:sz="1"/>
            </w:tcBorders>
            <w:shd w:fill="2C1810" w:val="clear"/>
            <w:tcMar>
              <w:top w:type="dxa" w:w="100"/>
              <w:left w:type="dxa" w:w="160"/>
              <w:bottom w:type="dxa" w:w="100"/>
              <w:right w:type="dxa" w:w="160"/>
            </w:tcMar>
          </w:tcPr>
          <w:p>
            <w:pPr>
              <w:jc w:val="center"/>
            </w:pPr>
            <w:r>
              <w:rPr>
                <w:rFonts w:ascii="Calibri" w:cs="Calibri" w:eastAsia="Calibri" w:hAnsi="Calibri"/>
                <w:b/>
                <w:bCs/>
                <w:color w:val="FAF6EE"/>
                <w:sz w:val="20"/>
                <w:szCs w:val="20"/>
              </w:rPr>
              <w:t xml:space="preserve">Traditional Musical Box</w:t>
            </w:r>
          </w:p>
        </w:tc>
        <w:tc>
          <w:tcPr>
            <w:tcW w:type="dxa" w:w="3680"/>
            <w:tcBorders>
              <w:top w:val="single" w:color="D4B896" w:sz="1"/>
              <w:left w:val="single" w:color="D4B896" w:sz="1"/>
              <w:bottom w:val="single" w:color="D4B896" w:sz="1"/>
              <w:right w:val="single" w:color="D4B896" w:sz="1"/>
            </w:tcBorders>
            <w:shd w:fill="2C1810" w:val="clear"/>
            <w:tcMar>
              <w:top w:type="dxa" w:w="100"/>
              <w:left w:type="dxa" w:w="160"/>
              <w:bottom w:type="dxa" w:w="100"/>
              <w:right w:type="dxa" w:w="160"/>
            </w:tcMar>
          </w:tcPr>
          <w:p>
            <w:pPr>
              <w:jc w:val="center"/>
            </w:pPr>
            <w:r>
              <w:rPr>
                <w:rFonts w:ascii="Calibri" w:cs="Calibri" w:eastAsia="Calibri" w:hAnsi="Calibri"/>
                <w:b/>
                <w:bCs/>
                <w:color w:val="FAF6EE"/>
                <w:sz w:val="20"/>
                <w:szCs w:val="20"/>
              </w:rPr>
              <w:t xml:space="preserve">Our Interactive Musical Box</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Music Source</w:t>
            </w:r>
          </w:p>
        </w:tc>
        <w:tc>
          <w:tcPr>
            <w:tcW w:type="dxa" w:w="348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Pins encoded on metal cylinder</w:t>
            </w:r>
          </w:p>
        </w:tc>
        <w:tc>
          <w:tcPr>
            <w:tcW w:type="dxa" w:w="368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Bluetooth audio — any song, any genre</w:t>
            </w:r>
          </w:p>
        </w:tc>
      </w:tr>
      <w:tr>
        <w:tc>
          <w:tcPr>
            <w:tcW w:type="dxa" w:w="22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Song Repertoire</w:t>
            </w:r>
          </w:p>
        </w:tc>
        <w:tc>
          <w:tcPr>
            <w:tcW w:type="dxa" w:w="348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Fixed — only songs encoded in pins</w:t>
            </w:r>
          </w:p>
        </w:tc>
        <w:tc>
          <w:tcPr>
            <w:tcW w:type="dxa" w:w="368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Unlimited — stream from smartphone</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Figurine Motion</w:t>
            </w:r>
          </w:p>
        </w:tc>
        <w:tc>
          <w:tcPr>
            <w:tcW w:type="dxa" w:w="348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Static decorative elements only</w:t>
            </w:r>
          </w:p>
        </w:tc>
        <w:tc>
          <w:tcPr>
            <w:tcW w:type="dxa" w:w="368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Cam &amp; linkage animated, motor-driven</w:t>
            </w:r>
          </w:p>
        </w:tc>
      </w:tr>
      <w:tr>
        <w:tc>
          <w:tcPr>
            <w:tcW w:type="dxa" w:w="22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Control</w:t>
            </w:r>
          </w:p>
        </w:tc>
        <w:tc>
          <w:tcPr>
            <w:tcW w:type="dxa" w:w="348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Wound mainspring, no user input</w:t>
            </w:r>
          </w:p>
        </w:tc>
        <w:tc>
          <w:tcPr>
            <w:tcW w:type="dxa" w:w="368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Wireless smartphone control</w:t>
            </w:r>
          </w:p>
        </w:tc>
      </w:tr>
      <w:tr>
        <w:tc>
          <w:tcPr>
            <w:tcW w:type="dxa" w:w="22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Flexibility</w:t>
            </w:r>
          </w:p>
        </w:tc>
        <w:tc>
          <w:tcPr>
            <w:tcW w:type="dxa" w:w="348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None — cylinder must be replaced</w:t>
            </w:r>
          </w:p>
        </w:tc>
        <w:tc>
          <w:tcPr>
            <w:tcW w:type="dxa" w:w="368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Fully programmable and reconfigurable</w:t>
            </w:r>
          </w:p>
        </w:tc>
      </w:tr>
      <w:tr>
        <w:tc>
          <w:tcPr>
            <w:tcW w:type="dxa" w:w="22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Target Use</w:t>
            </w:r>
          </w:p>
        </w:tc>
        <w:tc>
          <w:tcPr>
            <w:tcW w:type="dxa" w:w="348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Passive listening object</w:t>
            </w:r>
          </w:p>
        </w:tc>
        <w:tc>
          <w:tcPr>
            <w:tcW w:type="dxa" w:w="368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Interactive entertainment platform</w:t>
            </w:r>
          </w:p>
        </w:tc>
      </w:tr>
    </w:tbl>
    <w:p>
      <w:pPr>
        <w:spacing w:after="160" w:before="60"/>
        <w:jc w:val="center"/>
      </w:pPr>
      <w:r>
        <w:rPr>
          <w:rFonts w:ascii="Calibri" w:cs="Calibri" w:eastAsia="Calibri" w:hAnsi="Calibri"/>
          <w:i/>
          <w:iCs/>
          <w:color w:val="8B7355"/>
          <w:sz w:val="18"/>
          <w:szCs w:val="18"/>
        </w:rPr>
        <w:t xml:space="preserve">Table 1: Traditional musical box vs. our interactive design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Mar>
              <w:top w:type="dxa" w:w="80"/>
              <w:left w:type="dxa" w:w="200"/>
              <w:bottom w:type="dxa" w:w="80"/>
              <w:right w:type="dxa" w:w="200"/>
            </w:tcMar>
            <w:vAlign w:val="center"/>
          </w:tcPr>
          <w:p>
            <w:pPr>
              <w:jc w:val="center"/>
            </w:pPr>
            <w:r>
              <w:rPr>
                <w:rFonts w:ascii="Segoe UI Emoji" w:cs="Segoe UI Emoji" w:eastAsia="Segoe UI Emoji" w:hAnsi="Segoe UI Emoji"/>
                <w:sz w:val="28"/>
                <w:szCs w:val="28"/>
              </w:rPr>
              <w:t xml:space="preserve">📷  </w:t>
            </w:r>
            <w:r>
              <w:rPr>
                <w:rFonts w:ascii="Calibri" w:cs="Calibri" w:eastAsia="Calibri" w:hAnsi="Calibri"/>
                <w:i/>
                <w:iCs/>
                <w:color w:val="8B7355"/>
                <w:sz w:val="20"/>
                <w:szCs w:val="20"/>
              </w:rPr>
              <w:t xml:space="preserve">Overall Assembly — Figurines &amp; Mechanical Layout</w:t>
            </w:r>
          </w:p>
          <w:p>
            <w:pPr>
              <w:spacing w:before="40"/>
              <w:jc w:val="center"/>
            </w:pPr>
            <w:r>
              <w:rPr>
                <w:rFonts w:ascii="Calibri" w:cs="Calibri" w:eastAsia="Calibri" w:hAnsi="Calibri"/>
                <w:i/>
                <w:iCs/>
                <w:color w:val="BBBBBB"/>
                <w:sz w:val="18"/>
                <w:szCs w:val="18"/>
              </w:rPr>
              <w:t xml:space="preserve">[ Replace with your photo / screenshot ]</w:t>
            </w: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bl>
    <w:p>
      <w:pPr>
        <w:spacing w:after="160" w:before="60"/>
        <w:jc w:val="center"/>
      </w:pPr>
      <w:r>
        <w:rPr>
          <w:rFonts w:ascii="Calibri" w:cs="Calibri" w:eastAsia="Calibri" w:hAnsi="Calibri"/>
          <w:i/>
          <w:iCs/>
          <w:color w:val="8B7355"/>
          <w:sz w:val="18"/>
          <w:szCs w:val="18"/>
        </w:rPr>
        <w:t xml:space="preserve">Figure 1: Overall assembly showing figurines, cam mechanisms, and Bluetooth speaker (insert photo/SolidWorks render above)</w:t>
      </w:r>
    </w:p>
    <w:p>
      <w:pPr>
        <w:pBdr>
          <w:bottom w:val="single" w:color="C49A3C" w:sz="12" w:space="2"/>
        </w:pBdr>
        <w:spacing w:after="60" w:before="300"/>
      </w:pPr>
      <w:r>
        <w:rPr>
          <w:rFonts w:ascii="Georgia" w:cs="Georgia" w:eastAsia="Georgia" w:hAnsi="Georgia"/>
          <w:b/>
          <w:bCs/>
          <w:color w:val="2C1810"/>
          <w:sz w:val="30"/>
          <w:szCs w:val="30"/>
        </w:rPr>
        <w:t xml:space="preserve">4.  Mechanics — Cam System Design</w:t>
      </w:r>
    </w:p>
    <w:p>
      <w:pPr>
        <w:spacing w:after="60" w:before="60"/>
        <w:jc w:val="both"/>
      </w:pPr>
      <w:r>
        <w:rPr>
          <w:rFonts w:ascii="Calibri" w:cs="Calibri" w:eastAsia="Calibri" w:hAnsi="Calibri"/>
          <w:color w:val="222222"/>
          <w:sz w:val="22"/>
          <w:szCs w:val="22"/>
        </w:rPr>
        <w:t xml:space="preserve">Each figurine is animated by a dedicated cam mechanism. Cams convert the continuous rotary motion of the motor shaft into precise, repeatable displacement of the figurine — either up-and-down or rocking motion. Three distinct cam profiles were selected and designed, each chosen for the specific motion character required by its figurine.</w:t>
      </w:r>
    </w:p>
    <w:p>
      <w:pPr>
        <w:spacing w:after="80" w:before="0"/>
      </w:pPr>
    </w:p>
    <w:p>
      <w:pPr>
        <w:spacing w:after="60" w:before="200"/>
      </w:pPr>
      <w:r>
        <w:rPr>
          <w:rFonts w:ascii="Georgia" w:cs="Georgia" w:eastAsia="Georgia" w:hAnsi="Georgia"/>
          <w:b/>
          <w:bCs/>
          <w:color w:val="6B3D2E"/>
          <w:sz w:val="24"/>
          <w:szCs w:val="24"/>
        </w:rPr>
        <w:t xml:space="preserve">4.1  Eccentric / Disc Cam</w:t>
      </w:r>
    </w:p>
    <w:p>
      <w:pPr>
        <w:spacing w:after="60" w:before="60"/>
        <w:jc w:val="both"/>
      </w:pPr>
      <w:r>
        <w:rPr>
          <w:rFonts w:ascii="Calibri" w:cs="Calibri" w:eastAsia="Calibri" w:hAnsi="Calibri"/>
          <w:color w:val="222222"/>
          <w:sz w:val="22"/>
          <w:szCs w:val="22"/>
        </w:rPr>
        <w:t xml:space="preserve">Application: smooth, continuous rise-and-fall of figurine bodies, such as a bobbing torso motion timed to the beat of music. The eccentric cam was chosen for its simplicity of manufacture and its sinusoidal lift profile, which produces no abrupt jerks — making the motion appear natural and fluid when synchronised to rhythmic audio.</w:t>
      </w:r>
    </w:p>
    <w:p>
      <w:pPr>
        <w:spacing w:after="60" w:before="0"/>
      </w:pPr>
    </w:p>
    <w:p>
      <w:pPr>
        <w:spacing w:after="60" w:before="200"/>
      </w:pPr>
      <w:r>
        <w:rPr>
          <w:rFonts w:ascii="Georgia" w:cs="Georgia" w:eastAsia="Georgia" w:hAnsi="Georgia"/>
          <w:b/>
          <w:bCs/>
          <w:color w:val="6B3D2E"/>
          <w:sz w:val="24"/>
          <w:szCs w:val="24"/>
        </w:rPr>
        <w:t xml:space="preserve">4.2  Pear-Shaped Cam</w:t>
      </w:r>
    </w:p>
    <w:p>
      <w:pPr>
        <w:spacing w:after="60" w:before="60"/>
        <w:jc w:val="both"/>
      </w:pPr>
      <w:r>
        <w:rPr>
          <w:rFonts w:ascii="Calibri" w:cs="Calibri" w:eastAsia="Calibri" w:hAnsi="Calibri"/>
          <w:color w:val="222222"/>
          <w:sz w:val="22"/>
          <w:szCs w:val="22"/>
        </w:rPr>
        <w:t xml:space="preserve">Application: figurines requiring a raised arm held in a fixed position for a period — for example, a conductor's baton held aloft. The flat dwell section of the pear-shaped cam keeps the follower (and the figurine arm) elevated for a defined arc of rotation, creating a natural 'pause' in the gesture before the arm descends. This is impossible to achieve with a simple eccentric cam.</w:t>
      </w:r>
    </w:p>
    <w:p>
      <w:pPr>
        <w:spacing w:after="60" w:before="0"/>
      </w:pPr>
    </w:p>
    <w:p>
      <w:pPr>
        <w:spacing w:after="60" w:before="200"/>
      </w:pPr>
      <w:r>
        <w:rPr>
          <w:rFonts w:ascii="Georgia" w:cs="Georgia" w:eastAsia="Georgia" w:hAnsi="Georgia"/>
          <w:b/>
          <w:bCs/>
          <w:color w:val="6B3D2E"/>
          <w:sz w:val="24"/>
          <w:szCs w:val="24"/>
        </w:rPr>
        <w:t xml:space="preserve">4.3  Snail / Spiral Cam</w:t>
      </w:r>
    </w:p>
    <w:p>
      <w:pPr>
        <w:spacing w:after="60" w:before="60"/>
        <w:jc w:val="both"/>
      </w:pPr>
      <w:r>
        <w:rPr>
          <w:rFonts w:ascii="Calibri" w:cs="Calibri" w:eastAsia="Calibri" w:hAnsi="Calibri"/>
          <w:color w:val="222222"/>
          <w:sz w:val="22"/>
          <w:szCs w:val="22"/>
        </w:rPr>
        <w:t xml:space="preserve">Application: incremental, step-like advances in figurine position between musical phrases — for example, a figurine that indexes to a new orientation at the end of each verse. The snail cam provides controlled stepped displacement with a sharp reset, useful for indexed movements that must return quickly to a start position.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60"/>
        <w:gridCol w:w="3400"/>
      </w:tblGrid>
      <w:tr>
        <w:trPr>
          <w:tblHeader/>
        </w:trPr>
        <w:tc>
          <w:tcPr>
            <w:tcW w:type="dxa" w:w="2000"/>
            <w:tcBorders>
              <w:top w:val="single" w:color="D4B896" w:sz="1"/>
              <w:left w:val="single" w:color="D4B896" w:sz="1"/>
              <w:bottom w:val="single" w:color="D4B896" w:sz="1"/>
              <w:right w:val="single" w:color="D4B896" w:sz="1"/>
            </w:tcBorders>
            <w:shd w:fill="2C1810" w:val="clear"/>
            <w:tcMar>
              <w:top w:type="dxa" w:w="100"/>
              <w:left w:type="dxa" w:w="160"/>
              <w:bottom w:type="dxa" w:w="100"/>
              <w:right w:type="dxa" w:w="160"/>
            </w:tcMar>
          </w:tcPr>
          <w:p>
            <w:pPr>
              <w:jc w:val="center"/>
            </w:pPr>
            <w:r>
              <w:rPr>
                <w:rFonts w:ascii="Calibri" w:cs="Calibri" w:eastAsia="Calibri" w:hAnsi="Calibri"/>
                <w:b/>
                <w:bCs/>
                <w:color w:val="FAF6EE"/>
                <w:sz w:val="20"/>
                <w:szCs w:val="20"/>
              </w:rPr>
              <w:t xml:space="preserve">Cam Profile</w:t>
            </w:r>
          </w:p>
        </w:tc>
        <w:tc>
          <w:tcPr>
            <w:tcW w:type="dxa" w:w="2200"/>
            <w:tcBorders>
              <w:top w:val="single" w:color="D4B896" w:sz="1"/>
              <w:left w:val="single" w:color="D4B896" w:sz="1"/>
              <w:bottom w:val="single" w:color="D4B896" w:sz="1"/>
              <w:right w:val="single" w:color="D4B896" w:sz="1"/>
            </w:tcBorders>
            <w:shd w:fill="2C1810" w:val="clear"/>
            <w:tcMar>
              <w:top w:type="dxa" w:w="100"/>
              <w:left w:type="dxa" w:w="160"/>
              <w:bottom w:type="dxa" w:w="100"/>
              <w:right w:type="dxa" w:w="160"/>
            </w:tcMar>
          </w:tcPr>
          <w:p>
            <w:pPr>
              <w:jc w:val="center"/>
            </w:pPr>
            <w:r>
              <w:rPr>
                <w:rFonts w:ascii="Calibri" w:cs="Calibri" w:eastAsia="Calibri" w:hAnsi="Calibri"/>
                <w:b/>
                <w:bCs/>
                <w:color w:val="FAF6EE"/>
                <w:sz w:val="20"/>
                <w:szCs w:val="20"/>
              </w:rPr>
              <w:t xml:space="preserve">Application on Figurine</w:t>
            </w:r>
          </w:p>
        </w:tc>
        <w:tc>
          <w:tcPr>
            <w:tcW w:type="dxa" w:w="1760"/>
            <w:tcBorders>
              <w:top w:val="single" w:color="D4B896" w:sz="1"/>
              <w:left w:val="single" w:color="D4B896" w:sz="1"/>
              <w:bottom w:val="single" w:color="D4B896" w:sz="1"/>
              <w:right w:val="single" w:color="D4B896" w:sz="1"/>
            </w:tcBorders>
            <w:shd w:fill="2C1810" w:val="clear"/>
            <w:tcMar>
              <w:top w:type="dxa" w:w="100"/>
              <w:left w:type="dxa" w:w="160"/>
              <w:bottom w:type="dxa" w:w="100"/>
              <w:right w:type="dxa" w:w="160"/>
            </w:tcMar>
          </w:tcPr>
          <w:p>
            <w:pPr>
              <w:jc w:val="center"/>
            </w:pPr>
            <w:r>
              <w:rPr>
                <w:rFonts w:ascii="Calibri" w:cs="Calibri" w:eastAsia="Calibri" w:hAnsi="Calibri"/>
                <w:b/>
                <w:bCs/>
                <w:color w:val="FAF6EE"/>
                <w:sz w:val="20"/>
                <w:szCs w:val="20"/>
              </w:rPr>
              <w:t xml:space="preserve">Lift Curve</w:t>
            </w:r>
          </w:p>
        </w:tc>
        <w:tc>
          <w:tcPr>
            <w:tcW w:type="dxa" w:w="3400"/>
            <w:tcBorders>
              <w:top w:val="single" w:color="D4B896" w:sz="1"/>
              <w:left w:val="single" w:color="D4B896" w:sz="1"/>
              <w:bottom w:val="single" w:color="D4B896" w:sz="1"/>
              <w:right w:val="single" w:color="D4B896" w:sz="1"/>
            </w:tcBorders>
            <w:shd w:fill="2C1810" w:val="clear"/>
            <w:tcMar>
              <w:top w:type="dxa" w:w="100"/>
              <w:left w:type="dxa" w:w="160"/>
              <w:bottom w:type="dxa" w:w="100"/>
              <w:right w:type="dxa" w:w="160"/>
            </w:tcMar>
          </w:tcPr>
          <w:p>
            <w:pPr>
              <w:jc w:val="center"/>
            </w:pPr>
            <w:r>
              <w:rPr>
                <w:rFonts w:ascii="Calibri" w:cs="Calibri" w:eastAsia="Calibri" w:hAnsi="Calibri"/>
                <w:b/>
                <w:bCs/>
                <w:color w:val="FAF6EE"/>
                <w:sz w:val="20"/>
                <w:szCs w:val="20"/>
              </w:rPr>
              <w:t xml:space="preserve">Why Chosen</w:t>
            </w:r>
          </w:p>
        </w:tc>
      </w:tr>
      <w:tr>
        <w:tc>
          <w:tcPr>
            <w:tcW w:type="dxa" w:w="20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Eccentric / Disc Cam</w:t>
            </w:r>
          </w:p>
        </w:tc>
        <w:tc>
          <w:tcPr>
            <w:tcW w:type="dxa" w:w="22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Bobbing torso of figurine</w:t>
            </w:r>
          </w:p>
        </w:tc>
        <w:tc>
          <w:tcPr>
            <w:tcW w:type="dxa" w:w="176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Sinusoidal</w:t>
            </w:r>
          </w:p>
        </w:tc>
        <w:tc>
          <w:tcPr>
            <w:tcW w:type="dxa" w:w="34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Smooth, jerk-free rise and fall; simple to manufacture; ideal for rhythmic continuous motion timed to music.</w:t>
            </w:r>
          </w:p>
        </w:tc>
      </w:tr>
      <w:tr>
        <w:tc>
          <w:tcPr>
            <w:tcW w:type="dxa" w:w="20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Pear-Shaped Cam</w:t>
            </w:r>
          </w:p>
        </w:tc>
        <w:tc>
          <w:tcPr>
            <w:tcW w:type="dxa" w:w="22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Raised arm held in position</w:t>
            </w:r>
          </w:p>
        </w:tc>
        <w:tc>
          <w:tcPr>
            <w:tcW w:type="dxa" w:w="176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Gradual rise + dwell</w:t>
            </w:r>
          </w:p>
        </w:tc>
        <w:tc>
          <w:tcPr>
            <w:tcW w:type="dxa" w:w="3400"/>
            <w:tcBorders>
              <w:top w:val="single" w:color="D4B896" w:sz="1"/>
              <w:left w:val="single" w:color="D4B896" w:sz="1"/>
              <w:bottom w:val="single" w:color="D4B896" w:sz="1"/>
              <w:right w:val="single" w:color="D4B896" w:sz="1"/>
            </w:tcBorders>
            <w:shd w:fill="F5EDD8" w:val="clear"/>
            <w:tcMar>
              <w:top w:type="dxa" w:w="80"/>
              <w:left w:type="dxa" w:w="160"/>
              <w:bottom w:type="dxa" w:w="80"/>
              <w:right w:type="dxa" w:w="160"/>
            </w:tcMar>
          </w:tcPr>
          <w:p>
            <w:r>
              <w:rPr>
                <w:rFonts w:ascii="Calibri" w:cs="Calibri" w:eastAsia="Calibri" w:hAnsi="Calibri"/>
                <w:color w:val="222222"/>
                <w:sz w:val="20"/>
                <w:szCs w:val="20"/>
              </w:rPr>
              <w:t xml:space="preserve">Flat dwell section keeps follower elevated for a set arc — creates a natural 'pause' in the figurine gesture.</w:t>
            </w:r>
          </w:p>
        </w:tc>
      </w:tr>
      <w:tr>
        <w:tc>
          <w:tcPr>
            <w:tcW w:type="dxa" w:w="20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Snail / Spiral Cam</w:t>
            </w:r>
          </w:p>
        </w:tc>
        <w:tc>
          <w:tcPr>
            <w:tcW w:type="dxa" w:w="22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Incremental positional advances</w:t>
            </w:r>
          </w:p>
        </w:tc>
        <w:tc>
          <w:tcPr>
            <w:tcW w:type="dxa" w:w="176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Stepped displacement</w:t>
            </w:r>
          </w:p>
        </w:tc>
        <w:tc>
          <w:tcPr>
            <w:tcW w:type="dxa" w:w="3400"/>
            <w:tcBorders>
              <w:top w:val="single" w:color="D4B896" w:sz="1"/>
              <w:left w:val="single" w:color="D4B896" w:sz="1"/>
              <w:bottom w:val="single" w:color="D4B896" w:sz="1"/>
              <w:right w:val="single" w:color="D4B896" w:sz="1"/>
            </w:tcBorders>
            <w:shd w:fill="FFFFFF" w:val="clear"/>
            <w:tcMar>
              <w:top w:type="dxa" w:w="80"/>
              <w:left w:type="dxa" w:w="160"/>
              <w:bottom w:type="dxa" w:w="80"/>
              <w:right w:type="dxa" w:w="160"/>
            </w:tcMar>
          </w:tcPr>
          <w:p>
            <w:r>
              <w:rPr>
                <w:rFonts w:ascii="Calibri" w:cs="Calibri" w:eastAsia="Calibri" w:hAnsi="Calibri"/>
                <w:color w:val="222222"/>
                <w:sz w:val="20"/>
                <w:szCs w:val="20"/>
              </w:rPr>
              <w:t xml:space="preserve">Provides controlled stepped advance between musical phrases; resets sharply for indexed, repeatable movements.</w:t>
            </w:r>
          </w:p>
        </w:tc>
      </w:tr>
    </w:tbl>
    <w:p>
      <w:pPr>
        <w:spacing w:after="160" w:before="60"/>
        <w:jc w:val="center"/>
      </w:pPr>
      <w:r>
        <w:rPr>
          <w:rFonts w:ascii="Calibri" w:cs="Calibri" w:eastAsia="Calibri" w:hAnsi="Calibri"/>
          <w:i/>
          <w:iCs/>
          <w:color w:val="8B7355"/>
          <w:sz w:val="18"/>
          <w:szCs w:val="18"/>
        </w:rPr>
        <w:t xml:space="preserve">Table 2: Cam profiles — application, lift curve, and design rationale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Mar>
              <w:top w:type="dxa" w:w="80"/>
              <w:left w:type="dxa" w:w="200"/>
              <w:bottom w:type="dxa" w:w="80"/>
              <w:right w:type="dxa" w:w="200"/>
            </w:tcMar>
            <w:vAlign w:val="center"/>
          </w:tcPr>
          <w:p>
            <w:pPr>
              <w:jc w:val="center"/>
            </w:pPr>
            <w:r>
              <w:rPr>
                <w:rFonts w:ascii="Segoe UI Emoji" w:cs="Segoe UI Emoji" w:eastAsia="Segoe UI Emoji" w:hAnsi="Segoe UI Emoji"/>
                <w:sz w:val="28"/>
                <w:szCs w:val="28"/>
              </w:rPr>
              <w:t xml:space="preserve">📷  </w:t>
            </w:r>
            <w:r>
              <w:rPr>
                <w:rFonts w:ascii="Calibri" w:cs="Calibri" w:eastAsia="Calibri" w:hAnsi="Calibri"/>
                <w:i/>
                <w:iCs/>
                <w:color w:val="8B7355"/>
                <w:sz w:val="20"/>
                <w:szCs w:val="20"/>
              </w:rPr>
              <w:t xml:space="preserve">Cam Mechanism Detail / SolidWorks Model</w:t>
            </w:r>
          </w:p>
          <w:p>
            <w:pPr>
              <w:spacing w:before="40"/>
              <w:jc w:val="center"/>
            </w:pPr>
            <w:r>
              <w:rPr>
                <w:rFonts w:ascii="Calibri" w:cs="Calibri" w:eastAsia="Calibri" w:hAnsi="Calibri"/>
                <w:i/>
                <w:iCs/>
                <w:color w:val="BBBBBB"/>
                <w:sz w:val="18"/>
                <w:szCs w:val="18"/>
              </w:rPr>
              <w:t xml:space="preserve">[ Replace with your photo / screenshot ]</w:t>
            </w: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r>
        <w:tc>
          <w:tcPr>
            <w:tcW w:type="dxa" w:w="8640"/>
            <w:tcBorders>
              <w:top w:val="dashed" w:color="8B7355" w:sz="12"/>
              <w:left w:val="dashed" w:color="8B7355" w:sz="12"/>
              <w:bottom w:val="dashed" w:color="8B7355" w:sz="12"/>
              <w:right w:val="dashed" w:color="8B7355" w:sz="12"/>
            </w:tcBorders>
            <w:shd w:fill="F5EDD8" w:val="clear"/>
          </w:tcPr>
          <w:p/>
        </w:tc>
      </w:tr>
    </w:tbl>
    <w:p>
      <w:pPr>
        <w:spacing w:after="160" w:before="60"/>
        <w:jc w:val="center"/>
      </w:pPr>
      <w:r>
        <w:rPr>
          <w:rFonts w:ascii="Calibri" w:cs="Calibri" w:eastAsia="Calibri" w:hAnsi="Calibri"/>
          <w:i/>
          <w:iCs/>
          <w:color w:val="8B7355"/>
          <w:sz w:val="18"/>
          <w:szCs w:val="18"/>
        </w:rPr>
        <w:t xml:space="preserve">Figure 2: Cam mechanism detail — eccentric, pear, and snail profiles (insert photo/SolidWorks render above)</w:t>
      </w:r>
    </w:p>
    <w:p>
      <w:pPr>
        <w:pBdr>
          <w:bottom w:val="single" w:color="C49A3C" w:sz="12" w:space="2"/>
        </w:pBdr>
        <w:spacing w:after="60" w:before="300"/>
      </w:pPr>
      <w:r>
        <w:rPr>
          <w:rFonts w:ascii="Georgia" w:cs="Georgia" w:eastAsia="Georgia" w:hAnsi="Georgia"/>
          <w:b/>
          <w:bCs/>
          <w:color w:val="2C1810"/>
          <w:sz w:val="30"/>
          <w:szCs w:val="30"/>
        </w:rPr>
        <w:t xml:space="preserve">5.  Mechanics — Crank-Rocker Linkage (Guitar Arm)</w:t>
      </w:r>
    </w:p>
    <w:p>
      <w:pPr>
        <w:spacing w:after="60" w:before="60"/>
        <w:jc w:val="both"/>
      </w:pPr>
      <w:r>
        <w:rPr>
          <w:rFonts w:ascii="Calibri" w:cs="Calibri" w:eastAsia="Calibri" w:hAnsi="Calibri"/>
          <w:color w:val="222222"/>
          <w:sz w:val="22"/>
          <w:szCs w:val="22"/>
        </w:rPr>
        <w:t xml:space="preserve">The guitar-strumming figurine is driven by a four-bar crank-rocker linkage, rather than a cam, because the motion required is a smooth, continuous oscillation rather than a specific lift profile.</w:t>
      </w:r>
    </w:p>
    <w:p>
      <w:pPr>
        <w:spacing w:after="40" w:before="0"/>
      </w:pPr>
    </w:p>
    <w:p>
      <w:pPr>
        <w:spacing w:after="60" w:before="200"/>
      </w:pPr>
      <w:r>
        <w:rPr>
          <w:rFonts w:ascii="Georgia" w:cs="Georgia" w:eastAsia="Georgia" w:hAnsi="Georgia"/>
          <w:b/>
          <w:bCs/>
          <w:color w:val="6B3D2E"/>
          <w:sz w:val="24"/>
          <w:szCs w:val="24"/>
        </w:rPr>
        <w:t xml:space="preserve">Four-Bar Linkage Configuration</w:t>
      </w:r>
    </w:p>
    <w:p>
      <w:pPr>
        <w:pStyle w:val="ListParagraph"/>
        <w:numPr>
          <w:ilvl w:val="0"/>
          <w:numId w:val="2"/>
        </w:numPr>
        <w:spacing w:after="40" w:before="40"/>
      </w:pPr>
      <w:r>
        <w:rPr>
          <w:rFonts w:ascii="Calibri" w:cs="Calibri" w:eastAsia="Calibri" w:hAnsi="Calibri"/>
          <w:color w:val="222222"/>
          <w:sz w:val="22"/>
          <w:szCs w:val="22"/>
        </w:rPr>
        <w:t xml:space="preserve">Ground Link (Frame): the fixed musical box table structure — the reference for all kinematic analysis.</w:t>
      </w:r>
    </w:p>
    <w:p>
      <w:pPr>
        <w:pStyle w:val="ListParagraph"/>
        <w:numPr>
          <w:ilvl w:val="0"/>
          <w:numId w:val="2"/>
        </w:numPr>
        <w:spacing w:after="40" w:before="40"/>
      </w:pPr>
      <w:r>
        <w:rPr>
          <w:rFonts w:ascii="Calibri" w:cs="Calibri" w:eastAsia="Calibri" w:hAnsi="Calibri"/>
          <w:color w:val="222222"/>
          <w:sz w:val="22"/>
          <w:szCs w:val="22"/>
        </w:rPr>
        <w:t xml:space="preserve">Crank: short rotating link driven directly by the DC motor shaft. Completes full 360° revolutions continuously.</w:t>
      </w:r>
    </w:p>
    <w:p>
      <w:pPr>
        <w:pStyle w:val="ListParagraph"/>
        <w:numPr>
          <w:ilvl w:val="0"/>
          <w:numId w:val="2"/>
        </w:numPr>
        <w:spacing w:after="40" w:before="40"/>
      </w:pPr>
      <w:r>
        <w:rPr>
          <w:rFonts w:ascii="Calibri" w:cs="Calibri" w:eastAsia="Calibri" w:hAnsi="Calibri"/>
          <w:color w:val="222222"/>
          <w:sz w:val="22"/>
          <w:szCs w:val="22"/>
        </w:rPr>
        <w:t xml:space="preserve">Coupler: intermediate link connecting crank to rocker; transfers and transforms the rotary crank motion.</w:t>
      </w:r>
    </w:p>
    <w:p>
      <w:pPr>
        <w:pStyle w:val="ListParagraph"/>
        <w:numPr>
          <w:ilvl w:val="0"/>
          <w:numId w:val="2"/>
        </w:numPr>
        <w:spacing w:after="40" w:before="40"/>
      </w:pPr>
      <w:r>
        <w:rPr>
          <w:rFonts w:ascii="Calibri" w:cs="Calibri" w:eastAsia="Calibri" w:hAnsi="Calibri"/>
          <w:color w:val="222222"/>
          <w:sz w:val="22"/>
          <w:szCs w:val="22"/>
        </w:rPr>
        <w:t xml:space="preserve">Rocker (Guitar Arm): the output link — oscillates left and right, mimicking a strumming or picking motion.</w:t>
      </w:r>
    </w:p>
    <w:p>
      <w:pPr>
        <w:spacing w:after="60" w:before="0"/>
      </w:pPr>
    </w:p>
    <w:p>
      <w:pPr>
        <w:spacing w:after="60" w:before="200"/>
      </w:pPr>
      <w:r>
        <w:rPr>
          <w:rFonts w:ascii="Georgia" w:cs="Georgia" w:eastAsia="Georgia" w:hAnsi="Georgia"/>
          <w:b/>
          <w:bCs/>
          <w:color w:val="6B3D2E"/>
          <w:sz w:val="24"/>
          <w:szCs w:val="24"/>
        </w:rPr>
        <w:t xml:space="preserve">Grashof Condition</w:t>
      </w:r>
    </w:p>
    <w:p>
      <w:pPr>
        <w:spacing w:after="60" w:before="60"/>
        <w:jc w:val="both"/>
      </w:pPr>
      <w:r>
        <w:rPr>
          <w:rFonts w:ascii="Calibri" w:cs="Calibri" w:eastAsia="Calibri" w:hAnsi="Calibri"/>
          <w:color w:val="222222"/>
          <w:sz w:val="22"/>
          <w:szCs w:val="22"/>
        </w:rPr>
        <w:t xml:space="preserve">The Grashof condition (s + l ≤ p + q, where s is the shortest link and l is the longest) was verified to ensure the crank can complete full rotations while the rocker oscillates — a necessary condition for a functioning crank-rocker mechanism. Link lengths were selected in SolidWorks to satisfy Grashof and to produce the desired strumming arc angle.</w:t>
      </w:r>
    </w:p>
    <w:p>
      <w:pPr>
        <w:spacing w:after="40" w:before="0"/>
      </w:pPr>
    </w:p>
    <w:p>
      <w:pPr>
        <w:spacing w:after="60" w:before="200"/>
      </w:pPr>
      <w:r>
        <w:rPr>
          <w:rFonts w:ascii="Georgia" w:cs="Georgia" w:eastAsia="Georgia" w:hAnsi="Georgia"/>
          <w:b/>
          <w:bCs/>
          <w:color w:val="6B3D2E"/>
          <w:sz w:val="24"/>
          <w:szCs w:val="24"/>
        </w:rPr>
        <w:t xml:space="preserve">Why Crank-Rocker Over a Cam?</w:t>
      </w:r>
    </w:p>
    <w:p>
      <w:pPr>
        <w:pStyle w:val="ListParagraph"/>
        <w:numPr>
          <w:ilvl w:val="0"/>
          <w:numId w:val="2"/>
        </w:numPr>
        <w:spacing w:after="40" w:before="40"/>
      </w:pPr>
      <w:r>
        <w:rPr>
          <w:rFonts w:ascii="Calibri" w:cs="Calibri" w:eastAsia="Calibri" w:hAnsi="Calibri"/>
          <w:color w:val="222222"/>
          <w:sz w:val="22"/>
          <w:szCs w:val="22"/>
        </w:rPr>
        <w:t xml:space="preserve">Natural strumming arc: the oscillating output of a rocker closely mimics the arc of a human strumming hand.</w:t>
      </w:r>
    </w:p>
    <w:p>
      <w:pPr>
        <w:pStyle w:val="ListParagraph"/>
        <w:numPr>
          <w:ilvl w:val="0"/>
          <w:numId w:val="2"/>
        </w:numPr>
        <w:spacing w:after="40" w:before="40"/>
      </w:pPr>
      <w:r>
        <w:rPr>
          <w:rFonts w:ascii="Calibri" w:cs="Calibri" w:eastAsia="Calibri" w:hAnsi="Calibri"/>
          <w:color w:val="222222"/>
          <w:sz w:val="22"/>
          <w:szCs w:val="22"/>
        </w:rPr>
        <w:t xml:space="preserve">Adjustable stroke: changing the crank length directly scales the oscillation angle without redesigning the whole mechanism.</w:t>
      </w:r>
    </w:p>
    <w:p>
      <w:pPr>
        <w:pStyle w:val="ListParagraph"/>
        <w:numPr>
          <w:ilvl w:val="0"/>
          <w:numId w:val="2"/>
        </w:numPr>
        <w:spacing w:after="40" w:before="40"/>
      </w:pPr>
      <w:r>
        <w:rPr>
          <w:rFonts w:ascii="Calibri" w:cs="Calibri" w:eastAsia="Calibri" w:hAnsi="Calibri"/>
          <w:color w:val="222222"/>
          <w:sz w:val="22"/>
          <w:szCs w:val="22"/>
        </w:rPr>
        <w:t xml:space="preserve">Robust and low-friction: four-bar linkages tolerate higher loads and have fewer contact surfaces than cam-follower pairs.</w:t>
      </w:r>
    </w:p>
    <w:p>
      <w:pPr>
        <w:spacing w:after="160" w:before="0"/>
      </w:pPr>
    </w:p>
    <w:p>
      <w:pPr>
        <w:pBdr>
          <w:bottom w:val="single" w:color="C49A3C" w:sz="12" w:space="2"/>
        </w:pBdr>
        <w:spacing w:after="60" w:before="300"/>
      </w:pPr>
      <w:r>
        <w:rPr>
          <w:rFonts w:ascii="Georgia" w:cs="Georgia" w:eastAsia="Georgia" w:hAnsi="Georgia"/>
          <w:b/>
          <w:bCs/>
          <w:color w:val="2C1810"/>
          <w:sz w:val="30"/>
          <w:szCs w:val="30"/>
        </w:rPr>
        <w:t xml:space="preserve">6.  SolidWorks Design &amp; Motion Analysis</w:t>
      </w:r>
    </w:p>
    <w:p>
      <w:pPr>
        <w:spacing w:after="60" w:before="60"/>
        <w:jc w:val="both"/>
      </w:pPr>
      <w:r>
        <w:rPr>
          <w:rFonts w:ascii="Calibri" w:cs="Calibri" w:eastAsia="Calibri" w:hAnsi="Calibri"/>
          <w:color w:val="222222"/>
          <w:sz w:val="22"/>
          <w:szCs w:val="22"/>
        </w:rPr>
        <w:t xml:space="preserve">All mechanical components — cams, followers, linkages, motor mounts, and the box chassis — were modelled in SolidWorks with full manufacturing constraints: tolerances, assembly clearances, and standard fastener sizes. SolidWorks Motion Analysis was used to:</w:t>
      </w:r>
    </w:p>
    <w:p>
      <w:pPr>
        <w:pStyle w:val="ListParagraph"/>
        <w:numPr>
          <w:ilvl w:val="0"/>
          <w:numId w:val="2"/>
        </w:numPr>
        <w:spacing w:after="40" w:before="40"/>
      </w:pPr>
      <w:r>
        <w:rPr>
          <w:rFonts w:ascii="Calibri" w:cs="Calibri" w:eastAsia="Calibri" w:hAnsi="Calibri"/>
          <w:color w:val="222222"/>
          <w:sz w:val="22"/>
          <w:szCs w:val="22"/>
        </w:rPr>
        <w:t xml:space="preserve">Verify mechanism kinematics — confirming that each cam and linkage produced the intended follower displacement profile.</w:t>
      </w:r>
    </w:p>
    <w:p>
      <w:pPr>
        <w:pStyle w:val="ListParagraph"/>
        <w:numPr>
          <w:ilvl w:val="0"/>
          <w:numId w:val="2"/>
        </w:numPr>
        <w:spacing w:after="40" w:before="40"/>
      </w:pPr>
      <w:r>
        <w:rPr>
          <w:rFonts w:ascii="Calibri" w:cs="Calibri" w:eastAsia="Calibri" w:hAnsi="Calibri"/>
          <w:color w:val="222222"/>
          <w:sz w:val="22"/>
          <w:szCs w:val="22"/>
        </w:rPr>
        <w:t xml:space="preserve">Check for collisions — ensuring no two components interfere during operation at the design motor RPM.</w:t>
      </w:r>
    </w:p>
    <w:p>
      <w:pPr>
        <w:pStyle w:val="ListParagraph"/>
        <w:numPr>
          <w:ilvl w:val="0"/>
          <w:numId w:val="2"/>
        </w:numPr>
        <w:spacing w:after="40" w:before="40"/>
      </w:pPr>
      <w:r>
        <w:rPr>
          <w:rFonts w:ascii="Calibri" w:cs="Calibri" w:eastAsia="Calibri" w:hAnsi="Calibri"/>
          <w:color w:val="222222"/>
          <w:sz w:val="22"/>
          <w:szCs w:val="22"/>
        </w:rPr>
        <w:t xml:space="preserve">Optimise timing — adjusting cam angular offsets so that different figurines' gestures are choreographed relative to each other.</w:t>
      </w:r>
    </w:p>
    <w:p>
      <w:pPr>
        <w:pStyle w:val="ListParagraph"/>
        <w:numPr>
          <w:ilvl w:val="0"/>
          <w:numId w:val="2"/>
        </w:numPr>
        <w:spacing w:after="40" w:before="40"/>
      </w:pPr>
      <w:r>
        <w:rPr>
          <w:rFonts w:ascii="Calibri" w:cs="Calibri" w:eastAsia="Calibri" w:hAnsi="Calibri"/>
          <w:color w:val="222222"/>
          <w:sz w:val="22"/>
          <w:szCs w:val="22"/>
        </w:rPr>
        <w:t xml:space="preserve">Validate the Grashof condition — confirming the crank-rocker geometry before committing to physical fabrication.</w:t>
      </w:r>
    </w:p>
    <w:p>
      <w:pPr>
        <w:spacing w:after="40" w:before="0"/>
      </w:pPr>
    </w:p>
    <w:p>
      <w:pPr>
        <w:spacing w:after="60" w:before="60"/>
        <w:jc w:val="both"/>
      </w:pPr>
      <w:r>
        <w:rPr>
          <w:rFonts w:ascii="Calibri" w:cs="Calibri" w:eastAsia="Calibri" w:hAnsi="Calibri"/>
          <w:color w:val="222222"/>
          <w:sz w:val="22"/>
          <w:szCs w:val="22"/>
        </w:rPr>
        <w:t xml:space="preserve">Designing and validating the mechanism digitally before building any physical prototype significantly reduced material waste and iteration time — a core principle of modern engineering design practice.</w:t>
      </w:r>
    </w:p>
    <w:p>
      <w:pPr>
        <w:spacing w:after="160" w:before="0"/>
      </w:pPr>
    </w:p>
    <w:p>
      <w:pPr>
        <w:pBdr>
          <w:bottom w:val="single" w:color="C49A3C" w:sz="12" w:space="2"/>
        </w:pBdr>
        <w:spacing w:after="60" w:before="300"/>
      </w:pPr>
      <w:r>
        <w:rPr>
          <w:rFonts w:ascii="Georgia" w:cs="Georgia" w:eastAsia="Georgia" w:hAnsi="Georgia"/>
          <w:b/>
          <w:bCs/>
          <w:color w:val="2C1810"/>
          <w:sz w:val="30"/>
          <w:szCs w:val="30"/>
        </w:rPr>
        <w:t xml:space="preserve">7.  Engineering Significance</w:t>
      </w:r>
    </w:p>
    <w:p>
      <w:pPr>
        <w:spacing w:after="60" w:before="200"/>
      </w:pPr>
      <w:r>
        <w:rPr>
          <w:rFonts w:ascii="Georgia" w:cs="Georgia" w:eastAsia="Georgia" w:hAnsi="Georgia"/>
          <w:b/>
          <w:bCs/>
          <w:color w:val="6B3D2E"/>
          <w:sz w:val="24"/>
          <w:szCs w:val="24"/>
        </w:rPr>
        <w:t xml:space="preserve">Hands-On Kinematic Synthesis</w:t>
      </w:r>
    </w:p>
    <w:p>
      <w:pPr>
        <w:spacing w:after="60" w:before="60"/>
        <w:jc w:val="both"/>
      </w:pPr>
      <w:r>
        <w:rPr>
          <w:rFonts w:ascii="Calibri" w:cs="Calibri" w:eastAsia="Calibri" w:hAnsi="Calibri"/>
          <w:color w:val="222222"/>
          <w:sz w:val="22"/>
          <w:szCs w:val="22"/>
        </w:rPr>
        <w:t xml:space="preserve">Designing three distinct cam profiles and a crank-rocker linkage from scratch required direct application of kinematic synthesis, follower profile theory, and the Grashof condition — concepts central to ME 224 that rarely leave the textbook in conventional coursework.</w:t>
      </w:r>
    </w:p>
    <w:p>
      <w:pPr>
        <w:spacing w:after="60" w:before="0"/>
      </w:pPr>
    </w:p>
    <w:p>
      <w:pPr>
        <w:spacing w:after="60" w:before="200"/>
      </w:pPr>
      <w:r>
        <w:rPr>
          <w:rFonts w:ascii="Georgia" w:cs="Georgia" w:eastAsia="Georgia" w:hAnsi="Georgia"/>
          <w:b/>
          <w:bCs/>
          <w:color w:val="6B3D2E"/>
          <w:sz w:val="24"/>
          <w:szCs w:val="24"/>
        </w:rPr>
        <w:t xml:space="preserve">Interdisciplinary Integration</w:t>
      </w:r>
    </w:p>
    <w:p>
      <w:pPr>
        <w:spacing w:after="60" w:before="60"/>
        <w:jc w:val="both"/>
      </w:pPr>
      <w:r>
        <w:rPr>
          <w:rFonts w:ascii="Calibri" w:cs="Calibri" w:eastAsia="Calibri" w:hAnsi="Calibri"/>
          <w:color w:val="222222"/>
          <w:sz w:val="22"/>
          <w:szCs w:val="22"/>
        </w:rPr>
        <w:t xml:space="preserve">Bridging mechanical motion (cams, linkages) with consumer electronics (Bluetooth DC motors, wireless speaker) mirrors real-world product design practice. No modern device is purely mechanical or purely electronic — this project required both domains to work in concert.</w:t>
      </w:r>
    </w:p>
    <w:p>
      <w:pPr>
        <w:spacing w:after="60" w:before="0"/>
      </w:pPr>
    </w:p>
    <w:p>
      <w:pPr>
        <w:spacing w:after="60" w:before="200"/>
      </w:pPr>
      <w:r>
        <w:rPr>
          <w:rFonts w:ascii="Georgia" w:cs="Georgia" w:eastAsia="Georgia" w:hAnsi="Georgia"/>
          <w:b/>
          <w:bCs/>
          <w:color w:val="6B3D2E"/>
          <w:sz w:val="24"/>
          <w:szCs w:val="24"/>
        </w:rPr>
        <w:t xml:space="preserve">Scalability &amp; Manufacturability</w:t>
      </w:r>
    </w:p>
    <w:p>
      <w:pPr>
        <w:spacing w:after="60" w:before="60"/>
        <w:jc w:val="both"/>
      </w:pPr>
      <w:r>
        <w:rPr>
          <w:rFonts w:ascii="Calibri" w:cs="Calibri" w:eastAsia="Calibri" w:hAnsi="Calibri"/>
          <w:color w:val="222222"/>
          <w:sz w:val="22"/>
          <w:szCs w:val="22"/>
        </w:rPr>
        <w:t xml:space="preserve">All components were designed with production feasibility in mind: standard tolerances, accessible materials, and modular sub-assemblies. The mechanical platform is designed to accept future electronic upgrades without structural redesign.</w:t>
      </w:r>
    </w:p>
    <w:p>
      <w:pPr>
        <w:spacing w:after="160" w:before="0"/>
      </w:pPr>
    </w:p>
    <w:p>
      <w:pPr>
        <w:pBdr>
          <w:bottom w:val="single" w:color="C49A3C" w:sz="12" w:space="2"/>
        </w:pBdr>
        <w:spacing w:after="60" w:before="300"/>
      </w:pPr>
      <w:r>
        <w:rPr>
          <w:rFonts w:ascii="Georgia" w:cs="Georgia" w:eastAsia="Georgia" w:hAnsi="Georgia"/>
          <w:b/>
          <w:bCs/>
          <w:color w:val="2C1810"/>
          <w:sz w:val="30"/>
          <w:szCs w:val="30"/>
        </w:rPr>
        <w:t xml:space="preserve">8.  Future Scope &amp; Roadmap</w:t>
      </w:r>
    </w:p>
    <w:p>
      <w:pPr>
        <w:spacing w:after="60" w:before="60"/>
        <w:jc w:val="both"/>
      </w:pPr>
      <w:r>
        <w:rPr>
          <w:rFonts w:ascii="Calibri" w:cs="Calibri" w:eastAsia="Calibri" w:hAnsi="Calibri"/>
          <w:color w:val="222222"/>
          <w:sz w:val="22"/>
          <w:szCs w:val="22"/>
        </w:rPr>
        <w:t xml:space="preserve">The mechanical foundation built in this project is deliberately modular, designed to support progressive electronic and intelligent upgrades across four phases:</w:t>
      </w:r>
    </w:p>
    <w:p>
      <w:pPr>
        <w:spacing w:after="60" w:before="0"/>
      </w:pPr>
    </w:p>
    <w:p>
      <w:pPr>
        <w:spacing w:after="60" w:before="200"/>
      </w:pPr>
      <w:r>
        <w:rPr>
          <w:rFonts w:ascii="Georgia" w:cs="Georgia" w:eastAsia="Georgia" w:hAnsi="Georgia"/>
          <w:b/>
          <w:bCs/>
          <w:color w:val="6B3D2E"/>
          <w:sz w:val="24"/>
          <w:szCs w:val="24"/>
        </w:rPr>
        <w:t xml:space="preserve">Phase 1 — MIDI Integration</w:t>
      </w:r>
    </w:p>
    <w:p>
      <w:pPr>
        <w:spacing w:after="60" w:before="60"/>
        <w:jc w:val="both"/>
      </w:pPr>
      <w:r>
        <w:rPr>
          <w:rFonts w:ascii="Calibri" w:cs="Calibri" w:eastAsia="Calibri" w:hAnsi="Calibri"/>
          <w:color w:val="222222"/>
          <w:sz w:val="22"/>
          <w:szCs w:val="22"/>
        </w:rPr>
        <w:t xml:space="preserve">Map each figurine's motor to a MIDI channel. When a piano note fires in the MIDI stream, the pianist figurine moves; when a guitar riff plays, the guitar arm strums. This enables true note-by-note choreography tied directly to musical content.</w:t>
      </w:r>
    </w:p>
    <w:p>
      <w:pPr>
        <w:spacing w:after="40" w:before="0"/>
      </w:pPr>
    </w:p>
    <w:p>
      <w:pPr>
        <w:spacing w:after="60" w:before="200"/>
      </w:pPr>
      <w:r>
        <w:rPr>
          <w:rFonts w:ascii="Georgia" w:cs="Georgia" w:eastAsia="Georgia" w:hAnsi="Georgia"/>
          <w:b/>
          <w:bCs/>
          <w:color w:val="6B3D2E"/>
          <w:sz w:val="24"/>
          <w:szCs w:val="24"/>
        </w:rPr>
        <w:t xml:space="preserve">Phase 2 — Arduino Control Layer</w:t>
      </w:r>
    </w:p>
    <w:p>
      <w:pPr>
        <w:spacing w:after="60" w:before="60"/>
        <w:jc w:val="both"/>
      </w:pPr>
      <w:r>
        <w:rPr>
          <w:rFonts w:ascii="Calibri" w:cs="Calibri" w:eastAsia="Calibri" w:hAnsi="Calibri"/>
          <w:color w:val="222222"/>
          <w:sz w:val="22"/>
          <w:szCs w:val="22"/>
        </w:rPr>
        <w:t xml:space="preserve">An Arduino Mega acts as the central controller — reading MIDI signals via a MIDI shield, translating note events into PWM motor commands, and synchronising all actuators in real time across the full figurine ensemble.</w:t>
      </w:r>
    </w:p>
    <w:p>
      <w:pPr>
        <w:spacing w:after="40" w:before="0"/>
      </w:pPr>
    </w:p>
    <w:p>
      <w:pPr>
        <w:spacing w:after="60" w:before="200"/>
      </w:pPr>
      <w:r>
        <w:rPr>
          <w:rFonts w:ascii="Georgia" w:cs="Georgia" w:eastAsia="Georgia" w:hAnsi="Georgia"/>
          <w:b/>
          <w:bCs/>
          <w:color w:val="6B3D2E"/>
          <w:sz w:val="24"/>
          <w:szCs w:val="24"/>
        </w:rPr>
        <w:t xml:space="preserve">Phase 3 — IoT &amp; App Control</w:t>
      </w:r>
    </w:p>
    <w:p>
      <w:pPr>
        <w:spacing w:after="60" w:before="60"/>
        <w:jc w:val="both"/>
      </w:pPr>
      <w:r>
        <w:rPr>
          <w:rFonts w:ascii="Calibri" w:cs="Calibri" w:eastAsia="Calibri" w:hAnsi="Calibri"/>
          <w:color w:val="222222"/>
          <w:sz w:val="22"/>
          <w:szCs w:val="22"/>
        </w:rPr>
        <w:t xml:space="preserve">Connect via Wi-Fi (ESP32 module) to a custom mobile application. Users upload a MIDI file, preview figurine movements on-screen, and push the choreography wirelessly — no cable required, full remote control.</w:t>
      </w:r>
    </w:p>
    <w:p>
      <w:pPr>
        <w:spacing w:after="40" w:before="0"/>
      </w:pPr>
    </w:p>
    <w:p>
      <w:pPr>
        <w:spacing w:after="60" w:before="200"/>
      </w:pPr>
      <w:r>
        <w:rPr>
          <w:rFonts w:ascii="Georgia" w:cs="Georgia" w:eastAsia="Georgia" w:hAnsi="Georgia"/>
          <w:b/>
          <w:bCs/>
          <w:color w:val="6B3D2E"/>
          <w:sz w:val="24"/>
          <w:szCs w:val="24"/>
        </w:rPr>
        <w:t xml:space="preserve">Phase 4 — AI-Assisted Choreography</w:t>
      </w:r>
    </w:p>
    <w:p>
      <w:pPr>
        <w:spacing w:after="60" w:before="60"/>
        <w:jc w:val="both"/>
      </w:pPr>
      <w:r>
        <w:rPr>
          <w:rFonts w:ascii="Calibri" w:cs="Calibri" w:eastAsia="Calibri" w:hAnsi="Calibri"/>
          <w:color w:val="222222"/>
          <w:sz w:val="22"/>
          <w:szCs w:val="22"/>
        </w:rPr>
        <w:t xml:space="preserve">A machine learning model analyses audio waveforms, auto-generates figurine movement scripts, and synchronises them to beat and melody — eliminating the need for manual MIDI programming entirely.</w:t>
      </w:r>
    </w:p>
    <w:p>
      <w:pPr>
        <w:spacing w:after="160" w:before="0"/>
      </w:pPr>
    </w:p>
    <w:p>
      <w:pPr>
        <w:pBdr>
          <w:bottom w:val="single" w:color="C49A3C" w:sz="12" w:space="2"/>
        </w:pBdr>
        <w:spacing w:after="60" w:before="300"/>
      </w:pPr>
      <w:r>
        <w:rPr>
          <w:rFonts w:ascii="Georgia" w:cs="Georgia" w:eastAsia="Georgia" w:hAnsi="Georgia"/>
          <w:b/>
          <w:bCs/>
          <w:color w:val="2C1810"/>
          <w:sz w:val="30"/>
          <w:szCs w:val="30"/>
        </w:rPr>
        <w:t xml:space="preserve">9.  Conclusion</w:t>
      </w:r>
    </w:p>
    <w:p>
      <w:pPr>
        <w:spacing w:after="60" w:before="60"/>
        <w:jc w:val="both"/>
      </w:pPr>
      <w:r>
        <w:rPr>
          <w:rFonts w:ascii="Calibri" w:cs="Calibri" w:eastAsia="Calibri" w:hAnsi="Calibri"/>
          <w:color w:val="222222"/>
          <w:sz w:val="22"/>
          <w:szCs w:val="22"/>
        </w:rPr>
        <w:t xml:space="preserve">The Interactive Musical Box successfully demonstrates that the charm of a mechanical music box can be preserved and significantly enhanced by replacing its fixed-song pin mechanism with Bluetooth-enabled electronics and cam-driven figurine animation. Three cam profiles (eccentric, pear-shaped, and snail) were selected and designed for specific figurine motion requirements, and a crank-rocker four-bar linkage provides natural strumming motion for the guitar figurine — all grounded in the kinematic principles studied in ME 224.</w:t>
      </w:r>
    </w:p>
    <w:p>
      <w:pPr>
        <w:spacing w:after="40" w:before="0"/>
      </w:pPr>
    </w:p>
    <w:p>
      <w:pPr>
        <w:spacing w:after="60" w:before="60"/>
        <w:jc w:val="both"/>
      </w:pPr>
      <w:r>
        <w:rPr>
          <w:rFonts w:ascii="Calibri" w:cs="Calibri" w:eastAsia="Calibri" w:hAnsi="Calibri"/>
          <w:color w:val="222222"/>
          <w:sz w:val="22"/>
          <w:szCs w:val="22"/>
        </w:rPr>
        <w:t xml:space="preserve">The project demonstrates competence in kinematic mechanism design, SolidWorks modelling and motion analysis, interdisciplinary integration of mechanical and electronic systems, and structured engineering design methodology. The modular architecture positions the device for meaningful future development across MIDI control, IoT connectivity, and AI-assisted choreography.</w:t>
      </w:r>
    </w:p>
    <w:p>
      <w:pPr>
        <w:spacing w:after="200" w:before="0"/>
      </w:pPr>
    </w:p>
    <w:p>
      <w:pPr>
        <w:pBdr>
          <w:top w:val="single" w:color="D4B896" w:sz="6" w:space="4"/>
        </w:pBdr>
        <w:spacing w:after="60" w:before="0"/>
      </w:pPr>
      <w:r>
        <w:rPr>
          <w:rFonts w:ascii="Georgia" w:cs="Georgia" w:eastAsia="Georgia" w:hAnsi="Georgia"/>
          <w:b/>
          <w:bCs/>
          <w:color w:val="2C1810"/>
          <w:sz w:val="22"/>
          <w:szCs w:val="22"/>
        </w:rPr>
        <w:t xml:space="preserve">Key Skills Demonstrated</w:t>
      </w:r>
    </w:p>
    <w:p>
      <w:pPr>
        <w:spacing w:after="60" w:before="60"/>
      </w:pPr>
      <w:r>
        <w:rPr>
          <w:rFonts w:ascii="Calibri" w:cs="Calibri" w:eastAsia="Calibri" w:hAnsi="Calibri"/>
          <w:color w:val="8B7355"/>
          <w:sz w:val="20"/>
          <w:szCs w:val="20"/>
        </w:rPr>
        <w:t xml:space="preserve">Cam mechanism design  ·  Four-bar linkage synthesis  ·  Grashof condition analysis  ·  SolidWorks &amp; Motion Analysis  ·  Bluetooth electronics integration  ·  Kinematic prototyping  ·  Interdisciplinary system design  ·  Technical documentation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C49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2026-06-04T09:42:09.616Z</dcterms:created>
  <dcterms:modified xsi:type="dcterms:W3CDTF">2026-06-04T09:42:09.628Z</dcterms:modified>
</cp:coreProperties>
</file>

<file path=docProps/custom.xml><?xml version="1.0" encoding="utf-8"?>
<Properties xmlns="http://schemas.openxmlformats.org/officeDocument/2006/custom-properties" xmlns:vt="http://schemas.openxmlformats.org/officeDocument/2006/docPropsVTypes"/>
</file>