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odwgnponc1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VG7b</w:t>
      </w:r>
      <w:r w:rsidDel="00000000" w:rsidR="00000000" w:rsidRPr="00000000">
        <w:rPr>
          <w:rtl w:val="0"/>
        </w:rPr>
      </w:r>
    </w:p>
    <w:p w:rsidR="00000000" w:rsidDel="00000000" w:rsidP="00000000" w:rsidRDefault="00000000" w:rsidRPr="00000000" w14:paraId="00000002">
      <w:pPr>
        <w:pStyle w:val="Heading1"/>
        <w:keepNext w:val="0"/>
        <w:keepLines w:val="0"/>
        <w:spacing w:after="40" w:before="240" w:lineRule="auto"/>
        <w:jc w:val="both"/>
        <w:rPr>
          <w:rFonts w:ascii="Calibri" w:cs="Calibri" w:eastAsia="Calibri" w:hAnsi="Calibri"/>
          <w:b w:val="1"/>
          <w:bCs w:val="1"/>
          <w:sz w:val="28"/>
          <w:szCs w:val="28"/>
        </w:rPr>
      </w:pPr>
      <w:bookmarkStart w:colFirst="0" w:colLast="0" w:name="_tvdtwlqezig4" w:id="1"/>
      <w:bookmarkEnd w:id="1"/>
      <w:r w:rsidDel="00000000" w:rsidR="00000000" w:rsidRPr="00000000">
        <w:rPr>
          <w:rFonts w:ascii="Calibri" w:cs="Calibri" w:eastAsia="Calibri" w:hAnsi="Calibri"/>
          <w:b w:val="1"/>
          <w:bCs w:val="1"/>
          <w:sz w:val="28"/>
          <w:szCs w:val="28"/>
          <w:rtl w:val="0"/>
        </w:rPr>
        <w:t xml:space="preserve">Reviewer VG7b </w:t>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hd w:fill="f7f6f4" w:val="clear"/>
        <w:spacing w:after="120" w:lineRule="auto"/>
        <w:jc w:val="both"/>
        <w:rPr>
          <w:rFonts w:ascii="Calibri" w:cs="Calibri" w:eastAsia="Calibri" w:hAnsi="Calibri"/>
          <w:color w:val="333333"/>
          <w:sz w:val="20"/>
          <w:szCs w:val="20"/>
          <w:shd w:fill="f7f6f4" w:val="clear"/>
        </w:rPr>
      </w:pPr>
      <w:r w:rsidDel="00000000" w:rsidR="00000000" w:rsidRPr="00000000">
        <w:rPr>
          <w:rFonts w:ascii="Calibri" w:cs="Calibri" w:eastAsia="Calibri" w:hAnsi="Calibri"/>
          <w:b w:val="1"/>
          <w:bCs w:val="1"/>
          <w:color w:val="2c3a4a"/>
          <w:sz w:val="20"/>
          <w:szCs w:val="20"/>
          <w:shd w:fill="f7f6f4" w:val="clear"/>
          <w:rtl w:val="0"/>
        </w:rPr>
        <w:t xml:space="preserve">W1. The "memory" intervention is not a fair diagnostic probe, it is a confound.</w:t>
      </w:r>
      <w:r w:rsidDel="00000000" w:rsidR="00000000" w:rsidRPr="00000000">
        <w:rPr>
          <w:rFonts w:ascii="Calibri" w:cs="Calibri" w:eastAsia="Calibri" w:hAnsi="Calibri"/>
          <w:color w:val="333333"/>
          <w:sz w:val="20"/>
          <w:szCs w:val="20"/>
          <w:shd w:fill="f7f6f4" w:val="clear"/>
          <w:rtl w:val="0"/>
        </w:rPr>
        <w:t xml:space="preserve"> The paper's central causal claim is that MSD is "salience-based rather than capability-based," proven by the fact that mandate re-injection recovers performance. But the re-injection mechanism is not just a salience fix. It is fundamentally changing the information content of the user prompt at every step. A stronger design could use a </w:t>
      </w:r>
      <w:r w:rsidDel="00000000" w:rsidR="00000000" w:rsidRPr="00000000">
        <w:rPr>
          <w:rFonts w:ascii="Calibri" w:cs="Calibri" w:eastAsia="Calibri" w:hAnsi="Calibri"/>
          <w:i w:val="1"/>
          <w:iCs w:val="1"/>
          <w:color w:val="333333"/>
          <w:sz w:val="20"/>
          <w:szCs w:val="20"/>
          <w:shd w:fill="f7f6f4" w:val="clear"/>
          <w:rtl w:val="0"/>
        </w:rPr>
        <w:t xml:space="preserve">placebo injection</w:t>
      </w:r>
      <w:r w:rsidDel="00000000" w:rsidR="00000000" w:rsidRPr="00000000">
        <w:rPr>
          <w:rFonts w:ascii="Calibri" w:cs="Calibri" w:eastAsia="Calibri" w:hAnsi="Calibri"/>
          <w:color w:val="333333"/>
          <w:sz w:val="20"/>
          <w:szCs w:val="20"/>
          <w:shd w:fill="f7f6f4" w:val="clear"/>
          <w:rtl w:val="0"/>
        </w:rPr>
        <w:t xml:space="preserve"> (re-injecting irrelevant text of similar length/position) as an additional control. Without this, the recency bias explanation is asserted rather than demonstrated.</w:t>
      </w:r>
    </w:p>
    <w:p w:rsidR="00000000" w:rsidDel="00000000" w:rsidP="00000000" w:rsidRDefault="00000000" w:rsidRPr="00000000" w14:paraId="0000000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precise methodological point.</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main experiment already provides structural evidence against a pure recency explanation: re-grounding hurts ENTJ agents and helps ISFJ agents in all 14 models. A purely positional mechanism would produce uniform effects regardless of mandate content, but this bidirectional, persona-differentiated pattern is structurally inconsistent with a positional artifact.</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probe this confound further following reviewer feedback, we ran a three-arm placebo-controlled experiment on Claude Sonnet 4.6, flat scenario, 3 personas x 5 seeds (T=200): </w:t>
      </w:r>
      <w:r w:rsidDel="00000000" w:rsidR="00000000" w:rsidRPr="00000000">
        <w:rPr>
          <w:rFonts w:ascii="Calibri" w:cs="Calibri" w:eastAsia="Calibri" w:hAnsi="Calibri"/>
          <w:b w:val="1"/>
          <w:bCs w:val="1"/>
          <w:rtl w:val="0"/>
        </w:rPr>
        <w:t xml:space="preserve">(1) Static</w:t>
      </w:r>
      <w:r w:rsidDel="00000000" w:rsidR="00000000" w:rsidRPr="00000000">
        <w:rPr>
          <w:rFonts w:ascii="Calibri" w:cs="Calibri" w:eastAsia="Calibri" w:hAnsi="Calibri"/>
          <w:rtl w:val="0"/>
        </w:rPr>
        <w:t xml:space="preserve"> - mandate at initialization only; </w:t>
      </w:r>
      <w:r w:rsidDel="00000000" w:rsidR="00000000" w:rsidRPr="00000000">
        <w:rPr>
          <w:rFonts w:ascii="Calibri" w:cs="Calibri" w:eastAsia="Calibri" w:hAnsi="Calibri"/>
          <w:b w:val="1"/>
          <w:bCs w:val="1"/>
          <w:rtl w:val="0"/>
        </w:rPr>
        <w:t xml:space="preserve">(2) Placebo</w:t>
      </w:r>
      <w:r w:rsidDel="00000000" w:rsidR="00000000" w:rsidRPr="00000000">
        <w:rPr>
          <w:rFonts w:ascii="Calibri" w:cs="Calibri" w:eastAsia="Calibri" w:hAnsi="Calibri"/>
          <w:rtl w:val="0"/>
        </w:rPr>
        <w:t xml:space="preserve"> - length- and position-matched regulatory boilerplate re-injected at every step, containing no behavioral instruction; </w:t>
      </w:r>
      <w:r w:rsidDel="00000000" w:rsidR="00000000" w:rsidRPr="00000000">
        <w:rPr>
          <w:rFonts w:ascii="Calibri" w:cs="Calibri" w:eastAsia="Calibri" w:hAnsi="Calibri"/>
          <w:b w:val="1"/>
          <w:bCs w:val="1"/>
          <w:rtl w:val="0"/>
        </w:rPr>
        <w:t xml:space="preserve">(3) Memory</w:t>
      </w:r>
      <w:r w:rsidDel="00000000" w:rsidR="00000000" w:rsidRPr="00000000">
        <w:rPr>
          <w:rFonts w:ascii="Calibri" w:cs="Calibri" w:eastAsia="Calibri" w:hAnsi="Calibri"/>
          <w:rtl w:val="0"/>
        </w:rPr>
        <w:t xml:space="preserve"> - mandate re-injected at every step. Arms 1 and 3 use existing results; only 15 new simulations were required. As a validity check on the placebo stimulus, we applied a DistilBERT persona classifier (fine-tuned on days 1-5 agent rationales from 4 representative frontier models in the main simulation with ~93-95% held-out accuracy) to confirm the placebo text did not inadvertently activate persona-associated language. We note this classifier measures distributional consistency with early-day outputs rather than externally validated persona expression; the relevant comparison is relative i.e., whether the placebo arm resembles static or memory, and on this comparison the results suggest the placebo did not meaningfully activate persona-associated language : P(intended persona) was 66.5% (Static), 62.7% (Placebo), and 87.3% (Memory), with the placebo and static arms remaining comparable.</w:t>
      </w:r>
    </w:p>
    <w:tbl>
      <w:tblPr>
        <w:tblStyle w:val="Table1"/>
        <w:tblW w:w="6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565"/>
        <w:gridCol w:w="1565"/>
        <w:gridCol w:w="1565"/>
        <w:tblGridChange w:id="0">
          <w:tblGrid>
            <w:gridCol w:w="2195"/>
            <w:gridCol w:w="1565"/>
            <w:gridCol w:w="1565"/>
            <w:gridCol w:w="1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b w:val="1"/>
                <w:bCs w:val="1"/>
                <w:rtl w:val="0"/>
              </w:rPr>
              <w:t xml:space="preserve">Persona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jc w:val="both"/>
              <w:rPr>
                <w:rFonts w:ascii="Calibri" w:cs="Calibri" w:eastAsia="Calibri" w:hAnsi="Calibri"/>
              </w:rPr>
            </w:pPr>
            <w:r w:rsidDel="00000000" w:rsidR="00000000" w:rsidRPr="00000000">
              <w:rPr>
                <w:rFonts w:ascii="Calibri" w:cs="Calibri" w:eastAsia="Calibri" w:hAnsi="Calibri"/>
                <w:b w:val="1"/>
                <w:bCs w:val="1"/>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b w:val="1"/>
                <w:bCs w:val="1"/>
                <w:rtl w:val="0"/>
              </w:rPr>
              <w:t xml:space="preserve">Placebo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b w:val="1"/>
                <w:bCs w:val="1"/>
                <w:rtl w:val="0"/>
              </w:rPr>
              <w:t xml:space="preserve">Memory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ENTJ (C_ideal=0.2)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jc w:val="both"/>
              <w:rPr>
                <w:rFonts w:ascii="Calibri" w:cs="Calibri" w:eastAsia="Calibri" w:hAnsi="Calibri"/>
              </w:rPr>
            </w:pPr>
            <w:r w:rsidDel="00000000" w:rsidR="00000000" w:rsidRPr="00000000">
              <w:rPr>
                <w:rFonts w:ascii="Calibri" w:cs="Calibri" w:eastAsia="Calibri" w:hAnsi="Calibri"/>
                <w:rtl w:val="0"/>
              </w:rPr>
              <w:t xml:space="preserve">0.188 ± 0.063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0.191 ± 0.031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0.300 ± 0.030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ISFJ (C_ideal=1.0)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jc w:val="both"/>
              <w:rPr>
                <w:rFonts w:ascii="Calibri" w:cs="Calibri" w:eastAsia="Calibri" w:hAnsi="Calibri"/>
              </w:rPr>
            </w:pPr>
            <w:r w:rsidDel="00000000" w:rsidR="00000000" w:rsidRPr="00000000">
              <w:rPr>
                <w:rFonts w:ascii="Calibri" w:cs="Calibri" w:eastAsia="Calibri" w:hAnsi="Calibri"/>
                <w:rtl w:val="0"/>
              </w:rPr>
              <w:t xml:space="preserve">0.903 ± 0.023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0.950 ± 0.019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0.730 ± 0.124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INTJ (C_ideal=0.5)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0.409 ± 0.028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both"/>
              <w:rPr>
                <w:rFonts w:ascii="Calibri" w:cs="Calibri" w:eastAsia="Calibri" w:hAnsi="Calibri"/>
              </w:rPr>
            </w:pPr>
            <w:r w:rsidDel="00000000" w:rsidR="00000000" w:rsidRPr="00000000">
              <w:rPr>
                <w:rFonts w:ascii="Calibri" w:cs="Calibri" w:eastAsia="Calibri" w:hAnsi="Calibri"/>
                <w:rtl w:val="0"/>
              </w:rPr>
              <w:t xml:space="preserve">0.454 ± 0.018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jc w:val="both"/>
              <w:rPr>
                <w:rFonts w:ascii="Calibri" w:cs="Calibri" w:eastAsia="Calibri" w:hAnsi="Calibri"/>
              </w:rPr>
            </w:pPr>
            <w:r w:rsidDel="00000000" w:rsidR="00000000" w:rsidRPr="00000000">
              <w:rPr>
                <w:rFonts w:ascii="Calibri" w:cs="Calibri" w:eastAsia="Calibri" w:hAnsi="Calibri"/>
                <w:rtl w:val="0"/>
              </w:rPr>
              <w:t xml:space="preserve">0.394 ± 0.042</w:t>
            </w:r>
          </w:p>
        </w:tc>
      </w:tr>
    </w:tbl>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R1.</w:t>
      </w:r>
      <w:r w:rsidDel="00000000" w:rsidR="00000000" w:rsidRPr="00000000">
        <w:rPr>
          <w:rFonts w:ascii="Calibri" w:cs="Calibri" w:eastAsia="Calibri" w:hAnsi="Calibri"/>
          <w:rtl w:val="0"/>
        </w:rPr>
        <w:t xml:space="preserve"> MAS Deviation (mean ± std, n=5), Claude Sonnet 4.6, flat scenario. Lower = better adherence.</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placebo arm lands within 0.003–0.047 MAS units of the static arm across all three personas. The memory arm diverges substantially relative to static: +0.112 for ENTJ, -0.173 for ISFJ, and a small directional improvement of -0.015 for INTJ, consistent with its intermediate mandate strength. The placebo produces none of these effects. Within the scope of this single-model, single-scenario control, the results provide evidence that the behavioral effect of mandate re-injection is driven by semantic content rather than recency position. This partially addresses the </w:t>
      </w:r>
      <w:r w:rsidDel="00000000" w:rsidR="00000000" w:rsidRPr="00000000">
        <w:rPr>
          <w:rFonts w:ascii="Calibri" w:cs="Calibri" w:eastAsia="Calibri" w:hAnsi="Calibri"/>
          <w:rtl w:val="0"/>
        </w:rPr>
        <w:t xml:space="preserve">confound</w:t>
      </w:r>
      <w:r w:rsidDel="00000000" w:rsidR="00000000" w:rsidRPr="00000000">
        <w:rPr>
          <w:rFonts w:ascii="Calibri" w:cs="Calibri" w:eastAsia="Calibri" w:hAnsi="Calibri"/>
          <w:rtl w:val="0"/>
        </w:rPr>
        <w:t xml:space="preserve"> concern raised; we will add the placebo control as a formal third architecture variant (π_placebo) in Section 3.2 and report Table R1 in the camera-ready version.</w:t>
      </w:r>
    </w:p>
    <w:p w:rsidR="00000000" w:rsidDel="00000000" w:rsidP="00000000" w:rsidRDefault="00000000" w:rsidRPr="00000000" w14:paraId="0000001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b w:val="1"/>
          <w:bCs w:val="1"/>
          <w:color w:val="2c3a4a"/>
          <w:sz w:val="20"/>
          <w:szCs w:val="20"/>
          <w:shd w:fill="f7f6f4" w:val="clear"/>
          <w:rtl w:val="0"/>
        </w:rPr>
        <w:t xml:space="preserve">W2. MBTI is a problematic foundation and the paper's defense of it is insufficient.</w:t>
      </w:r>
      <w:r w:rsidDel="00000000" w:rsidR="00000000" w:rsidRPr="00000000">
        <w:rPr>
          <w:rFonts w:ascii="Calibri" w:cs="Calibri" w:eastAsia="Calibri" w:hAnsi="Calibri"/>
          <w:color w:val="333333"/>
          <w:sz w:val="20"/>
          <w:szCs w:val="20"/>
          <w:shd w:fill="f7f6f4" w:val="clear"/>
          <w:rtl w:val="0"/>
        </w:rPr>
        <w:t xml:space="preserve"> The authors acknowledge MBTI is not a validated psychometric instrument and adopt it merely as "a structured vocabulary." However, the paper builds its entire behavioral taxonomy around MBTI trait descriptions. The Persona-Scenario Alignment result in Section 4.3.3 is particularly vulnerable: interpreting why ISFJ agents benefit from re-grounding by appealing to MBTI "conservative" descriptions is circular. Personas operationalized directly in terms of measurable behavioral parameters (risk tolerance, holding periods) would be stronger.</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precise critique and address it in three parts.</w:t>
      </w:r>
    </w:p>
    <w:p w:rsidR="00000000" w:rsidDel="00000000" w:rsidP="00000000" w:rsidRDefault="00000000" w:rsidRPr="00000000" w14:paraId="0000001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 1: Why MBTI was adopted and where it falls short.</w:t>
      </w:r>
      <w:r w:rsidDel="00000000" w:rsidR="00000000" w:rsidRPr="00000000">
        <w:rPr>
          <w:rFonts w:ascii="Calibri" w:cs="Calibri" w:eastAsia="Calibri" w:hAnsi="Calibri"/>
          <w:rtl w:val="0"/>
        </w:rPr>
        <w:t xml:space="preserve"> We adopted MBTI as a structured behavioral vocabulary, consistent with established practice in LLM persona research, not as a validated personality assessment tool. We acknowledge this limitation and make no trait-validity claims. Critically, MBTI structurally cannot encode Neuroticism, the Big Five trait most predictive of panic-driven financial behavior; Furnham (1996) confirmed that NEO-PI Neuroticism scores are not reliably related to any MBTI subscale. </w:t>
      </w:r>
    </w:p>
    <w:p w:rsidR="00000000" w:rsidDel="00000000" w:rsidP="00000000" w:rsidRDefault="00000000" w:rsidRPr="00000000" w14:paraId="0000001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 2: OCEAN replication.</w:t>
      </w:r>
      <w:r w:rsidDel="00000000" w:rsidR="00000000" w:rsidRPr="00000000">
        <w:rPr>
          <w:rFonts w:ascii="Calibri" w:cs="Calibri" w:eastAsia="Calibri" w:hAnsi="Calibri"/>
          <w:rtl w:val="0"/>
        </w:rPr>
        <w:t xml:space="preserve"> To test the robustness of our findings under a validated framework following reviewer feedback, we ran 180 post-submission simulations using Big Five personas grounded in the validated Five-Factor Model (Costa &amp; McCrae, 1992): O1-Conservative (high Conscientiousness and Neuroticism, low Openness; C_ideal = 1.0) and O2-Aggressive (high Openness and Extraversion, low Neuroticism and Agreeableness; C_ideal = 0.2), across three representative models (Claude Sonnet 4.6, GPT-4o-mini, and Gemini 2.5 Flash), three scenarios, and five seeds.</w:t>
      </w:r>
    </w:p>
    <w:p w:rsidR="00000000" w:rsidDel="00000000" w:rsidP="00000000" w:rsidRDefault="00000000" w:rsidRPr="00000000" w14:paraId="0000001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bidirectional alignment finding replicates under OCEAN for Claude Sonnet 4.6 and Gemini 2.5 Flash. For GPT-4o-mini, the O1-Conservative persona already achieves perfect mandate adherence in the static condition (MAS = 0.000), leaving no room for re-grounding to improve further; this is a ceiling effect on adherence rather than a contradictory result. Pooled across all three models and five seeds, the O1-Conservative memory gap is -0.112 (helps) and the O2-Aggressive gap is +0.187 (hurts), preserving the bidirectional pattern.</w:t>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 3: Numerical-only ablation.</w:t>
      </w:r>
      <w:r w:rsidDel="00000000" w:rsidR="00000000" w:rsidRPr="00000000">
        <w:rPr>
          <w:rFonts w:ascii="Calibri" w:cs="Calibri" w:eastAsia="Calibri" w:hAnsi="Calibri"/>
          <w:rtl w:val="0"/>
        </w:rPr>
        <w:t xml:space="preserve"> We ran the O3 condition as the reviewer prescribed, comprising 60 additional runs: no psychometric vocabulary, only a two-sentence description embedding C_ideal and a bare risk orientation, with re-injection limited to the target allocation reminder. The conservative O3 agent achieves MAS = 0.000 under both conditions, suggesting numerical parameters alone may suffice for capital-preservation behavior. For the aggressive O3 persona, the memory-hurts effect disappears entirely, with re-injection producing a small benefit (-0.028) rather than the +0.112 harm seen under MBTI and +0.131 under OCEAN.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7273673257023"/>
        <w:gridCol w:w="1538.8969823100936"/>
        <w:gridCol w:w="1816.4828303850154"/>
        <w:gridCol w:w="1290.5306971904267"/>
        <w:gridCol w:w="2532.3621227887616"/>
        <w:tblGridChange w:id="0">
          <w:tblGrid>
            <w:gridCol w:w="2181.7273673257023"/>
            <w:gridCol w:w="1538.8969823100936"/>
            <w:gridCol w:w="1816.4828303850154"/>
            <w:gridCol w:w="1290.5306971904267"/>
            <w:gridCol w:w="2532.36212278876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jc w:val="both"/>
              <w:rPr>
                <w:rFonts w:ascii="Calibri" w:cs="Calibri" w:eastAsia="Calibri" w:hAnsi="Calibri"/>
              </w:rPr>
            </w:pPr>
            <w:r w:rsidDel="00000000" w:rsidR="00000000" w:rsidRPr="00000000">
              <w:rPr>
                <w:rFonts w:ascii="Calibri" w:cs="Calibri" w:eastAsia="Calibri" w:hAnsi="Calibri"/>
                <w:b w:val="1"/>
                <w:bCs w:val="1"/>
                <w:rtl w:val="0"/>
              </w:rPr>
              <w:t xml:space="preserve">Conservative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b w:val="1"/>
                <w:bCs w:val="1"/>
                <w:rtl w:val="0"/>
              </w:rPr>
              <w:t xml:space="preserve">Aggressive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MBTI (ISFJ/ENTJ)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-0.173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both"/>
              <w:rPr>
                <w:rFonts w:ascii="Calibri" w:cs="Calibri" w:eastAsia="Calibri" w:hAnsi="Calibri"/>
              </w:rPr>
            </w:pPr>
            <w:r w:rsidDel="00000000" w:rsidR="00000000" w:rsidRPr="00000000">
              <w:rPr>
                <w:rFonts w:ascii="Calibri" w:cs="Calibri" w:eastAsia="Calibri" w:hAnsi="Calibri"/>
                <w:rtl w:val="0"/>
              </w:rPr>
              <w:t xml:space="preserve">+0.112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jc w:val="both"/>
              <w:rPr>
                <w:rFonts w:ascii="Calibri" w:cs="Calibri" w:eastAsia="Calibri" w:hAnsi="Calibri"/>
              </w:rPr>
            </w:pPr>
            <w:r w:rsidDel="00000000" w:rsidR="00000000" w:rsidRPr="00000000">
              <w:rPr>
                <w:rFonts w:ascii="Calibri" w:cs="Calibri" w:eastAsia="Calibri" w:hAnsi="Calibri"/>
                <w:rtl w:val="0"/>
              </w:rPr>
              <w:t xml:space="preserve">OCEAN (O1/O2)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jc w:val="both"/>
              <w:rPr>
                <w:rFonts w:ascii="Calibri" w:cs="Calibri" w:eastAsia="Calibri" w:hAnsi="Calibri"/>
              </w:rPr>
            </w:pPr>
            <w:r w:rsidDel="00000000" w:rsidR="00000000" w:rsidRPr="00000000">
              <w:rPr>
                <w:rFonts w:ascii="Calibri" w:cs="Calibri" w:eastAsia="Calibri" w:hAnsi="Calibri"/>
                <w:rtl w:val="0"/>
              </w:rPr>
              <w:t xml:space="preserve">-0.292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+0.131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rtl w:val="0"/>
              </w:rPr>
              <w:t xml:space="preserve">Numerical only (O3)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Floor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-0.028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Memory helps (reversal)</w:t>
            </w:r>
          </w:p>
        </w:tc>
      </w:tr>
    </w:tbl>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R4.</w:t>
      </w:r>
      <w:r w:rsidDel="00000000" w:rsidR="00000000" w:rsidRPr="00000000">
        <w:rPr>
          <w:rFonts w:ascii="Calibri" w:cs="Calibri" w:eastAsia="Calibri" w:hAnsi="Calibri"/>
          <w:rtl w:val="0"/>
        </w:rPr>
        <w:t xml:space="preserve"> Flat-market MAS gap (memory minus static) per framework, reported for Claude Sonnet 4.6 as a representative model; cross-model OCEAN results reported above. Negative = memory helps; positive = memory hurts. </w:t>
      </w:r>
    </w:p>
    <w:p w:rsidR="00000000" w:rsidDel="00000000" w:rsidP="00000000" w:rsidRDefault="00000000" w:rsidRPr="00000000" w14:paraId="0000003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provides evidence bearing on the reviewer's circularity concern. If the MBTI vocabulary were merely circular labeling with no explanatory power, removing it would not change behavior. But it does: richer behavioral descriptions amplify both the benefit of re-grounding for aligned personas and the cost for misaligned ones. This suggests richer mandate language contributes beyond the numerical target alone. We will include these results as a robustness check and update the limitations section in the camera-ready version.</w:t>
      </w:r>
    </w:p>
    <w:p w:rsidR="00000000" w:rsidDel="00000000" w:rsidP="00000000" w:rsidRDefault="00000000" w:rsidRPr="00000000" w14:paraId="0000003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038">
      <w:pPr>
        <w:spacing w:after="240" w:before="240" w:lineRule="auto"/>
        <w:jc w:val="both"/>
        <w:rPr>
          <w:rFonts w:ascii="Courier Prime" w:cs="Courier Prime" w:eastAsia="Courier Prime" w:hAnsi="Courier Prime"/>
          <w:sz w:val="20"/>
          <w:szCs w:val="20"/>
        </w:rPr>
      </w:pPr>
      <w:r w:rsidDel="00000000" w:rsidR="00000000" w:rsidRPr="00000000">
        <w:rPr>
          <w:rFonts w:ascii="Courier Prime" w:cs="Courier Prime" w:eastAsia="Courier Prime" w:hAnsi="Courier Prime"/>
          <w:sz w:val="20"/>
          <w:szCs w:val="20"/>
          <w:rtl w:val="0"/>
        </w:rPr>
        <w:t xml:space="preserve">Furnham, A. (1996). The big five versus the big four: the relationship between the Myers-Briggs Type Indicator (MBTI) and NEO-PI five factor model of personality. </w:t>
      </w:r>
      <w:r w:rsidDel="00000000" w:rsidR="00000000" w:rsidRPr="00000000">
        <w:rPr>
          <w:rFonts w:ascii="Courier Prime" w:cs="Courier Prime" w:eastAsia="Courier Prime" w:hAnsi="Courier Prime"/>
          <w:i w:val="1"/>
          <w:iCs w:val="1"/>
          <w:sz w:val="20"/>
          <w:szCs w:val="20"/>
          <w:rtl w:val="0"/>
        </w:rPr>
        <w:t xml:space="preserve">Personality and Individual Differences, 21</w:t>
      </w:r>
      <w:r w:rsidDel="00000000" w:rsidR="00000000" w:rsidRPr="00000000">
        <w:rPr>
          <w:rFonts w:ascii="Courier Prime" w:cs="Courier Prime" w:eastAsia="Courier Prime" w:hAnsi="Courier Prime"/>
          <w:sz w:val="20"/>
          <w:szCs w:val="20"/>
          <w:rtl w:val="0"/>
        </w:rPr>
        <w:t xml:space="preserve">(2), 303–307.</w:t>
      </w:r>
    </w:p>
    <w:p w:rsidR="00000000" w:rsidDel="00000000" w:rsidP="00000000" w:rsidRDefault="00000000" w:rsidRPr="00000000" w14:paraId="00000039">
      <w:pPr>
        <w:spacing w:after="240" w:before="240" w:lineRule="auto"/>
        <w:jc w:val="both"/>
        <w:rPr>
          <w:rFonts w:ascii="Calibri" w:cs="Calibri" w:eastAsia="Calibri" w:hAnsi="Calibri"/>
        </w:rPr>
      </w:pPr>
      <w:r w:rsidDel="00000000" w:rsidR="00000000" w:rsidRPr="00000000">
        <w:rPr>
          <w:rFonts w:ascii="Courier Prime" w:cs="Courier Prime" w:eastAsia="Courier Prime" w:hAnsi="Courier Prime"/>
          <w:sz w:val="20"/>
          <w:szCs w:val="20"/>
          <w:rtl w:val="0"/>
        </w:rPr>
        <w:t xml:space="preserve">Costa, P. T., &amp; McCrae, R. R. (1992). </w:t>
      </w:r>
      <w:r w:rsidDel="00000000" w:rsidR="00000000" w:rsidRPr="00000000">
        <w:rPr>
          <w:rFonts w:ascii="Courier Prime" w:cs="Courier Prime" w:eastAsia="Courier Prime" w:hAnsi="Courier Prime"/>
          <w:i w:val="1"/>
          <w:iCs w:val="1"/>
          <w:sz w:val="20"/>
          <w:szCs w:val="20"/>
          <w:rtl w:val="0"/>
        </w:rPr>
        <w:t xml:space="preserve">Revised NEO Personality Inventory (NEO-PI-R) and NEO Five-Factor Inventory (NEO-FFI) professional manual.</w:t>
      </w:r>
      <w:r w:rsidDel="00000000" w:rsidR="00000000" w:rsidRPr="00000000">
        <w:rPr>
          <w:rFonts w:ascii="Courier Prime" w:cs="Courier Prime" w:eastAsia="Courier Prime" w:hAnsi="Courier Prime"/>
          <w:sz w:val="20"/>
          <w:szCs w:val="20"/>
          <w:rtl w:val="0"/>
        </w:rPr>
        <w:t xml:space="preserve"> Psychological Assessment Resources.</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Fonts w:ascii="Calibri" w:cs="Calibri" w:eastAsia="Calibri" w:hAnsi="Calibri"/>
          <w:b w:val="1"/>
          <w:bCs w:val="1"/>
          <w:color w:val="2c3a4a"/>
          <w:sz w:val="20"/>
          <w:szCs w:val="20"/>
          <w:shd w:fill="f7f6f4" w:val="clear"/>
          <w:rtl w:val="0"/>
        </w:rPr>
        <w:t xml:space="preserve">W3. The "4.1× behavioral gap" headline finding is misleading.</w:t>
      </w:r>
      <w:r w:rsidDel="00000000" w:rsidR="00000000" w:rsidRPr="00000000">
        <w:rPr>
          <w:rFonts w:ascii="Calibri" w:cs="Calibri" w:eastAsia="Calibri" w:hAnsi="Calibri"/>
          <w:color w:val="333333"/>
          <w:sz w:val="20"/>
          <w:szCs w:val="20"/>
          <w:shd w:fill="f7f6f4" w:val="clear"/>
          <w:rtl w:val="0"/>
        </w:rPr>
        <w:t xml:space="preserve"> The 4.1× figure refers to the growth of the </w:t>
      </w:r>
      <w:r w:rsidDel="00000000" w:rsidR="00000000" w:rsidRPr="00000000">
        <w:rPr>
          <w:rFonts w:ascii="Calibri" w:cs="Calibri" w:eastAsia="Calibri" w:hAnsi="Calibri"/>
          <w:i w:val="1"/>
          <w:iCs w:val="1"/>
          <w:color w:val="333333"/>
          <w:sz w:val="20"/>
          <w:szCs w:val="20"/>
          <w:shd w:fill="f7f6f4" w:val="clear"/>
          <w:rtl w:val="0"/>
        </w:rPr>
        <w:t xml:space="preserve">gap ratio</w:t>
      </w:r>
      <w:r w:rsidDel="00000000" w:rsidR="00000000" w:rsidRPr="00000000">
        <w:rPr>
          <w:rFonts w:ascii="Calibri" w:cs="Calibri" w:eastAsia="Calibri" w:hAnsi="Calibri"/>
          <w:color w:val="333333"/>
          <w:sz w:val="20"/>
          <w:szCs w:val="20"/>
          <w:shd w:fill="f7f6f4" w:val="clear"/>
          <w:rtl w:val="0"/>
        </w:rPr>
        <w:t xml:space="preserve"> in the Crash scenario from Q1 to Q4, not a 4.1× difference in absolute performance. This distinction is not clearly communicated in the abstract or introduction.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correction. The 4.1x figure refers to the growth of the gap ratio between static and memory agents in the Crash scenario from Q1 to Q4, not a 4.1x difference in absolute performance. We will clarify this in the abstract, introduction and system architecture figure in the camera-ready version: "the gap ratio between static and memory agents compounds monotonically, growing 4.1x from Q1 to Q4 of the crash scenario." </w:t>
      </w:r>
    </w:p>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shd w:fill="f7f6f4" w:val="clear"/>
        <w:spacing w:after="120" w:lineRule="auto"/>
        <w:jc w:val="both"/>
        <w:rPr>
          <w:rFonts w:ascii="Calibri" w:cs="Calibri" w:eastAsia="Calibri" w:hAnsi="Calibri"/>
          <w:color w:val="333333"/>
          <w:sz w:val="20"/>
          <w:szCs w:val="20"/>
        </w:rPr>
      </w:pPr>
      <w:r w:rsidDel="00000000" w:rsidR="00000000" w:rsidRPr="00000000">
        <w:rPr>
          <w:rFonts w:ascii="Calibri" w:cs="Calibri" w:eastAsia="Calibri" w:hAnsi="Calibri"/>
          <w:b w:val="1"/>
          <w:bCs w:val="1"/>
          <w:color w:val="2c3a4a"/>
          <w:sz w:val="20"/>
          <w:szCs w:val="20"/>
          <w:rtl w:val="0"/>
        </w:rPr>
        <w:t xml:space="preserve">W4. The Bull Trap result undermines the paper's prescriptive conclusion.</w:t>
      </w:r>
      <w:r w:rsidDel="00000000" w:rsidR="00000000" w:rsidRPr="00000000">
        <w:rPr>
          <w:rFonts w:ascii="Calibri" w:cs="Calibri" w:eastAsia="Calibri" w:hAnsi="Calibri"/>
          <w:color w:val="333333"/>
          <w:sz w:val="20"/>
          <w:szCs w:val="20"/>
          <w:rtl w:val="0"/>
        </w:rPr>
        <w:t xml:space="preserve"> The paper concludes that "mandate-aware re-grounding is a structural prerequisite for trustworthy deployment." But in the Bull Trap, memory re-grounding </w:t>
      </w:r>
      <w:r w:rsidDel="00000000" w:rsidR="00000000" w:rsidRPr="00000000">
        <w:rPr>
          <w:rFonts w:ascii="Calibri" w:cs="Calibri" w:eastAsia="Calibri" w:hAnsi="Calibri"/>
          <w:i w:val="1"/>
          <w:iCs w:val="1"/>
          <w:color w:val="333333"/>
          <w:sz w:val="20"/>
          <w:szCs w:val="20"/>
          <w:rtl w:val="0"/>
        </w:rPr>
        <w:t xml:space="preserve">hurts</w:t>
      </w:r>
      <w:r w:rsidDel="00000000" w:rsidR="00000000" w:rsidRPr="00000000">
        <w:rPr>
          <w:rFonts w:ascii="Calibri" w:cs="Calibri" w:eastAsia="Calibri" w:hAnsi="Calibri"/>
          <w:color w:val="333333"/>
          <w:sz w:val="20"/>
          <w:szCs w:val="20"/>
          <w:rtl w:val="0"/>
        </w:rPr>
        <w:t xml:space="preserve"> performance (static agents are 5.1% more rational). The paper does not provide a practical mechanism by which a deployed agent would know </w:t>
      </w:r>
      <w:r w:rsidDel="00000000" w:rsidR="00000000" w:rsidRPr="00000000">
        <w:rPr>
          <w:rFonts w:ascii="Calibri" w:cs="Calibri" w:eastAsia="Calibri" w:hAnsi="Calibri"/>
          <w:i w:val="1"/>
          <w:iCs w:val="1"/>
          <w:color w:val="333333"/>
          <w:sz w:val="20"/>
          <w:szCs w:val="20"/>
          <w:rtl w:val="0"/>
        </w:rPr>
        <w:t xml:space="preserve">when</w:t>
      </w:r>
      <w:r w:rsidDel="00000000" w:rsidR="00000000" w:rsidRPr="00000000">
        <w:rPr>
          <w:rFonts w:ascii="Calibri" w:cs="Calibri" w:eastAsia="Calibri" w:hAnsi="Calibri"/>
          <w:color w:val="333333"/>
          <w:sz w:val="20"/>
          <w:szCs w:val="20"/>
          <w:rtl w:val="0"/>
        </w:rPr>
        <w:t xml:space="preserve"> to re-ground vs. when not to, offering a principle without a usable operationalization.</w:t>
      </w:r>
    </w:p>
    <w:p w:rsidR="00000000" w:rsidDel="00000000" w:rsidP="00000000" w:rsidRDefault="00000000" w:rsidRPr="00000000" w14:paraId="0000004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important critique. The Bull Trap result does require a narrower conclusion: re-grounding is not universally beneficial, and the prescriptive claim should be scoped to persona-scenario alignment rather than stated as a general prerequisite. We address the operationalization concern in two parts.</w:t>
      </w:r>
    </w:p>
    <w:p w:rsidR="00000000" w:rsidDel="00000000" w:rsidP="00000000" w:rsidRDefault="00000000" w:rsidRPr="00000000" w14:paraId="0000004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 1: The alignment matrix answers "whether to re-ground."</w:t>
      </w:r>
      <w:r w:rsidDel="00000000" w:rsidR="00000000" w:rsidRPr="00000000">
        <w:rPr>
          <w:rFonts w:ascii="Calibri" w:cs="Calibri" w:eastAsia="Calibri" w:hAnsi="Calibri"/>
          <w:rtl w:val="0"/>
        </w:rPr>
        <w:t xml:space="preserve"> Figure 3 in the submitted paper already provides this dimension, though we agree we did not frame it prescriptively enough. The persona-scenario alignment matrix shows that re-grounding benefit is not random; it is systematically determined by the interaction between mandate type and market regime. Conservative personas in flat and crash markets benefit universally (14/14 models); aggressive personas in flat markets are universally harmed (0/14 models). The Bull Trap result the reviewer flags is itself part of this structure; it identifies speculative regimes as the condition under which re-grounding should be suppressed regardless of </w:t>
      </w:r>
      <w:r w:rsidDel="00000000" w:rsidR="00000000" w:rsidRPr="00000000">
        <w:rPr>
          <w:rFonts w:ascii="Calibri" w:cs="Calibri" w:eastAsia="Calibri" w:hAnsi="Calibri"/>
          <w:rtl w:val="0"/>
        </w:rPr>
        <w:t xml:space="preserve">persona</w:t>
      </w:r>
      <w:r w:rsidDel="00000000" w:rsidR="00000000" w:rsidRPr="00000000">
        <w:rPr>
          <w:rFonts w:ascii="Calibri" w:cs="Calibri" w:eastAsia="Calibri" w:hAnsi="Calibri"/>
          <w:rtl w:val="0"/>
        </w:rPr>
        <w:t xml:space="preserve"> type.</w:t>
      </w:r>
    </w:p>
    <w:p w:rsidR="00000000" w:rsidDel="00000000" w:rsidP="00000000" w:rsidRDefault="00000000" w:rsidRPr="00000000" w14:paraId="0000004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 2: The injection-frequency ablation answers "how much to re-ground."</w:t>
      </w:r>
      <w:r w:rsidDel="00000000" w:rsidR="00000000" w:rsidRPr="00000000">
        <w:rPr>
          <w:rFonts w:ascii="Calibri" w:cs="Calibri" w:eastAsia="Calibri" w:hAnsi="Calibri"/>
          <w:rtl w:val="0"/>
        </w:rPr>
        <w:t xml:space="preserve"> We ran a post-submission frequency ablation on Claude Sonnet 4.6, varying injection frequency k across {1, 5, 25, 100, INF} in the flat scenario across all three personas and three seeds.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6131277971158"/>
        <w:gridCol w:w="1540.6066633515663"/>
        <w:gridCol w:w="800.5569368473396"/>
        <w:gridCol w:w="786.5937344604674"/>
        <w:gridCol w:w="786.5937344604674"/>
        <w:gridCol w:w="1722.128294380905"/>
        <w:gridCol w:w="1805.907508702138"/>
        <w:tblGridChange w:id="0">
          <w:tblGrid>
            <w:gridCol w:w="1917.6131277971158"/>
            <w:gridCol w:w="1540.6066633515663"/>
            <w:gridCol w:w="800.5569368473396"/>
            <w:gridCol w:w="786.5937344604674"/>
            <w:gridCol w:w="786.5937344604674"/>
            <w:gridCol w:w="1722.128294380905"/>
            <w:gridCol w:w="1805.90750870213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b w:val="1"/>
                <w:bCs w:val="1"/>
                <w:rtl w:val="0"/>
              </w:rPr>
              <w:t xml:space="preserve">Persona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b w:val="1"/>
                <w:bCs w:val="1"/>
                <w:rtl w:val="0"/>
              </w:rPr>
              <w:t xml:space="preserve">k=INF (static)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b w:val="1"/>
                <w:bCs w:val="1"/>
                <w:rtl w:val="0"/>
              </w:rPr>
              <w:t xml:space="preserve">k=100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b w:val="1"/>
                <w:bCs w:val="1"/>
                <w:rtl w:val="0"/>
              </w:rPr>
              <w:t xml:space="preserve">k=25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b w:val="1"/>
                <w:bCs w:val="1"/>
                <w:rtl w:val="0"/>
              </w:rPr>
              <w:t xml:space="preserve">k=5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jc w:val="both"/>
              <w:rPr>
                <w:rFonts w:ascii="Calibri" w:cs="Calibri" w:eastAsia="Calibri" w:hAnsi="Calibri"/>
              </w:rPr>
            </w:pPr>
            <w:r w:rsidDel="00000000" w:rsidR="00000000" w:rsidRPr="00000000">
              <w:rPr>
                <w:rFonts w:ascii="Calibri" w:cs="Calibri" w:eastAsia="Calibri" w:hAnsi="Calibri"/>
                <w:b w:val="1"/>
                <w:bCs w:val="1"/>
                <w:rtl w:val="0"/>
              </w:rPr>
              <w:t xml:space="preserve">k=1 (every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b w:val="1"/>
                <w:bCs w:val="1"/>
                <w:rtl w:val="0"/>
              </w:rPr>
              <w:t xml:space="preserve">Recommended k</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ENTJ (Cideal=0.2)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49.5%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59.7%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58.7%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58.9%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93.4%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k=1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jc w:val="both"/>
              <w:rPr>
                <w:rFonts w:ascii="Calibri" w:cs="Calibri" w:eastAsia="Calibri" w:hAnsi="Calibri"/>
              </w:rPr>
            </w:pPr>
            <w:r w:rsidDel="00000000" w:rsidR="00000000" w:rsidRPr="00000000">
              <w:rPr>
                <w:rFonts w:ascii="Calibri" w:cs="Calibri" w:eastAsia="Calibri" w:hAnsi="Calibri"/>
                <w:rtl w:val="0"/>
              </w:rPr>
              <w:t xml:space="preserve">ISFJ (Cideal=1.0)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39.5%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43.1%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40.0%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45.2%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49.2%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k=5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INTJ (Cideal=0.5)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98.9%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98.4%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98.0%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98.5%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99.5%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k=INF</w:t>
            </w:r>
          </w:p>
        </w:tc>
      </w:tr>
    </w:tbl>
    <w:p w:rsidR="00000000" w:rsidDel="00000000" w:rsidP="00000000" w:rsidRDefault="00000000" w:rsidRPr="00000000" w14:paraId="0000006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R3. </w:t>
      </w:r>
      <w:r w:rsidDel="00000000" w:rsidR="00000000" w:rsidRPr="00000000">
        <w:rPr>
          <w:rFonts w:ascii="Calibri" w:cs="Calibri" w:eastAsia="Calibri" w:hAnsi="Calibri"/>
          <w:rtl w:val="0"/>
        </w:rPr>
        <w:t xml:space="preserve">Persona-language adherence P(intended persona) by injection frequency k, Claude Sonnet 4.6, flat scenario. Measured via DistilBERT classifier; reflects linguistic persona consistency, not MAS behavioral adherence. </w:t>
      </w:r>
    </w:p>
    <w:p w:rsidR="00000000" w:rsidDel="00000000" w:rsidP="00000000" w:rsidRDefault="00000000" w:rsidRPr="00000000" w14:paraId="0000006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Three distinct profiles emerge. For ENTJ, k=1 delivers 93.4% adherence while every intermediate frequency collapses to roughly 59%; partial re-injection is not viable for high-MSD-susceptibility mandates. For ISFJ, k=5 captures 59% of the maximum adherence benefit at 20% of the token overhead of k=1, a Pareto-efficient operating point. For INTJ, static adherence is already </w:t>
      </w:r>
      <w:r w:rsidDel="00000000" w:rsidR="00000000" w:rsidRPr="00000000">
        <w:rPr>
          <w:rFonts w:ascii="Calibri" w:cs="Calibri" w:eastAsia="Calibri" w:hAnsi="Calibri"/>
          <w:rtl w:val="0"/>
        </w:rPr>
        <w:t xml:space="preserve">near ceiling</w:t>
      </w:r>
      <w:r w:rsidDel="00000000" w:rsidR="00000000" w:rsidRPr="00000000">
        <w:rPr>
          <w:rFonts w:ascii="Calibri" w:cs="Calibri" w:eastAsia="Calibri" w:hAnsi="Calibri"/>
          <w:rtl w:val="0"/>
        </w:rPr>
        <w:t xml:space="preserve"> (98.9%) and no re-injection is the correct choice.</w:t>
      </w:r>
    </w:p>
    <w:p w:rsidR="00000000" w:rsidDel="00000000" w:rsidP="00000000" w:rsidRDefault="00000000" w:rsidRPr="00000000" w14:paraId="0000006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Together, these two results provide an initial route toward operationalizing the principle: consult the alignment matrix to determine whether re-grounding is warranted, then select injection frequency from the Pareto curve. We acknowledge the frequency ablation is currently demonstrated on the flat scenario and one model, and extending it across all scenarios and the full model suite remains future work. We will add this framework explicitly in Section 5 in the camera-ready version.</w:t>
      </w:r>
    </w:p>
    <w:p w:rsidR="00000000" w:rsidDel="00000000" w:rsidP="00000000" w:rsidRDefault="00000000" w:rsidRPr="00000000" w14:paraId="0000006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color w:val="2c3a4a"/>
          <w:sz w:val="20"/>
          <w:szCs w:val="20"/>
          <w:shd w:fill="f7f6f4" w:val="clear"/>
          <w:rtl w:val="0"/>
        </w:rPr>
        <w:t xml:space="preserve">W5.</w:t>
      </w:r>
      <w:r w:rsidDel="00000000" w:rsidR="00000000" w:rsidRPr="00000000">
        <w:rPr>
          <w:rFonts w:ascii="Calibri" w:cs="Calibri" w:eastAsia="Calibri" w:hAnsi="Calibri"/>
          <w:color w:val="333333"/>
          <w:sz w:val="20"/>
          <w:szCs w:val="20"/>
          <w:shd w:fill="f7f6f4" w:val="clear"/>
          <w:rtl w:val="0"/>
        </w:rPr>
        <w:t xml:space="preserve"> The three personas (ENTJ, INTJ, ISFJ) are under-sampled and skewed. All three are N (Intuitive) or the ISFJ exception. Coverage along orthogonal behavioral axes would be more convincing.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observation and acknowledge the limitation. The three personas were selected to span the risk-appetite spectrum from strict capital preservation (ISFJ, C_ideal=1.0) to aggressive growth (ENTJ, C_ideal=0.2), rather than to provide orthogonal MBTI coverage. The OCEAN replication experiment (camera-ready version) provides partial robustness on framework validity by grounding personas in the validated Five-Factor Model; however, it still uses two endpoint profiles and does not address the orthogonal coverage concern directly. Systematic coverage of intermediate and orthogonal behavioral profiles, including sensing versus intuitive and feeling versus thinking axes, remains future work. </w:t>
      </w:r>
    </w:p>
    <w:p w:rsidR="00000000" w:rsidDel="00000000" w:rsidP="00000000" w:rsidRDefault="00000000" w:rsidRPr="00000000" w14:paraId="0000006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color w:val="333333"/>
          <w:sz w:val="20"/>
          <w:szCs w:val="20"/>
          <w:shd w:fill="f7f6f4" w:val="clear"/>
          <w:rtl w:val="0"/>
        </w:rPr>
        <w:t xml:space="preserve">W6.</w:t>
      </w:r>
      <w:r w:rsidDel="00000000" w:rsidR="00000000" w:rsidRPr="00000000">
        <w:rPr>
          <w:rFonts w:ascii="Calibri" w:cs="Calibri" w:eastAsia="Calibri" w:hAnsi="Calibri"/>
          <w:color w:val="333333"/>
          <w:sz w:val="20"/>
          <w:szCs w:val="20"/>
          <w:shd w:fill="f7f6f4" w:val="clear"/>
          <w:rtl w:val="0"/>
        </w:rPr>
        <w:t xml:space="preserve"> Simulation realism is insufficiently discussed. The observation space includes "synthetic sentiment" drawn from a fixed Gaussian, arguably the least realistic feature of the environment.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point. Synthetic sentiment is a deliberate design choice: its purpose is to provide a noisy market signal that agents must discount, not to replicate real-world sentiment dynamics. The fixed Gaussian baseline is augmented by phase-specific shifts during mania and panic phases (N(0.7, 0.2) and N(-0.8, 0.2) respectively), carrying scenario-relevant directional information appropriate to each market regime. We agree that real sentiment is autocorrelated, fat-tailed, and event-driven in ways our model does not capture. Importantly, the benchmark's core diagnostic value rests on the decoupling of Pt from Vt rather than on sentiment realism: the synthetic generator provides controlled, mathematically defined variables against which each metric measures a distinct behavioral failure (MAS against C_ideal, RG against Vt, CI against behavioral distributions), so the sentiment specification affects agent inputs but not the evaluation criteria themselves. We will add an explicit discussion of the sentiment model's scope and its relationship to the benchmark's evaluation validity in the limitations section in the camera-ready version. </w:t>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0"/>
          <w:szCs w:val="20"/>
        </w:rPr>
      </w:pPr>
      <w:r w:rsidDel="00000000" w:rsidR="00000000" w:rsidRPr="00000000">
        <w:rPr>
          <w:rFonts w:ascii="Calibri" w:cs="Calibri" w:eastAsia="Calibri" w:hAnsi="Calibri"/>
          <w:b w:val="1"/>
          <w:bCs w:val="1"/>
          <w:color w:val="2c3a4a"/>
          <w:sz w:val="20"/>
          <w:szCs w:val="20"/>
          <w:shd w:fill="f7f6f4" w:val="clear"/>
          <w:rtl w:val="0"/>
        </w:rPr>
        <w:t xml:space="preserve">W7.</w:t>
      </w:r>
      <w:r w:rsidDel="00000000" w:rsidR="00000000" w:rsidRPr="00000000">
        <w:rPr>
          <w:rFonts w:ascii="Calibri" w:cs="Calibri" w:eastAsia="Calibri" w:hAnsi="Calibri"/>
          <w:color w:val="333333"/>
          <w:sz w:val="20"/>
          <w:szCs w:val="20"/>
          <w:shd w:fill="f7f6f4" w:val="clear"/>
          <w:rtl w:val="0"/>
        </w:rPr>
        <w:t xml:space="preserve"> The 200-day horizon calibration (Appendix E) is statistically underpowered (N=9 vs. N=210 in the main experiment) and somewhat circular. Selecting T based on when significance appears in a small pilot introduces implicit multiple testing.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both observations. We acknowledge that the N=9 calibration cohort reduces statistical power and that selecting T based on observed significance introduces implicit multiple testing. We note, however, that T=200 was not selected as the minimum threshold where significance appeared; it was selected as a sufficient horizon that avoids false positives at short horizons (the spurious T=50 significance for Gemini 2.5 Flash that dissolved at T=200 illustrates this) while remaining computationally feasible for a 14-model, 210-pair main experiment.</w:t>
      </w:r>
    </w:p>
    <w:p w:rsidR="00000000" w:rsidDel="00000000" w:rsidP="00000000" w:rsidRDefault="00000000" w:rsidRPr="00000000" w14:paraId="0000006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Post-submission, we ran Claude Sonnet 4.6 at T=800 (four times the benchmark horizon) across all three scenarios and five seeds. The directional pattern is fully preserved: ENTJ memory continues to hurt (MAS 0.188 static vs. 0.341 memory), ISFJ memory continues to help (0.988 vs. 0.947), and INTJ remains neutral (0.474 vs. 0.480). MSD compounds beyond T=200 rather than plateauing, suggesting the main directional pattern is not merely an artifact of T=200. We will clarify the T-selection rationale in Appendix E and acknowledge the multiple testing limitation explicitly in the camera-ready version.</w:t>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8c1b13"/>
          <w:sz w:val="18"/>
          <w:szCs w:val="18"/>
          <w:shd w:fill="f7f6f4" w:val="clear"/>
        </w:rPr>
      </w:pPr>
      <w:r w:rsidDel="00000000" w:rsidR="00000000" w:rsidRPr="00000000">
        <w:rPr>
          <w:rFonts w:ascii="Calibri" w:cs="Calibri" w:eastAsia="Calibri" w:hAnsi="Calibri"/>
          <w:b w:val="1"/>
          <w:bCs w:val="1"/>
          <w:color w:val="8c1b13"/>
          <w:sz w:val="18"/>
          <w:szCs w:val="18"/>
          <w:shd w:fill="f7f6f4" w:val="clear"/>
          <w:rtl w:val="0"/>
        </w:rPr>
        <w:t xml:space="preserve">Questions To Authors:</w:t>
      </w:r>
    </w:p>
    <w:p w:rsidR="00000000" w:rsidDel="00000000" w:rsidP="00000000" w:rsidRDefault="00000000" w:rsidRPr="00000000" w14:paraId="00000070">
      <w:pPr>
        <w:numPr>
          <w:ilvl w:val="0"/>
          <w:numId w:val="6"/>
        </w:numPr>
        <w:pBdr>
          <w:top w:space="0" w:sz="0" w:val="nil"/>
          <w:bottom w:space="0" w:sz="0" w:val="nil"/>
          <w:right w:space="0" w:sz="0" w:val="nil"/>
          <w:between w:space="0" w:sz="0" w:val="nil"/>
        </w:pBdr>
        <w:spacing w:after="0" w:afterAutospacing="0" w:lineRule="auto"/>
        <w:ind w:left="720" w:hanging="360"/>
        <w:jc w:val="both"/>
        <w:rPr>
          <w:rFonts w:ascii="Calibri" w:cs="Calibri" w:eastAsia="Calibri" w:hAnsi="Calibri"/>
        </w:rPr>
      </w:pPr>
      <w:r w:rsidDel="00000000" w:rsidR="00000000" w:rsidRPr="00000000">
        <w:rPr>
          <w:rFonts w:ascii="Calibri" w:cs="Calibri" w:eastAsia="Calibri" w:hAnsi="Calibri"/>
          <w:color w:val="333333"/>
          <w:sz w:val="18"/>
          <w:szCs w:val="18"/>
          <w:rtl w:val="0"/>
        </w:rPr>
        <w:t xml:space="preserve">Did you test a placebo re-injection condition to isolate the recency positioning effect from the content of the mandate itself?</w:t>
      </w:r>
    </w:p>
    <w:p w:rsidR="00000000" w:rsidDel="00000000" w:rsidP="00000000" w:rsidRDefault="00000000" w:rsidRPr="00000000" w14:paraId="00000071">
      <w:pPr>
        <w:numPr>
          <w:ilvl w:val="0"/>
          <w:numId w:val="6"/>
        </w:numPr>
        <w:pBdr>
          <w:top w:space="0" w:sz="0" w:val="nil"/>
          <w:bottom w:space="0" w:sz="0" w:val="nil"/>
          <w:right w:space="0" w:sz="0" w:val="nil"/>
          <w:between w:space="0" w:sz="0" w:val="nil"/>
        </w:pBdr>
        <w:spacing w:after="0" w:afterAutospacing="0" w:lineRule="auto"/>
        <w:ind w:left="720" w:hanging="360"/>
        <w:jc w:val="both"/>
        <w:rPr>
          <w:rFonts w:ascii="Calibri" w:cs="Calibri" w:eastAsia="Calibri" w:hAnsi="Calibri"/>
        </w:rPr>
      </w:pPr>
      <w:r w:rsidDel="00000000" w:rsidR="00000000" w:rsidRPr="00000000">
        <w:rPr>
          <w:rFonts w:ascii="Calibri" w:cs="Calibri" w:eastAsia="Calibri" w:hAnsi="Calibri"/>
          <w:color w:val="333333"/>
          <w:sz w:val="18"/>
          <w:szCs w:val="18"/>
          <w:rtl w:val="0"/>
        </w:rPr>
        <w:t xml:space="preserve">How sensitive are the aggregate results to the specific wording of the Core Mandate prompts (Appendix B)? Have you tested paraphrased or abbreviated versions?</w:t>
      </w:r>
    </w:p>
    <w:p w:rsidR="00000000" w:rsidDel="00000000" w:rsidP="00000000" w:rsidRDefault="00000000" w:rsidRPr="00000000" w14:paraId="00000072">
      <w:pPr>
        <w:numPr>
          <w:ilvl w:val="0"/>
          <w:numId w:val="6"/>
        </w:numPr>
        <w:pBdr>
          <w:top w:space="0" w:sz="0" w:val="nil"/>
          <w:bottom w:space="0" w:sz="0" w:val="nil"/>
          <w:right w:space="0" w:sz="0" w:val="nil"/>
          <w:between w:space="0" w:sz="0" w:val="nil"/>
        </w:pBdr>
        <w:spacing w:after="0" w:afterAutospacing="0" w:lineRule="auto"/>
        <w:ind w:left="720" w:hanging="360"/>
        <w:jc w:val="both"/>
        <w:rPr>
          <w:rFonts w:ascii="Calibri" w:cs="Calibri" w:eastAsia="Calibri" w:hAnsi="Calibri"/>
        </w:rPr>
      </w:pPr>
      <w:r w:rsidDel="00000000" w:rsidR="00000000" w:rsidRPr="00000000">
        <w:rPr>
          <w:rFonts w:ascii="Calibri" w:cs="Calibri" w:eastAsia="Calibri" w:hAnsi="Calibri"/>
          <w:color w:val="333333"/>
          <w:sz w:val="18"/>
          <w:szCs w:val="18"/>
          <w:rtl w:val="0"/>
        </w:rPr>
        <w:t xml:space="preserve">The per-model results in Table 7 show Gemini 2.5 Flash </w:t>
      </w:r>
      <w:r w:rsidDel="00000000" w:rsidR="00000000" w:rsidRPr="00000000">
        <w:rPr>
          <w:rFonts w:ascii="Calibri" w:cs="Calibri" w:eastAsia="Calibri" w:hAnsi="Calibri"/>
          <w:color w:val="333333"/>
          <w:sz w:val="18"/>
          <w:szCs w:val="18"/>
          <w:rtl w:val="0"/>
        </w:rPr>
        <w:t xml:space="preserve">has negative</w:t>
      </w:r>
      <w:r w:rsidDel="00000000" w:rsidR="00000000" w:rsidRPr="00000000">
        <w:rPr>
          <w:rFonts w:ascii="Calibri" w:cs="Calibri" w:eastAsia="Calibri" w:hAnsi="Calibri"/>
          <w:color w:val="333333"/>
          <w:sz w:val="18"/>
          <w:szCs w:val="18"/>
          <w:rtl w:val="0"/>
        </w:rPr>
        <w:t xml:space="preserve"> crash CI gap (~28.3%), meaning re-grounding increases panic selling, yet Figure 4 highlights it as a "universal benefit" model. This appears inconsistent; could you clarify?</w:t>
      </w:r>
    </w:p>
    <w:p w:rsidR="00000000" w:rsidDel="00000000" w:rsidP="00000000" w:rsidRDefault="00000000" w:rsidRPr="00000000" w14:paraId="00000073">
      <w:pPr>
        <w:numPr>
          <w:ilvl w:val="0"/>
          <w:numId w:val="6"/>
        </w:numPr>
        <w:pBdr>
          <w:top w:space="0" w:sz="0" w:val="nil"/>
          <w:bottom w:space="0" w:sz="0" w:val="nil"/>
          <w:right w:space="0" w:sz="0" w:val="nil"/>
          <w:between w:space="0" w:sz="0" w:val="nil"/>
        </w:pBdr>
        <w:spacing w:after="120" w:lineRule="auto"/>
        <w:ind w:left="720" w:hanging="360"/>
        <w:jc w:val="both"/>
        <w:rPr>
          <w:rFonts w:ascii="Calibri" w:cs="Calibri" w:eastAsia="Calibri" w:hAnsi="Calibri"/>
        </w:rPr>
      </w:pPr>
      <w:r w:rsidDel="00000000" w:rsidR="00000000" w:rsidRPr="00000000">
        <w:rPr>
          <w:rFonts w:ascii="Calibri" w:cs="Calibri" w:eastAsia="Calibri" w:hAnsi="Calibri"/>
          <w:color w:val="333333"/>
          <w:sz w:val="18"/>
          <w:szCs w:val="18"/>
          <w:rtl w:val="0"/>
        </w:rPr>
        <w:t xml:space="preserve">For models where static agents outperform re-grounded agents (GPT-4o-mini, GPT-4.1-mini in crash), what is the mechanistic hypothesis? Is this specific to compressed-context architectures, and if so, how would a practitioner identify which model type they have before deployment?</w:t>
      </w:r>
    </w:p>
    <w:p w:rsidR="00000000" w:rsidDel="00000000" w:rsidP="00000000" w:rsidRDefault="00000000" w:rsidRPr="00000000" w14:paraId="000000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Q1: Did you test a placebo re-injection condition?</w:t>
      </w:r>
    </w:p>
    <w:p w:rsidR="00000000" w:rsidDel="00000000" w:rsidP="00000000" w:rsidRDefault="00000000" w:rsidRPr="00000000" w14:paraId="0000007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Yes, this is addressed in our response to W1 above. We ran a three-arm placebo-controlled experiment on Claude Sonnet 4.6 (flat scenario, 3 personas x 5 seeds) providing evidence that the re-grounding benefit is driven by mandate semantic content rather than positional recency. Please refer to Table R1 and the associated discussion in our W1 response.</w:t>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Q2: How sensitive are results to the specific wording of Core Mandate prompts?</w:t>
      </w:r>
    </w:p>
    <w:p w:rsidR="00000000" w:rsidDel="00000000" w:rsidP="00000000" w:rsidRDefault="00000000" w:rsidRPr="00000000" w14:paraId="0000007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question. We did not test paraphrased or abbreviated mandate variants in the submitted work, and we acknowledge this as a genuine open question. The numerical-only ablation (O3 condition, described in our W2 response) provides a partial answer: stripping the mandate to a bare two-sentence numerical description eliminates the overtrading penalty for aggressive personas entirely, providing partial evidence that mandate wording may matter beyond the C_ideal parameter alone. Systematic sensitivity analysis across paraphrased and abbreviated mandate variants is a valuable direction we will identify explicitly as future work in the camera-ready version. </w:t>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Q3: Gemini 2.5 Flash inconsistency between Figure 4 and Table 7.</w:t>
      </w:r>
    </w:p>
    <w:p w:rsidR="00000000" w:rsidDel="00000000" w:rsidP="00000000" w:rsidRDefault="00000000" w:rsidRPr="00000000" w14:paraId="0000007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correction. The submitted figure caption was mislabeled; Table 7 is the authoritative result, showing Gemini 2.5 Flash has a negative crash CI gap of -28.3%, meaning re-grounding increases panic selling for this model. We will correct the figure caption and ensure the per-model narrative in Section 4.4 accurately reflects Table 7 in the camera-ready version. </w:t>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Q4: Mechanistic hypothesis for mini model crash reversals? </w:t>
      </w:r>
    </w:p>
    <w:p w:rsidR="00000000" w:rsidDel="00000000" w:rsidP="00000000" w:rsidRDefault="00000000" w:rsidRPr="00000000" w14:paraId="0000008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question. To move beyond speculation, following reviewer feedback we conducted a rationale linguistic analysis on the crash-scenario agent outputs from the main experiment, applying two measures: a DistilBERT persona classifier (as described in W1 response) computing P(intended persona) per rationale, and a Lexical Conflict Rate (LCR) measuring the fraction of rationales simultaneously expressing mandate-aligned and stress-reactive language. Both lexicons were fixed before running the analysis, derived from the mandate texts in Appendix B, preventing post-hoc construction.</w:t>
      </w:r>
    </w:p>
    <w:p w:rsidR="00000000" w:rsidDel="00000000" w:rsidP="00000000" w:rsidRDefault="00000000" w:rsidRPr="00000000" w14:paraId="0000008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results reveal a signal interference mechanism in two stages. Without re-injection, mini models default to passive market-reactive behavior: their Q3 LCR is low (21.6% aggregate across GPT-4o-mini and GPT-4.1-mini) because they are not actively reconciling mandate identity with crash signals. Under memory re-injection, P(intended persona) rises </w:t>
      </w:r>
      <w:r w:rsidDel="00000000" w:rsidR="00000000" w:rsidRPr="00000000">
        <w:rPr>
          <w:rFonts w:ascii="Calibri" w:cs="Calibri" w:eastAsia="Calibri" w:hAnsi="Calibri"/>
          <w:rtl w:val="0"/>
        </w:rPr>
        <w:t xml:space="preserve">near ceiling</w:t>
      </w:r>
      <w:r w:rsidDel="00000000" w:rsidR="00000000" w:rsidRPr="00000000">
        <w:rPr>
          <w:rFonts w:ascii="Calibri" w:cs="Calibri" w:eastAsia="Calibri" w:hAnsi="Calibri"/>
          <w:rtl w:val="0"/>
        </w:rPr>
        <w:t xml:space="preserve"> (≥0.98) for both mini models, but Q3 LCR simultaneously doubles to 44.4%. The mandate reminder forces explicit </w:t>
      </w:r>
      <w:r w:rsidDel="00000000" w:rsidR="00000000" w:rsidRPr="00000000">
        <w:rPr>
          <w:rFonts w:ascii="Calibri" w:cs="Calibri" w:eastAsia="Calibri" w:hAnsi="Calibri"/>
          <w:rtl w:val="0"/>
        </w:rPr>
        <w:t xml:space="preserve">persona</w:t>
      </w:r>
      <w:r w:rsidDel="00000000" w:rsidR="00000000" w:rsidRPr="00000000">
        <w:rPr>
          <w:rFonts w:ascii="Calibri" w:cs="Calibri" w:eastAsia="Calibri" w:hAnsi="Calibri"/>
          <w:rtl w:val="0"/>
        </w:rPr>
        <w:t xml:space="preserve"> invocation at peak crash stress, and mini models appear to resolve this conflict by treating mandate language as an action trigger rather than a behavioral filter, reading "be decisive" as license to liquidate. We note that the two mini models are heterogeneous in their static baselines (GPT-4o-mini Q3 = 11.3% vs GPT-4.1-mini Q3 = 31.9%), so the doubling pattern holds at the aggregate level; the passive-disengagement explanation applies most cleanly to GPT-4o-mini.</w:t>
      </w:r>
    </w:p>
    <w:tbl>
      <w:tblPr>
        <w:tblStyle w:val="Table4"/>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250"/>
        <w:gridCol w:w="2855"/>
        <w:gridCol w:w="1100"/>
        <w:gridCol w:w="1025"/>
        <w:tblGridChange w:id="0">
          <w:tblGrid>
            <w:gridCol w:w="2030"/>
            <w:gridCol w:w="1250"/>
            <w:gridCol w:w="2855"/>
            <w:gridCol w:w="1100"/>
            <w:gridCol w:w="1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b w:val="1"/>
                <w:bCs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b w:val="1"/>
                <w:bCs w:val="1"/>
                <w:rtl w:val="0"/>
              </w:rPr>
              <w:t xml:space="preserve">P(intended) Q3+Q4 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b w:val="1"/>
                <w:bCs w:val="1"/>
                <w:rtl w:val="0"/>
              </w:rPr>
              <w:t xml:space="preserve">LCR Q3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b w:val="1"/>
                <w:bCs w:val="1"/>
                <w:rtl w:val="0"/>
              </w:rPr>
              <w:t xml:space="preserve">ΔLCR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Static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0.77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21.6%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jc w:val="both"/>
              <w:rPr>
                <w:rFonts w:ascii="Calibri" w:cs="Calibri" w:eastAsia="Calibri" w:hAnsi="Calibri"/>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jc w:val="both"/>
              <w:rPr>
                <w:rFonts w:ascii="Calibri" w:cs="Calibri" w:eastAsia="Calibri" w:hAnsi="Calibri"/>
              </w:rPr>
            </w:pPr>
            <w:r w:rsidDel="00000000" w:rsidR="00000000" w:rsidRPr="00000000">
              <w:rPr>
                <w:rFonts w:ascii="Calibri" w:cs="Calibri" w:eastAsia="Calibri" w:hAnsi="Calibri"/>
                <w:rtl w:val="0"/>
              </w:rPr>
              <w:t xml:space="preserv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0.98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44.4%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jc w:val="both"/>
              <w:rPr>
                <w:rFonts w:ascii="Calibri" w:cs="Calibri" w:eastAsia="Calibri" w:hAnsi="Calibri"/>
              </w:rPr>
            </w:pPr>
            <w:r w:rsidDel="00000000" w:rsidR="00000000" w:rsidRPr="00000000">
              <w:rPr>
                <w:rFonts w:ascii="Calibri" w:cs="Calibri" w:eastAsia="Calibri" w:hAnsi="Calibri"/>
                <w:rtl w:val="0"/>
              </w:rPr>
              <w:t xml:space="preserve">+22.8pp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rtl w:val="0"/>
              </w:rPr>
              <w:t xml:space="preserve">Flagship (GPT-4o)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rtl w:val="0"/>
              </w:rPr>
              <w:t xml:space="preserve">Static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jc w:val="both"/>
              <w:rPr>
                <w:rFonts w:ascii="Calibri" w:cs="Calibri" w:eastAsia="Calibri" w:hAnsi="Calibri"/>
              </w:rPr>
            </w:pPr>
            <w:r w:rsidDel="00000000" w:rsidR="00000000" w:rsidRPr="00000000">
              <w:rPr>
                <w:rFonts w:ascii="Calibri" w:cs="Calibri" w:eastAsia="Calibri" w:hAnsi="Calibri"/>
                <w:rtl w:val="0"/>
              </w:rPr>
              <w:t xml:space="preserve">0.75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19.9%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both"/>
              <w:rPr>
                <w:rFonts w:ascii="Calibri" w:cs="Calibri" w:eastAsia="Calibri" w:hAnsi="Calibri"/>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Flagship (GPT-4o)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jc w:val="both"/>
              <w:rPr>
                <w:rFonts w:ascii="Calibri" w:cs="Calibri" w:eastAsia="Calibri" w:hAnsi="Calibri"/>
              </w:rPr>
            </w:pPr>
            <w:r w:rsidDel="00000000" w:rsidR="00000000" w:rsidRPr="00000000">
              <w:rPr>
                <w:rFonts w:ascii="Calibri" w:cs="Calibri" w:eastAsia="Calibri" w:hAnsi="Calibri"/>
                <w:rtl w:val="0"/>
              </w:rPr>
              <w:t xml:space="preserve">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both"/>
              <w:rPr>
                <w:rFonts w:ascii="Calibri" w:cs="Calibri" w:eastAsia="Calibri" w:hAnsi="Calibri"/>
              </w:rPr>
            </w:pPr>
            <w:r w:rsidDel="00000000" w:rsidR="00000000" w:rsidRPr="00000000">
              <w:rPr>
                <w:rFonts w:ascii="Calibri" w:cs="Calibri" w:eastAsia="Calibri" w:hAnsi="Calibri"/>
                <w:rtl w:val="0"/>
              </w:rPr>
              <w:t xml:space="preserve">0.98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30.5%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rtl w:val="0"/>
              </w:rPr>
              <w:t xml:space="preserve">+10.6pp</w:t>
            </w:r>
          </w:p>
        </w:tc>
      </w:tr>
    </w:tbl>
    <w:p w:rsidR="00000000" w:rsidDel="00000000" w:rsidP="00000000" w:rsidRDefault="00000000" w:rsidRPr="00000000" w14:paraId="0000009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Mini models pay substantially larger conflict cost per unit of </w:t>
      </w:r>
      <w:r w:rsidDel="00000000" w:rsidR="00000000" w:rsidRPr="00000000">
        <w:rPr>
          <w:rFonts w:ascii="Calibri" w:cs="Calibri" w:eastAsia="Calibri" w:hAnsi="Calibri"/>
          <w:rtl w:val="0"/>
        </w:rPr>
        <w:t xml:space="preserve">persona</w:t>
      </w:r>
      <w:r w:rsidDel="00000000" w:rsidR="00000000" w:rsidRPr="00000000">
        <w:rPr>
          <w:rFonts w:ascii="Calibri" w:cs="Calibri" w:eastAsia="Calibri" w:hAnsi="Calibri"/>
          <w:rtl w:val="0"/>
        </w:rPr>
        <w:t xml:space="preserve"> adherence recovered relative to GPT-4o. GPT-4o avoids the reversal despite a +10.6pp ΔLCR, suggesting the reversal threshold lies above that level. Claude Sonnet 4.6 shows a categorically different pattern: its static Q3 LCR is already 67.1% before any re-injection, indicating a chronic high-conflict state across all quartiles rather than a crash-peak spike, a model-specific characteristic independent of the re-injection mechanism. </w:t>
      </w:r>
      <w:r w:rsidDel="00000000" w:rsidR="00000000" w:rsidRPr="00000000">
        <w:rPr>
          <w:rFonts w:ascii="Calibri" w:cs="Calibri" w:eastAsia="Calibri" w:hAnsi="Calibri"/>
          <w:rtl w:val="0"/>
        </w:rPr>
        <w:t xml:space="preserve">In this analysis, models with ΔLCR exceeding approximately 20pp under memory re-injection in crash conditions correspond to those showing the reversal failure, though we note this is a descriptive observation from a single scenario and model set rather than a validated deployment rule.</w:t>
      </w:r>
      <w:r w:rsidDel="00000000" w:rsidR="00000000" w:rsidRPr="00000000">
        <w:rPr>
          <w:rtl w:val="0"/>
        </w:rPr>
      </w:r>
    </w:p>
    <w:p w:rsidR="00000000" w:rsidDel="00000000" w:rsidP="00000000" w:rsidRDefault="00000000" w:rsidRPr="00000000" w14:paraId="0000009D">
      <w:pPr>
        <w:jc w:val="both"/>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We will add the rationale linguistic analysis and associated deployment caveats as Section 4.6 in the camera-ready version. </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kmt38dnotlr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Gxm9</w:t>
      </w:r>
      <w:r w:rsidDel="00000000" w:rsidR="00000000" w:rsidRPr="00000000">
        <w:rPr>
          <w:rtl w:val="0"/>
        </w:rPr>
      </w:r>
    </w:p>
    <w:p w:rsidR="00000000" w:rsidDel="00000000" w:rsidP="00000000" w:rsidRDefault="00000000" w:rsidRPr="00000000" w14:paraId="0000009F">
      <w:pPr>
        <w:pStyle w:val="Heading1"/>
        <w:jc w:val="both"/>
        <w:rPr>
          <w:rFonts w:ascii="Calibri" w:cs="Calibri" w:eastAsia="Calibri" w:hAnsi="Calibri"/>
          <w:b w:val="1"/>
          <w:bCs w:val="1"/>
          <w:sz w:val="28"/>
          <w:szCs w:val="28"/>
        </w:rPr>
      </w:pPr>
      <w:bookmarkStart w:colFirst="0" w:colLast="0" w:name="_9ezf60h3ruqf" w:id="3"/>
      <w:bookmarkEnd w:id="3"/>
      <w:r w:rsidDel="00000000" w:rsidR="00000000" w:rsidRPr="00000000">
        <w:rPr>
          <w:rFonts w:ascii="Calibri" w:cs="Calibri" w:eastAsia="Calibri" w:hAnsi="Calibri"/>
          <w:b w:val="1"/>
          <w:bCs w:val="1"/>
          <w:sz w:val="28"/>
          <w:szCs w:val="28"/>
          <w:rtl w:val="0"/>
        </w:rPr>
        <w:t xml:space="preserve">Reviewer Gxm9</w:t>
      </w:r>
    </w:p>
    <w:p w:rsidR="00000000" w:rsidDel="00000000" w:rsidP="00000000" w:rsidRDefault="00000000" w:rsidRPr="00000000" w14:paraId="000000A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color w:val="8c1b13"/>
          <w:sz w:val="20"/>
          <w:szCs w:val="20"/>
          <w:shd w:fill="f7f6f4" w:val="clear"/>
        </w:rPr>
      </w:pPr>
      <w:r w:rsidDel="00000000" w:rsidR="00000000" w:rsidRPr="00000000">
        <w:rPr>
          <w:rFonts w:ascii="Calibri" w:cs="Calibri" w:eastAsia="Calibri" w:hAnsi="Calibri"/>
          <w:b w:val="1"/>
          <w:bCs w:val="1"/>
          <w:color w:val="8c1b13"/>
          <w:sz w:val="20"/>
          <w:szCs w:val="20"/>
          <w:shd w:fill="f7f6f4" w:val="clear"/>
          <w:rtl w:val="0"/>
        </w:rPr>
        <w:t xml:space="preserve">Reasons To Reject:</w:t>
      </w:r>
    </w:p>
    <w:p w:rsidR="00000000" w:rsidDel="00000000" w:rsidP="00000000" w:rsidRDefault="00000000" w:rsidRPr="00000000" w14:paraId="000000A2">
      <w:pPr>
        <w:numPr>
          <w:ilvl w:val="0"/>
          <w:numId w:val="1"/>
        </w:numPr>
        <w:pBdr>
          <w:top w:space="0" w:sz="0" w:val="nil"/>
          <w:bottom w:space="0" w:sz="0" w:val="nil"/>
          <w:right w:space="0" w:sz="0" w:val="nil"/>
          <w:between w:space="0" w:sz="0" w:val="nil"/>
        </w:pBd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Lack of Fundamental Technical Contribution and Practical Value: While the paper proposes a new benchmark, the work largely remains at the level of behavioral observation and basic prompt engineering. Furthermore, because the evaluation environment is severely disconnected from the complexities of real-world financial markets, the findings offer no practical application value for high-stakes financial domains (e.g., real quantitative trading or risk management).</w:t>
      </w:r>
    </w:p>
    <w:p w:rsidR="00000000" w:rsidDel="00000000" w:rsidP="00000000" w:rsidRDefault="00000000" w:rsidRPr="00000000" w14:paraId="000000A3">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critique. To clarify the core technical contribution: it is the controlled evaluation setting, not the prompt architecture. The synthetic market engine mathematically decouples observable price from hidden fundamental value via independent stochastic noise processes, making falsifiable ground-truth evaluation possible: mandate violations are measured as deviations from the generating function itself, not from subjective consensus. This property distinguishes our benchmark from historical-market evaluations, where the correct action is often debatable. </w:t>
      </w:r>
    </w:p>
    <w:p w:rsidR="00000000" w:rsidDel="00000000" w:rsidP="00000000" w:rsidRDefault="00000000" w:rsidRPr="00000000" w14:paraId="000000A4">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 practical value, we agree the benchmark does not replicate a live trading desk, and we make no such claim. The scope of FinPersona-Bench is to provide a controlled, contamination-free setting in which MSD can be measured with mathematical ground truth, an important step toward reliable diagnostics of LLM agent behavior. The practical contribution is the diagnostic finding: that mandate salience decays in a structured, measurable way, and that situation-aware re-grounding can be useful or necessary under diagnosed persona-scenario alignment.</w:t>
      </w:r>
    </w:p>
    <w:p w:rsidR="00000000" w:rsidDel="00000000" w:rsidP="00000000" w:rsidRDefault="00000000" w:rsidRPr="00000000" w14:paraId="000000A5">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provide robustness evidence beyond proprietary APIs, we ran post-submission experiments on four open-source models (Llama-3.1-8B, Qwen2.5-7B, Gemma-2-9B, Gemma-3-4B). The persona-language adherence result appears consistent: memory re-injection improves P(intended persona) in all four models. We note that Cliff's delta = 1.0 and confidence intervals never cross zero; these statistics are based on the P(intended persona) classifier score and reflect persona-language consistency, not direct trading behavior.</w:t>
      </w:r>
    </w:p>
    <w:tbl>
      <w:tblPr>
        <w:tblStyle w:val="Table5"/>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415"/>
        <w:gridCol w:w="2075"/>
        <w:gridCol w:w="2375"/>
        <w:gridCol w:w="905"/>
        <w:tblGridChange w:id="0">
          <w:tblGrid>
            <w:gridCol w:w="1580"/>
            <w:gridCol w:w="1415"/>
            <w:gridCol w:w="2075"/>
            <w:gridCol w:w="2375"/>
            <w:gridCol w:w="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jc w:val="both"/>
              <w:rPr>
                <w:rFonts w:ascii="Calibri" w:cs="Calibri" w:eastAsia="Calibri" w:hAnsi="Calibri"/>
              </w:rPr>
            </w:pPr>
            <w:r w:rsidDel="00000000" w:rsidR="00000000" w:rsidRPr="00000000">
              <w:rPr>
                <w:rFonts w:ascii="Calibri" w:cs="Calibri" w:eastAsia="Calibri" w:hAnsi="Calibri"/>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jc w:val="both"/>
              <w:rPr>
                <w:rFonts w:ascii="Calibri" w:cs="Calibri" w:eastAsia="Calibri" w:hAnsi="Calibri"/>
              </w:rPr>
            </w:pPr>
            <w:r w:rsidDel="00000000" w:rsidR="00000000" w:rsidRPr="00000000">
              <w:rPr>
                <w:rFonts w:ascii="Calibri" w:cs="Calibri" w:eastAsia="Calibri" w:hAnsi="Calibri"/>
                <w:b w:val="1"/>
                <w:bCs w:val="1"/>
                <w:rtl w:val="0"/>
              </w:rPr>
              <w:t xml:space="preserve">P(intended) 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b w:val="1"/>
                <w:bCs w:val="1"/>
                <w:rtl w:val="0"/>
              </w:rPr>
              <w:t xml:space="preserve">P(intended) Memory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jc w:val="both"/>
              <w:rPr>
                <w:rFonts w:ascii="Calibri" w:cs="Calibri" w:eastAsia="Calibri" w:hAnsi="Calibri"/>
              </w:rPr>
            </w:pPr>
            <w:r w:rsidDel="00000000" w:rsidR="00000000" w:rsidRPr="00000000">
              <w:rPr>
                <w:rFonts w:ascii="Calibri" w:cs="Calibri" w:eastAsia="Calibri" w:hAnsi="Calibri"/>
                <w:b w:val="1"/>
                <w:bCs w:val="1"/>
                <w:rtl w:val="0"/>
              </w:rPr>
              <w:t xml:space="preserve">Δ</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Llama-3.1-8B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8B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0.617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0.963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+0.346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Gemma-2-9B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9B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0.659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0.890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+0.231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Qwen2.5-7B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7B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0.742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0.946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+0.203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Gemma-3-4B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4B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0.858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0.952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jc w:val="both"/>
              <w:rPr>
                <w:rFonts w:ascii="Calibri" w:cs="Calibri" w:eastAsia="Calibri" w:hAnsi="Calibri"/>
              </w:rPr>
            </w:pPr>
            <w:r w:rsidDel="00000000" w:rsidR="00000000" w:rsidRPr="00000000">
              <w:rPr>
                <w:rFonts w:ascii="Calibri" w:cs="Calibri" w:eastAsia="Calibri" w:hAnsi="Calibri"/>
                <w:rtl w:val="0"/>
              </w:rPr>
              <w:t xml:space="preserve">+0.093</w:t>
            </w:r>
          </w:p>
        </w:tc>
      </w:tr>
    </w:tbl>
    <w:p w:rsidR="00000000" w:rsidDel="00000000" w:rsidP="00000000" w:rsidRDefault="00000000" w:rsidRPr="00000000" w14:paraId="000000BF">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Persona-language drift is observable in all four models: static agents consistently show lower persona-language adherence than memory-augmented ones. The re-grounding response is heterogeneous: Llama-3.1-8B shows large behavioral improvement consistent with frontier models, while Qwen2.5-7B shows a dissociation where memory re-injection produces persona-consistent language without correcting actual trading behavior. This dissociation is itself a finding of practical relevance: for weaker open-source models, mandate refresh may be stylistic rather than behavioral, and classifier-level persona adherence is not a sufficient proxy for behavioral compliance. We will report these results and this distinction explicitly in the camera-ready version.</w:t>
      </w:r>
    </w:p>
    <w:p w:rsidR="00000000" w:rsidDel="00000000" w:rsidP="00000000" w:rsidRDefault="00000000" w:rsidRPr="00000000" w14:paraId="000000C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numPr>
          <w:ilvl w:val="0"/>
          <w:numId w:val="7"/>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Unscientific Basis for Personas (Over-reliance on MBTI): Using the widely discredited MBTI framework as the foundation for agent personas severely undermines the rigor of the "psychometric" claims. This makes the personas feel like ad-hoc archetypes rather than principled profiles. Adopting a scientifically validated framework like the Big Five (OCEAN) would be necessary to provide a solid theoretical grounding.</w:t>
      </w:r>
    </w:p>
    <w:p w:rsidR="00000000" w:rsidDel="00000000" w:rsidP="00000000" w:rsidRDefault="00000000" w:rsidRPr="00000000" w14:paraId="000000C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critique. We adopted MBTI not as a validated personality assessment tool but as a structured behavioral vocabulary, consistent with established practice in LLM persona research. We acknowledge this limitation and make no trait-validity claims. Critically, MBTI structurally cannot encode Neuroticism, the Big Five trait most predictive of panic-driven financial behavior; Furnham (1996) confirmed that NEO-PI Neuroticism is not reliably related to any MBTI subscale. </w:t>
      </w:r>
    </w:p>
    <w:p w:rsidR="00000000" w:rsidDel="00000000" w:rsidP="00000000" w:rsidRDefault="00000000" w:rsidRPr="00000000" w14:paraId="000000C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test the robustness of our findings under a validated framework following reviewer feedback, we ran 180 new simulations using Big Five personas grounded in the validated Five-Factor Model (Costa &amp; McCrae, 1992): O1-Conservative (high Conscientiousness and Neuroticism, low Openness; C_ideal = 1.0) and O2-Aggressive (high Openness and Extraversion, low Neuroticism and Agreeableness; C_ideal = 0.2), across three representative models (Claude Sonnet 4.6, GPT-4o-mini, and Gemini 2.5 Flash), three scenarios, and five seeds. To further isolate the contribution of persona-trait language from the numerical target alone, we also ran an O3 numerical-only condition comprising 60 additional runs: no persona-trait language, only a two-sentence description embedding C_ideal and a bare risk orientation, with re-injection limited to the target allocation reminder.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7273673257023"/>
        <w:gridCol w:w="1538.8969823100936"/>
        <w:gridCol w:w="1816.4828303850154"/>
        <w:gridCol w:w="1290.5306971904267"/>
        <w:gridCol w:w="2532.3621227887616"/>
        <w:tblGridChange w:id="0">
          <w:tblGrid>
            <w:gridCol w:w="2181.7273673257023"/>
            <w:gridCol w:w="1538.8969823100936"/>
            <w:gridCol w:w="1816.4828303850154"/>
            <w:gridCol w:w="1290.5306971904267"/>
            <w:gridCol w:w="2532.36212278876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jc w:val="both"/>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jc w:val="both"/>
              <w:rPr>
                <w:rFonts w:ascii="Calibri" w:cs="Calibri" w:eastAsia="Calibri" w:hAnsi="Calibri"/>
              </w:rPr>
            </w:pPr>
            <w:r w:rsidDel="00000000" w:rsidR="00000000" w:rsidRPr="00000000">
              <w:rPr>
                <w:rFonts w:ascii="Calibri" w:cs="Calibri" w:eastAsia="Calibri" w:hAnsi="Calibri"/>
                <w:b w:val="1"/>
                <w:bCs w:val="1"/>
                <w:rtl w:val="0"/>
              </w:rPr>
              <w:t xml:space="preserve">Conservative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jc w:val="both"/>
              <w:rPr>
                <w:rFonts w:ascii="Calibri" w:cs="Calibri" w:eastAsia="Calibri" w:hAnsi="Calibri"/>
              </w:rPr>
            </w:pPr>
            <w:r w:rsidDel="00000000" w:rsidR="00000000" w:rsidRPr="00000000">
              <w:rPr>
                <w:rFonts w:ascii="Calibri" w:cs="Calibri" w:eastAsia="Calibri" w:hAnsi="Calibri"/>
                <w:b w:val="1"/>
                <w:bCs w:val="1"/>
                <w:rtl w:val="0"/>
              </w:rPr>
              <w:t xml:space="preserve">Aggressive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MBTI (ISFJ/ENTJ)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-0.173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jc w:val="both"/>
              <w:rPr>
                <w:rFonts w:ascii="Calibri" w:cs="Calibri" w:eastAsia="Calibri" w:hAnsi="Calibri"/>
              </w:rPr>
            </w:pPr>
            <w:r w:rsidDel="00000000" w:rsidR="00000000" w:rsidRPr="00000000">
              <w:rPr>
                <w:rFonts w:ascii="Calibri" w:cs="Calibri" w:eastAsia="Calibri" w:hAnsi="Calibri"/>
                <w:rtl w:val="0"/>
              </w:rPr>
              <w:t xml:space="preserve">+0.112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jc w:val="both"/>
              <w:rPr>
                <w:rFonts w:ascii="Calibri" w:cs="Calibri" w:eastAsia="Calibri" w:hAnsi="Calibri"/>
              </w:rPr>
            </w:pPr>
            <w:r w:rsidDel="00000000" w:rsidR="00000000" w:rsidRPr="00000000">
              <w:rPr>
                <w:rFonts w:ascii="Calibri" w:cs="Calibri" w:eastAsia="Calibri" w:hAnsi="Calibri"/>
                <w:rtl w:val="0"/>
              </w:rPr>
              <w:t xml:space="preserve">OCEAN (O1/O2)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jc w:val="both"/>
              <w:rPr>
                <w:rFonts w:ascii="Calibri" w:cs="Calibri" w:eastAsia="Calibri" w:hAnsi="Calibri"/>
              </w:rPr>
            </w:pPr>
            <w:r w:rsidDel="00000000" w:rsidR="00000000" w:rsidRPr="00000000">
              <w:rPr>
                <w:rFonts w:ascii="Calibri" w:cs="Calibri" w:eastAsia="Calibri" w:hAnsi="Calibri"/>
                <w:rtl w:val="0"/>
              </w:rPr>
              <w:t xml:space="preserve">-0.292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+0.131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Numerical only (O3)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rtl w:val="0"/>
              </w:rPr>
              <w:t xml:space="preserve">Floor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jc w:val="both"/>
              <w:rPr>
                <w:rFonts w:ascii="Calibri" w:cs="Calibri" w:eastAsia="Calibri" w:hAnsi="Calibri"/>
              </w:rPr>
            </w:pPr>
            <w:r w:rsidDel="00000000" w:rsidR="00000000" w:rsidRPr="00000000">
              <w:rPr>
                <w:rFonts w:ascii="Calibri" w:cs="Calibri" w:eastAsia="Calibri" w:hAnsi="Calibri"/>
                <w:rtl w:val="0"/>
              </w:rPr>
              <w:t xml:space="preserve">-0.028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Memory helps (reversal)</w:t>
            </w:r>
          </w:p>
        </w:tc>
      </w:tr>
    </w:tbl>
    <w:p w:rsidR="00000000" w:rsidDel="00000000" w:rsidP="00000000" w:rsidRDefault="00000000" w:rsidRPr="00000000" w14:paraId="000000D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R4.</w:t>
      </w:r>
      <w:r w:rsidDel="00000000" w:rsidR="00000000" w:rsidRPr="00000000">
        <w:rPr>
          <w:rFonts w:ascii="Calibri" w:cs="Calibri" w:eastAsia="Calibri" w:hAnsi="Calibri"/>
          <w:rtl w:val="0"/>
        </w:rPr>
        <w:t xml:space="preserve"> Flat-market MAS gap (memory minus static) per framework, reported for Claude Sonnet 4.6 as a representative model; cross-model OCEAN results reported below. Negative = memory helps; positive = memory hurts. </w:t>
      </w:r>
    </w:p>
    <w:p w:rsidR="00000000" w:rsidDel="00000000" w:rsidP="00000000" w:rsidRDefault="00000000" w:rsidRPr="00000000" w14:paraId="000000D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bidirectional alignment finding replicates under OCEAN for Claude Sonnet 4.6 and Gemini 2.5 Flash. For GPT-4o-mini, the O1-Conservative persona already achieves perfect mandate adherence in the static condition (MAS = 0.000), leaving no room for re-grounding to improve further; this is a ceiling effect on adherence rather than a contradictory result. Pooled across all three models and five seeds, the O1-Conservative memory gap is -0.112 (helps) and the O2-Aggressive gap is +0.187 (hurts), preserving the bidirectional pattern.</w:t>
      </w:r>
    </w:p>
    <w:p w:rsidR="00000000" w:rsidDel="00000000" w:rsidP="00000000" w:rsidRDefault="00000000" w:rsidRPr="00000000" w14:paraId="000000D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O3 results show that stripping all persona-trait language and retaining only C_ideal eliminates the overtrading penalty for the aggressive persona entirely: re-injection produces a small benefit (-0.028) rather than the harm seen under both MBTI (+0.112) and OCEAN (+0.131). This suggests that mandate-language content matters beyond the numerical target alone, and that the core MSD finding is not an artifact of the MBTI framework. We will include these results as a robustness check and update the limitations section in the camera-ready version. </w:t>
      </w:r>
    </w:p>
    <w:p w:rsidR="00000000" w:rsidDel="00000000" w:rsidP="00000000" w:rsidRDefault="00000000" w:rsidRPr="00000000" w14:paraId="000000DB">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0DC">
      <w:pPr>
        <w:spacing w:after="240" w:before="240" w:lineRule="auto"/>
        <w:jc w:val="both"/>
        <w:rPr>
          <w:rFonts w:ascii="Courier Prime" w:cs="Courier Prime" w:eastAsia="Courier Prime" w:hAnsi="Courier Prime"/>
          <w:sz w:val="20"/>
          <w:szCs w:val="20"/>
        </w:rPr>
      </w:pPr>
      <w:r w:rsidDel="00000000" w:rsidR="00000000" w:rsidRPr="00000000">
        <w:rPr>
          <w:rFonts w:ascii="Courier Prime" w:cs="Courier Prime" w:eastAsia="Courier Prime" w:hAnsi="Courier Prime"/>
          <w:sz w:val="20"/>
          <w:szCs w:val="20"/>
          <w:rtl w:val="0"/>
        </w:rPr>
        <w:t xml:space="preserve">Furnham, A. (1996). The big five versus the big four: the relationship between the Myers-Briggs Type Indicator (MBTI) and NEO-PI five factor model of personality. </w:t>
      </w:r>
      <w:r w:rsidDel="00000000" w:rsidR="00000000" w:rsidRPr="00000000">
        <w:rPr>
          <w:rFonts w:ascii="Courier Prime" w:cs="Courier Prime" w:eastAsia="Courier Prime" w:hAnsi="Courier Prime"/>
          <w:i w:val="1"/>
          <w:iCs w:val="1"/>
          <w:sz w:val="20"/>
          <w:szCs w:val="20"/>
          <w:rtl w:val="0"/>
        </w:rPr>
        <w:t xml:space="preserve">Personality and Individual Differences, 21</w:t>
      </w:r>
      <w:r w:rsidDel="00000000" w:rsidR="00000000" w:rsidRPr="00000000">
        <w:rPr>
          <w:rFonts w:ascii="Courier Prime" w:cs="Courier Prime" w:eastAsia="Courier Prime" w:hAnsi="Courier Prime"/>
          <w:sz w:val="20"/>
          <w:szCs w:val="20"/>
          <w:rtl w:val="0"/>
        </w:rPr>
        <w:t xml:space="preserve">(2), 303–307.</w:t>
      </w:r>
    </w:p>
    <w:p w:rsidR="00000000" w:rsidDel="00000000" w:rsidP="00000000" w:rsidRDefault="00000000" w:rsidRPr="00000000" w14:paraId="000000DD">
      <w:pPr>
        <w:spacing w:after="240" w:before="240" w:lineRule="auto"/>
        <w:jc w:val="both"/>
        <w:rPr>
          <w:rFonts w:ascii="Calibri" w:cs="Calibri" w:eastAsia="Calibri" w:hAnsi="Calibri"/>
        </w:rPr>
      </w:pPr>
      <w:r w:rsidDel="00000000" w:rsidR="00000000" w:rsidRPr="00000000">
        <w:rPr>
          <w:rFonts w:ascii="Courier Prime" w:cs="Courier Prime" w:eastAsia="Courier Prime" w:hAnsi="Courier Prime"/>
          <w:sz w:val="20"/>
          <w:szCs w:val="20"/>
          <w:rtl w:val="0"/>
        </w:rPr>
        <w:t xml:space="preserve">Costa, P. T., &amp; McCrae, R. R. (1992). </w:t>
      </w:r>
      <w:r w:rsidDel="00000000" w:rsidR="00000000" w:rsidRPr="00000000">
        <w:rPr>
          <w:rFonts w:ascii="Courier Prime" w:cs="Courier Prime" w:eastAsia="Courier Prime" w:hAnsi="Courier Prime"/>
          <w:i w:val="1"/>
          <w:iCs w:val="1"/>
          <w:sz w:val="20"/>
          <w:szCs w:val="20"/>
          <w:rtl w:val="0"/>
        </w:rPr>
        <w:t xml:space="preserve">Revised NEO Personality Inventory (NEO-PI-R) and NEO Five-Factor Inventory (NEO-FFI) professional manual.</w:t>
      </w:r>
      <w:r w:rsidDel="00000000" w:rsidR="00000000" w:rsidRPr="00000000">
        <w:rPr>
          <w:rFonts w:ascii="Courier Prime" w:cs="Courier Prime" w:eastAsia="Courier Prime" w:hAnsi="Courier Prime"/>
          <w:sz w:val="20"/>
          <w:szCs w:val="20"/>
          <w:rtl w:val="0"/>
        </w:rPr>
        <w:t xml:space="preserve"> Psychological Assessment Resources.</w:t>
      </w:r>
      <w:r w:rsidDel="00000000" w:rsidR="00000000" w:rsidRPr="00000000">
        <w:rPr>
          <w:rtl w:val="0"/>
        </w:rPr>
      </w:r>
    </w:p>
    <w:p w:rsidR="00000000" w:rsidDel="00000000" w:rsidP="00000000" w:rsidRDefault="00000000" w:rsidRPr="00000000" w14:paraId="000000D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numPr>
          <w:ilvl w:val="0"/>
          <w:numId w:val="3"/>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Unrealistic Market Simulation: The "single-agent, single-asset" synthetic market is overly simplistic. It strips away essential characteristics of real financial markets, such as portfolio effects, inter-asset correlations, and multi-agent adversarial dynamics. This extreme simplification further corroborates the aforementioned lack of practical financial application value and severely limits the generalizability of the findings.</w:t>
      </w:r>
    </w:p>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point and acknowledge the limitation directly. The single-agent, single-asset design intentionally excludes portfolio effects, inter-asset correlations, and multi-agent dynamics, and expanding to these settings remains future work. As noted in our response to Weakness 1, this simplification is a deliberate first-step tradeoff: the falsifiable ground truth that distinguishes FinPersona-Bench from existing simulations requires a controlled environment where intrinsic value is mathematically defined. Introducing multi-asset correlations and adversarial dynamics would reintroduce the epistemic subjectivity the benchmark was designed to eliminate. We will make this design rationale explicit in the limitations section in the camera-ready version. </w:t>
      </w:r>
    </w:p>
    <w:p w:rsidR="00000000" w:rsidDel="00000000" w:rsidP="00000000" w:rsidRDefault="00000000" w:rsidRPr="00000000" w14:paraId="000000E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numPr>
          <w:ilvl w:val="0"/>
          <w:numId w:val="9"/>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Lack of Empirical Evidence for Attributed Anomalies: The paper attributes the performance reversal of GPT "Mini" models in crash scenarios (where static models unexpectedly outperform memory-augmented ones) to "signal interference." This is purely subjective speculation. There is no in-depth analysis of attention mechanisms or generated "Rationales" to prove this causal relationship, leaving the argumentation in this section lacking in scientific rigor.</w:t>
      </w:r>
    </w:p>
    <w:p w:rsidR="00000000" w:rsidDel="00000000" w:rsidP="00000000" w:rsidRDefault="00000000" w:rsidRPr="00000000" w14:paraId="000000E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critique and agree that the signal interference explanation warranted stronger empirical grounding. Following reviewer feedback, we conducted a rationale linguistic analysis on the crash-scenario agent outputs from the main experiment to provide direct empirical grounding, applying two measures: a DistilBERT persona classifier (fine-tuned on days 1-5 agent rationales from 4 representative frontier models in the main simulation with ~93-95% held-out accuracy) computing P(intended persona) per rationale, and a Lexical Conflict Rate (LCR) measuring the fraction of rationales simultaneously expressing mandate-aligned and stress-reactive language. No new simulations were required.</w:t>
      </w:r>
    </w:p>
    <w:p w:rsidR="00000000" w:rsidDel="00000000" w:rsidP="00000000" w:rsidRDefault="00000000" w:rsidRPr="00000000" w14:paraId="000000E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results suggest a plausible two-stage signal interference explanation. Without re-injection, mini models default to passive market-reactive behavior; their Q3 LCR is low (21.6%) because they are not actively reconciling mandate identity with crash signals. Under memory re-injection, P(intended persona) rises </w:t>
      </w:r>
      <w:r w:rsidDel="00000000" w:rsidR="00000000" w:rsidRPr="00000000">
        <w:rPr>
          <w:rFonts w:ascii="Calibri" w:cs="Calibri" w:eastAsia="Calibri" w:hAnsi="Calibri"/>
          <w:rtl w:val="0"/>
        </w:rPr>
        <w:t xml:space="preserve">near ceiling</w:t>
      </w:r>
      <w:r w:rsidDel="00000000" w:rsidR="00000000" w:rsidRPr="00000000">
        <w:rPr>
          <w:rFonts w:ascii="Calibri" w:cs="Calibri" w:eastAsia="Calibri" w:hAnsi="Calibri"/>
          <w:rtl w:val="0"/>
        </w:rPr>
        <w:t xml:space="preserve"> (≥0.98) but Q3 LCR simultaneously doubles to 44.4%. Mini models appear to resolve this conflict by treating mandate language as an action trigger rather than a behavioral filter, reading "be decisive" as license to liquidate. GPT-4o avoids this reversal; Claude Sonnet 4.6, despite being a flagship model, shows elevated baseline LCR (67.1% in Q3), suggesting model-specific sensitivity independent of scale.</w:t>
      </w:r>
    </w:p>
    <w:tbl>
      <w:tblPr>
        <w:tblStyle w:val="Table7"/>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250"/>
        <w:gridCol w:w="2855"/>
        <w:gridCol w:w="1100"/>
        <w:gridCol w:w="1025"/>
        <w:tblGridChange w:id="0">
          <w:tblGrid>
            <w:gridCol w:w="2030"/>
            <w:gridCol w:w="1250"/>
            <w:gridCol w:w="2855"/>
            <w:gridCol w:w="1100"/>
            <w:gridCol w:w="1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both"/>
              <w:rPr>
                <w:rFonts w:ascii="Calibri" w:cs="Calibri" w:eastAsia="Calibri" w:hAnsi="Calibri"/>
              </w:rPr>
            </w:pPr>
            <w:r w:rsidDel="00000000" w:rsidR="00000000" w:rsidRPr="00000000">
              <w:rPr>
                <w:rFonts w:ascii="Calibri" w:cs="Calibri" w:eastAsia="Calibri" w:hAnsi="Calibri"/>
                <w:b w:val="1"/>
                <w:bCs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jc w:val="both"/>
              <w:rPr>
                <w:rFonts w:ascii="Calibri" w:cs="Calibri" w:eastAsia="Calibri" w:hAnsi="Calibri"/>
              </w:rPr>
            </w:pPr>
            <w:r w:rsidDel="00000000" w:rsidR="00000000" w:rsidRPr="00000000">
              <w:rPr>
                <w:rFonts w:ascii="Calibri" w:cs="Calibri" w:eastAsia="Calibri" w:hAnsi="Calibri"/>
                <w:b w:val="1"/>
                <w:bCs w:val="1"/>
                <w:rtl w:val="0"/>
              </w:rPr>
              <w:t xml:space="preserve">P(intended) Q3+Q4 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jc w:val="both"/>
              <w:rPr>
                <w:rFonts w:ascii="Calibri" w:cs="Calibri" w:eastAsia="Calibri" w:hAnsi="Calibri"/>
              </w:rPr>
            </w:pPr>
            <w:r w:rsidDel="00000000" w:rsidR="00000000" w:rsidRPr="00000000">
              <w:rPr>
                <w:rFonts w:ascii="Calibri" w:cs="Calibri" w:eastAsia="Calibri" w:hAnsi="Calibri"/>
                <w:b w:val="1"/>
                <w:bCs w:val="1"/>
                <w:rtl w:val="0"/>
              </w:rPr>
              <w:t xml:space="preserve">LCR Q3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jc w:val="both"/>
              <w:rPr>
                <w:rFonts w:ascii="Calibri" w:cs="Calibri" w:eastAsia="Calibri" w:hAnsi="Calibri"/>
              </w:rPr>
            </w:pPr>
            <w:r w:rsidDel="00000000" w:rsidR="00000000" w:rsidRPr="00000000">
              <w:rPr>
                <w:rFonts w:ascii="Calibri" w:cs="Calibri" w:eastAsia="Calibri" w:hAnsi="Calibri"/>
                <w:b w:val="1"/>
                <w:bCs w:val="1"/>
                <w:rtl w:val="0"/>
              </w:rPr>
              <w:t xml:space="preserve">ΔLCR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rtl w:val="0"/>
              </w:rPr>
              <w:t xml:space="preserve">Static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jc w:val="both"/>
              <w:rPr>
                <w:rFonts w:ascii="Calibri" w:cs="Calibri" w:eastAsia="Calibri" w:hAnsi="Calibri"/>
              </w:rPr>
            </w:pPr>
            <w:r w:rsidDel="00000000" w:rsidR="00000000" w:rsidRPr="00000000">
              <w:rPr>
                <w:rFonts w:ascii="Calibri" w:cs="Calibri" w:eastAsia="Calibri" w:hAnsi="Calibri"/>
                <w:rtl w:val="0"/>
              </w:rPr>
              <w:t xml:space="preserve">0.77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21.6%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jc w:val="both"/>
              <w:rPr>
                <w:rFonts w:ascii="Calibri" w:cs="Calibri" w:eastAsia="Calibri" w:hAnsi="Calibri"/>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rtl w:val="0"/>
              </w:rPr>
              <w:t xml:space="preserve">0.98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jc w:val="both"/>
              <w:rPr>
                <w:rFonts w:ascii="Calibri" w:cs="Calibri" w:eastAsia="Calibri" w:hAnsi="Calibri"/>
              </w:rPr>
            </w:pPr>
            <w:r w:rsidDel="00000000" w:rsidR="00000000" w:rsidRPr="00000000">
              <w:rPr>
                <w:rFonts w:ascii="Calibri" w:cs="Calibri" w:eastAsia="Calibri" w:hAnsi="Calibri"/>
                <w:rtl w:val="0"/>
              </w:rPr>
              <w:t xml:space="preserve">44.4%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+22.8pp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Flagship (GPT-4o)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jc w:val="both"/>
              <w:rPr>
                <w:rFonts w:ascii="Calibri" w:cs="Calibri" w:eastAsia="Calibri" w:hAnsi="Calibri"/>
              </w:rPr>
            </w:pPr>
            <w:r w:rsidDel="00000000" w:rsidR="00000000" w:rsidRPr="00000000">
              <w:rPr>
                <w:rFonts w:ascii="Calibri" w:cs="Calibri" w:eastAsia="Calibri" w:hAnsi="Calibri"/>
                <w:rtl w:val="0"/>
              </w:rPr>
              <w:t xml:space="preserve">Static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0.75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19.9%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jc w:val="both"/>
              <w:rPr>
                <w:rFonts w:ascii="Calibri" w:cs="Calibri" w:eastAsia="Calibri" w:hAnsi="Calibri"/>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Flagship (GPT-4o)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jc w:val="both"/>
              <w:rPr>
                <w:rFonts w:ascii="Calibri" w:cs="Calibri" w:eastAsia="Calibri" w:hAnsi="Calibri"/>
              </w:rPr>
            </w:pPr>
            <w:r w:rsidDel="00000000" w:rsidR="00000000" w:rsidRPr="00000000">
              <w:rPr>
                <w:rFonts w:ascii="Calibri" w:cs="Calibri" w:eastAsia="Calibri" w:hAnsi="Calibri"/>
                <w:rtl w:val="0"/>
              </w:rPr>
              <w:t xml:space="preserve">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0.98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jc w:val="both"/>
              <w:rPr>
                <w:rFonts w:ascii="Calibri" w:cs="Calibri" w:eastAsia="Calibri" w:hAnsi="Calibri"/>
              </w:rPr>
            </w:pPr>
            <w:r w:rsidDel="00000000" w:rsidR="00000000" w:rsidRPr="00000000">
              <w:rPr>
                <w:rFonts w:ascii="Calibri" w:cs="Calibri" w:eastAsia="Calibri" w:hAnsi="Calibri"/>
                <w:rtl w:val="0"/>
              </w:rPr>
              <w:t xml:space="preserve">30.5%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jc w:val="both"/>
              <w:rPr>
                <w:rFonts w:ascii="Calibri" w:cs="Calibri" w:eastAsia="Calibri" w:hAnsi="Calibri"/>
              </w:rPr>
            </w:pPr>
            <w:r w:rsidDel="00000000" w:rsidR="00000000" w:rsidRPr="00000000">
              <w:rPr>
                <w:rFonts w:ascii="Calibri" w:cs="Calibri" w:eastAsia="Calibri" w:hAnsi="Calibri"/>
                <w:rtl w:val="0"/>
              </w:rPr>
              <w:t xml:space="preserve">+10.6pp</w:t>
            </w:r>
          </w:p>
        </w:tc>
      </w:tr>
    </w:tbl>
    <w:p w:rsidR="00000000" w:rsidDel="00000000" w:rsidP="00000000" w:rsidRDefault="00000000" w:rsidRPr="00000000" w14:paraId="0000010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Mini models show a substantially larger LCR increase per recovered persona-adherence point relative to GPT-4o. We acknowledge that attention mechanism analysis would provide deeper mechanistic evidence and identify this as an explicit direction for future work. We will add this analysis as Section 4.6 (Rationale Linguistic Analysis) in the camera-ready version.</w:t>
      </w:r>
    </w:p>
    <w:p w:rsidR="00000000" w:rsidDel="00000000" w:rsidP="00000000" w:rsidRDefault="00000000" w:rsidRPr="00000000" w14:paraId="000001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b w:val="1"/>
          <w:bCs w:val="1"/>
          <w:color w:val="8c1b13"/>
          <w:sz w:val="20"/>
          <w:szCs w:val="20"/>
          <w:shd w:fill="f7f6f4" w:val="clear"/>
        </w:rPr>
      </w:pPr>
      <w:r w:rsidDel="00000000" w:rsidR="00000000" w:rsidRPr="00000000">
        <w:rPr>
          <w:rFonts w:ascii="Calibri" w:cs="Calibri" w:eastAsia="Calibri" w:hAnsi="Calibri"/>
          <w:b w:val="1"/>
          <w:bCs w:val="1"/>
          <w:color w:val="8c1b13"/>
          <w:sz w:val="20"/>
          <w:szCs w:val="20"/>
          <w:shd w:fill="f7f6f4" w:val="clear"/>
          <w:rtl w:val="0"/>
        </w:rPr>
        <w:t xml:space="preserve">Questions To Authors:</w:t>
      </w:r>
    </w:p>
    <w:p w:rsidR="00000000" w:rsidDel="00000000" w:rsidP="00000000" w:rsidRDefault="00000000" w:rsidRPr="00000000" w14:paraId="00000103">
      <w:pPr>
        <w:numPr>
          <w:ilvl w:val="0"/>
          <w:numId w:val="5"/>
        </w:numPr>
        <w:pBdr>
          <w:top w:space="0" w:sz="0" w:val="nil"/>
          <w:bottom w:space="0" w:sz="0" w:val="nil"/>
          <w:right w:space="0" w:sz="0" w:val="nil"/>
          <w:between w:space="0" w:sz="0" w:val="nil"/>
        </w:pBd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Over-reliance on MBTI: Can the authors explain the rationale for choosing MBTI over a more scientifically accepted model like the Big Five (OCEAN)? More importantly, how would the expected results change if personas were based on traits like Neuroticism (highly relevant to "panic spirals") or Conscientiousness? To make a convincing rebuttal, the authors need to justify why MBTI is sufficient for the core claims, or acknowledge this limitation and propose a clear roadmap for adopting a more rigorous psychometric model.</w:t>
      </w:r>
    </w:p>
    <w:p w:rsidR="00000000" w:rsidDel="00000000" w:rsidP="00000000" w:rsidRDefault="00000000" w:rsidRPr="00000000" w14:paraId="00000104">
      <w:pPr>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question. This is addressed in our response to Weakness 2 above through the OCEAN replication and O3 ablation. Please refer to Table R4 and the associated discussion there. </w:t>
      </w:r>
    </w:p>
    <w:p w:rsidR="00000000" w:rsidDel="00000000" w:rsidP="00000000" w:rsidRDefault="00000000" w:rsidRPr="00000000" w14:paraId="000001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7">
      <w:pPr>
        <w:numPr>
          <w:ilvl w:val="0"/>
          <w:numId w:val="4"/>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Questionable Rationality Gap (RG) Definition: Regarding the RG metric (Equation 7), could the authors detail the rationale behind treating "HOLD" as completely rational in an undervalued market () as long as ? Have you considered an alternative approach that </w:t>
      </w:r>
      <w:r w:rsidDel="00000000" w:rsidR="00000000" w:rsidRPr="00000000">
        <w:rPr>
          <w:rFonts w:ascii="Calibri" w:cs="Calibri" w:eastAsia="Calibri" w:hAnsi="Calibri"/>
          <w:color w:val="333333"/>
          <w:sz w:val="20"/>
          <w:szCs w:val="20"/>
          <w:rtl w:val="0"/>
        </w:rPr>
        <w:t xml:space="preserve">weights</w:t>
      </w:r>
      <w:r w:rsidDel="00000000" w:rsidR="00000000" w:rsidRPr="00000000">
        <w:rPr>
          <w:rFonts w:ascii="Calibri" w:cs="Calibri" w:eastAsia="Calibri" w:hAnsi="Calibri"/>
          <w:color w:val="333333"/>
          <w:sz w:val="20"/>
          <w:szCs w:val="20"/>
          <w:rtl w:val="0"/>
        </w:rPr>
        <w:t xml:space="preserve"> the "rationality" of holding against the opportunity cost of not buying the dip? High sensitivity might undermine the claim that static agents are genuinely more "rational" in that scenario.</w:t>
      </w:r>
    </w:p>
    <w:p w:rsidR="00000000" w:rsidDel="00000000" w:rsidP="00000000" w:rsidRDefault="00000000" w:rsidRPr="00000000" w14:paraId="0000010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precise question. The HOLD rationality condition in Equation 7 is not unconditional. A HOLD decision is marked rational only when the market is overvalued (Pt &gt; Vt) or when the agent already holds stock in an undervalued market (Ht &gt; 0). Holding only cash in an undervalued market with Ht = 0 is explicitly marked irrational, because it forgoes a clear buying opportunity with no offsetting position.</w:t>
      </w:r>
    </w:p>
    <w:p w:rsidR="00000000" w:rsidDel="00000000" w:rsidP="00000000" w:rsidRDefault="00000000" w:rsidRPr="00000000" w14:paraId="0000010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acknowledge two limitations the reviewer's question surfaces. First, the overvalued HOLD condition is marked rational for both cash-holding and stock-holding positions: a stock-holder declining to sell into overvaluation is treated as rational, when the strictly optimal action would be SELL. A fully asymmetric metric would also penalize this case. Second, a continuous metric weighting rationality against the magnitude of the Pt/Vt discount would add precision over the binary indicator. We chose binary because RG is intended as a coarse directional measure of value-rationality, i.e., whether the agent acts in line with the fundamental value signal, rather than a precise quantification of opportunity cost. A continuous weighting would require selecting a Pt/Vt discount threshold, adding a free parameter without clear theoretical grounding. We identify both asymmetric sell-side penalization and opportunity-cost weighting as explicit directions for future refinement and will note these in the limitations section in the camera-ready version.</w:t>
      </w:r>
    </w:p>
    <w:p w:rsidR="00000000" w:rsidDel="00000000" w:rsidP="00000000" w:rsidRDefault="00000000" w:rsidRPr="00000000" w14:paraId="0000010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numPr>
          <w:ilvl w:val="0"/>
          <w:numId w:val="2"/>
        </w:numPr>
        <w:pBdr>
          <w:top w:space="0" w:sz="0" w:val="nil"/>
          <w:bottom w:space="0" w:sz="0" w:val="nil"/>
          <w:right w:space="0" w:sz="0" w:val="nil"/>
          <w:between w:space="0" w:sz="0" w:val="nil"/>
        </w:pBdr>
        <w:shd w:fill="f7f6f4" w:val="clear"/>
        <w:spacing w:after="12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Rationale for Temporal Segmentation in Figure 2: The temporal analysis in Figure 2 is highly effective. However, the X-axis is presented in quartiles. What is the rationale behind dividing the timeline into uniform 50-day units? Since the paper previously establishes that each scenario is conceptually divided into three distinct temporal phases (build-up, event, and recovery), why not use these contextually meaningful phases as the baseline for segmenting the timeline?</w:t>
      </w:r>
    </w:p>
    <w:p w:rsidR="00000000" w:rsidDel="00000000" w:rsidP="00000000" w:rsidRDefault="00000000" w:rsidRPr="00000000" w14:paraId="0000010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observation. Phases were considered but rejected for two reasons. First, the Flat Market scenario has no phase-specific structure as price and value co-move throughout with no regime breaks, so a phase-aligned axis would be conceptually empty for that panel, making cross-scenario comparison in a single figure incoherent. Second, the figure's purpose is to demonstrate that divergence compounds monotonically over time; uniform quartiles preserve the visual proportionality of this trend, whereas unequal phase lengths (80/60/60 days) would compress the event phase relative to setup and recovery, obscuring the growth rate that is the figure's primary finding. We will add a footnote clarifying this design choice in the camera-ready version. </w:t>
      </w:r>
    </w:p>
    <w:p w:rsidR="00000000" w:rsidDel="00000000" w:rsidP="00000000" w:rsidRDefault="00000000" w:rsidRPr="00000000" w14:paraId="000001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numPr>
          <w:ilvl w:val="0"/>
          <w:numId w:val="8"/>
        </w:numPr>
        <w:pBdr>
          <w:top w:space="0" w:sz="0" w:val="nil"/>
          <w:bottom w:space="0" w:sz="0" w:val="nil"/>
          <w:right w:space="0" w:sz="0" w:val="nil"/>
          <w:between w:space="0" w:sz="0" w:val="nil"/>
        </w:pBdr>
        <w:spacing w:after="120" w:lineRule="auto"/>
        <w:ind w:left="720" w:hanging="360"/>
        <w:jc w:val="both"/>
        <w:rPr>
          <w:rFonts w:ascii="Calibri" w:cs="Calibri" w:eastAsia="Calibri" w:hAnsi="Calibri"/>
          <w:sz w:val="20"/>
          <w:szCs w:val="20"/>
          <w:shd w:fill="f7f6f4" w:val="clear"/>
        </w:rPr>
      </w:pPr>
      <w:r w:rsidDel="00000000" w:rsidR="00000000" w:rsidRPr="00000000">
        <w:rPr>
          <w:rFonts w:ascii="Calibri" w:cs="Calibri" w:eastAsia="Calibri" w:hAnsi="Calibri"/>
          <w:color w:val="333333"/>
          <w:sz w:val="20"/>
          <w:szCs w:val="20"/>
          <w:shd w:fill="f7f6f4" w:val="clear"/>
          <w:rtl w:val="0"/>
        </w:rPr>
        <w:t xml:space="preserve">Lack of Qualitative Evidence for "Mini" Model Signal Interference: The "signal interference" explanation for smaller (Mini) models is intriguing but currently remains speculative. Can the generated "Rationale" strings provide any qualitative evidence? For example, during a market crash, do the rationales generated by memory-augmented mini models exhibit more internal logical confusion compared to larger models, or explicitly mention a conflict between the long-term mandate and short-term market data? Providing a few representative case studies would greatly help transition this point from mere speculation to an empirically supported conclusion.</w:t>
      </w:r>
    </w:p>
    <w:p w:rsidR="00000000" w:rsidDel="00000000" w:rsidP="00000000" w:rsidRDefault="00000000" w:rsidRPr="00000000" w14:paraId="00000110">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question. The aggregate LCR analysis and trajectory table are presented in our response to Weakness 4 above. We present three representative case study pairs below to provide the qualitative grounding the reviewer requests.</w:t>
      </w:r>
    </w:p>
    <w:p w:rsidR="00000000" w:rsidDel="00000000" w:rsidP="00000000" w:rsidRDefault="00000000" w:rsidRPr="00000000" w14:paraId="00000111">
      <w:pPr>
        <w:pBdr>
          <w:top w:space="0" w:sz="0" w:val="nil"/>
          <w:bottom w:space="0" w:sz="0" w:val="nil"/>
          <w:right w:space="0" w:sz="0" w:val="nil"/>
          <w:between w:space="0" w:sz="0" w:val="nil"/>
        </w:pBd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Pair 1: INTJ, Crash scenario, comparable market conditions (RSI ~25-30, negative sentiment) — Clearest behavioral divergence</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12"/>
        <w:gridCol w:w="4033.5359999999996"/>
        <w:gridCol w:w="4153.343999999999"/>
        <w:tblGridChange w:id="0">
          <w:tblGrid>
            <w:gridCol w:w="1173.12"/>
            <w:gridCol w:w="4033.5359999999996"/>
            <w:gridCol w:w="4153.3439999999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12">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13">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Fonts w:ascii="Calibri" w:cs="Calibri" w:eastAsia="Calibri" w:hAnsi="Calibri"/>
                <w:b w:val="1"/>
                <w:bCs w:val="1"/>
                <w:color w:val="434343"/>
                <w:sz w:val="20"/>
                <w:szCs w:val="20"/>
                <w:rtl w:val="0"/>
              </w:rPr>
              <w:t xml:space="preserve">Mini + Memory (GPT-4o-mini)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14">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Fonts w:ascii="Calibri" w:cs="Calibri" w:eastAsia="Calibri" w:hAnsi="Calibri"/>
                <w:b w:val="1"/>
                <w:bCs w:val="1"/>
                <w:color w:val="434343"/>
                <w:sz w:val="20"/>
                <w:szCs w:val="20"/>
                <w:rtl w:val="0"/>
              </w:rPr>
              <w:t xml:space="preserve">Flagship + Memory (GPT-4o)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HOLD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BUY</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LCR flagged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No</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Rationale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"The current market indicators suggest a bearish sentiment with an RSI of 29.9 indicating oversold conditions, but the P/E ratio of 14.2 does not present a compelling buying opportunity. Given the negative news sentiment and the need to trust the model, it is prudent to remain in cash and wait for a clearer signal."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"The RSI is low at 25.5, indicating the asset is potentially oversold, aligning with a strategic long-term entry point. Despite negative news sentiment, the P/E ratio of 13.6 suggests undervaluation, and the implied volatility of 30.1% offers a favorable risk-reward scenario for a calculated entry."</w:t>
            </w:r>
          </w:p>
        </w:tc>
      </w:tr>
    </w:tbl>
    <w:p w:rsidR="00000000" w:rsidDel="00000000" w:rsidP="00000000" w:rsidRDefault="00000000" w:rsidRPr="00000000" w14:paraId="0000011E">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mini model mentions 'the need to trust the model' (possibly referencing its systematic mandate), yet concludes by deferring to short-term crash signals and holds. The flagship overrides the same crash signals and buys, consistent with INTJ's long-term, systematic mandate.</w:t>
      </w:r>
    </w:p>
    <w:p w:rsidR="00000000" w:rsidDel="00000000" w:rsidP="00000000" w:rsidRDefault="00000000" w:rsidRPr="00000000" w14:paraId="0000011F">
      <w:pPr>
        <w:pBdr>
          <w:top w:space="0" w:sz="0" w:val="nil"/>
          <w:bottom w:space="0" w:sz="0" w:val="nil"/>
          <w:right w:space="0" w:sz="0" w:val="nil"/>
          <w:between w:space="0" w:sz="0" w:val="nil"/>
        </w:pBd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Pair 2: ENTJ, Crash Day 101 — Mandate inversion under crash pressure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9.2344497607655"/>
        <w:gridCol w:w="3528.0382775119615"/>
        <w:gridCol w:w="4632.727272727272"/>
        <w:tblGridChange w:id="0">
          <w:tblGrid>
            <w:gridCol w:w="1199.2344497607655"/>
            <w:gridCol w:w="3528.0382775119615"/>
            <w:gridCol w:w="4632.7272727272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20">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21">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Fonts w:ascii="Calibri" w:cs="Calibri" w:eastAsia="Calibri" w:hAnsi="Calibri"/>
                <w:b w:val="1"/>
                <w:bCs w:val="1"/>
                <w:color w:val="434343"/>
                <w:sz w:val="20"/>
                <w:szCs w:val="20"/>
                <w:rtl w:val="0"/>
              </w:rPr>
              <w:t xml:space="preserve">Mini + Memory (GPT-4o-mini)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22">
            <w:pPr>
              <w:pBdr>
                <w:top w:space="0" w:sz="0" w:val="nil"/>
                <w:bottom w:space="0" w:sz="0" w:val="nil"/>
                <w:right w:space="0" w:sz="0" w:val="nil"/>
                <w:between w:space="0" w:sz="0" w:val="nil"/>
              </w:pBdr>
              <w:jc w:val="center"/>
              <w:rPr>
                <w:rFonts w:ascii="Calibri" w:cs="Calibri" w:eastAsia="Calibri" w:hAnsi="Calibri"/>
                <w:color w:val="434343"/>
                <w:sz w:val="20"/>
                <w:szCs w:val="20"/>
              </w:rPr>
            </w:pPr>
            <w:r w:rsidDel="00000000" w:rsidR="00000000" w:rsidRPr="00000000">
              <w:rPr>
                <w:rFonts w:ascii="Calibri" w:cs="Calibri" w:eastAsia="Calibri" w:hAnsi="Calibri"/>
                <w:b w:val="1"/>
                <w:bCs w:val="1"/>
                <w:color w:val="434343"/>
                <w:sz w:val="20"/>
                <w:szCs w:val="20"/>
                <w:rtl w:val="0"/>
              </w:rPr>
              <w:t xml:space="preserve">Flagship + Memory (Claude Sonnet 4.6)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SELL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HOLD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LCR flagged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No</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Rationale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"The current trend is down, suggesting bearish momentum. As a Momentum Commander, I must prioritize growth and decisively exit to avoid further losses."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pBdr>
                <w:top w:space="0" w:sz="0" w:val="nil"/>
                <w:bottom w:space="0" w:sz="0" w:val="nil"/>
                <w:right w:space="0" w:sz="0" w:val="nil"/>
                <w:between w:space="0" w:sz="0" w:val="nil"/>
              </w:pBdr>
              <w:jc w:val="both"/>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"As a Momentum Commander, my mandate is to chase big wins by riding trends — but this trend is decisively DOWN, not up. There is no momentum to buy into; deploying capital here would be fighting the tape, not commanding it."</w:t>
            </w:r>
          </w:p>
        </w:tc>
      </w:tr>
    </w:tbl>
    <w:p w:rsidR="00000000" w:rsidDel="00000000" w:rsidP="00000000" w:rsidRDefault="00000000" w:rsidRPr="00000000" w14:paraId="0000012C">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Both rationales invoke the ENTJ "Momentum Commander" label, but the mini model uses the persona label to justify exiting a position during the crash. The flagship reasons from the mandate's logic: no momentum means no action, not an exit. We note this pair compares models from different providers (OpenAI and Anthropic); architectural and training differences may contribute alongside scale.</w:t>
      </w:r>
    </w:p>
    <w:p w:rsidR="00000000" w:rsidDel="00000000" w:rsidP="00000000" w:rsidRDefault="00000000" w:rsidRPr="00000000" w14:paraId="0000012D">
      <w:pPr>
        <w:pBdr>
          <w:top w:space="0" w:sz="0" w:val="nil"/>
          <w:bottom w:space="0" w:sz="0" w:val="nil"/>
          <w:right w:space="0" w:sz="0" w:val="nil"/>
          <w:between w:space="0" w:sz="0" w:val="nil"/>
        </w:pBd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Pair 3: ISFJ, Crash Day 101-102 — Depth of persona-grounded reasoning</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12"/>
        <w:gridCol w:w="4078.4639999999995"/>
        <w:gridCol w:w="4108.415999999999"/>
        <w:tblGridChange w:id="0">
          <w:tblGrid>
            <w:gridCol w:w="1173.12"/>
            <w:gridCol w:w="4078.4639999999995"/>
            <w:gridCol w:w="4108.41599999999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2E">
            <w:pPr>
              <w:pBdr>
                <w:top w:space="0" w:sz="0" w:val="nil"/>
                <w:bottom w:space="0" w:sz="0" w:val="nil"/>
                <w:right w:space="0" w:sz="0" w:val="nil"/>
                <w:between w:space="0" w:sz="0" w:val="nil"/>
              </w:pBdr>
              <w:jc w:val="center"/>
              <w:rPr>
                <w:rFonts w:ascii="Calibri" w:cs="Calibri" w:eastAsia="Calibri" w:hAnsi="Calibri"/>
                <w:color w:val="434343"/>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2F">
            <w:pPr>
              <w:pBdr>
                <w:top w:space="0" w:sz="0" w:val="nil"/>
                <w:bottom w:space="0" w:sz="0" w:val="nil"/>
                <w:right w:space="0" w:sz="0" w:val="nil"/>
                <w:between w:space="0" w:sz="0" w:val="nil"/>
              </w:pBd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Mini + Memory (GPT-4.1-mini)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f6f4" w:val="clear"/>
          </w:tcPr>
          <w:p w:rsidR="00000000" w:rsidDel="00000000" w:rsidP="00000000" w:rsidRDefault="00000000" w:rsidRPr="00000000" w14:paraId="00000130">
            <w:pPr>
              <w:pBdr>
                <w:top w:space="0" w:sz="0" w:val="nil"/>
                <w:bottom w:space="0" w:sz="0" w:val="nil"/>
                <w:right w:space="0" w:sz="0" w:val="nil"/>
                <w:between w:space="0" w:sz="0" w:val="nil"/>
              </w:pBd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Flagship + Memory (Claude Sonnet 4.6)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HOLD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HOLD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LCR flagged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No</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Rationale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"Given the current price below both SMA20 and SMA60, a neutral RSI, and negative news sentiment, the market shows caution signals. Prioritizing capital preservation and avoiding unnecessary risk aligns with my conservative approach, so </w:t>
            </w:r>
            <w:r w:rsidDel="00000000" w:rsidR="00000000" w:rsidRPr="00000000">
              <w:rPr>
                <w:rFonts w:ascii="Calibri" w:cs="Calibri" w:eastAsia="Calibri" w:hAnsi="Calibri"/>
                <w:color w:val="434343"/>
                <w:rtl w:val="0"/>
              </w:rPr>
              <w:t xml:space="preserve">holding position</w:t>
            </w:r>
            <w:r w:rsidDel="00000000" w:rsidR="00000000" w:rsidRPr="00000000">
              <w:rPr>
                <w:rFonts w:ascii="Calibri" w:cs="Calibri" w:eastAsia="Calibri" w:hAnsi="Calibri"/>
                <w:color w:val="434343"/>
                <w:rtl w:val="0"/>
              </w:rPr>
              <w:t xml:space="preserve"> to maintain stability is prudent."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pBdr>
                <w:top w:space="0" w:sz="0" w:val="nil"/>
                <w:bottom w:space="0" w:sz="0" w:val="nil"/>
                <w:right w:space="0" w:sz="0" w:val="nil"/>
                <w:between w:space="0" w:sz="0" w:val="nil"/>
              </w:pBdr>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"As a Guardian Investor, my priority is protecting the existing holdings ($6,585.57) rather than deploying cash into a deteriorating environment. I will hold my position and preserve cash reserves as a buffer, waiting for clearer signs of structural stability before considering any new entry."</w:t>
            </w:r>
          </w:p>
        </w:tc>
      </w:tr>
    </w:tbl>
    <w:p w:rsidR="00000000" w:rsidDel="00000000" w:rsidP="00000000" w:rsidRDefault="00000000" w:rsidRPr="00000000" w14:paraId="0000013A">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Both hold, but for different reasons. The mini model cites short-term indicators first and the persona appears as a label appended to market-signal reasoning, rather than as the premise driving it. The flagship reasons from the portfolio state; the persona is doing the reasoning, not merely providing a label. The interference in Pair 3 is subtler; the action is persona-consistent, but the reasoning structure suggests the persona functions as a label rather than as the generative premise.</w:t>
      </w:r>
    </w:p>
    <w:p w:rsidR="00000000" w:rsidDel="00000000" w:rsidP="00000000" w:rsidRDefault="00000000" w:rsidRPr="00000000" w14:paraId="0000013B">
      <w:pPr>
        <w:pBdr>
          <w:top w:space="0" w:sz="0" w:val="nil"/>
          <w:bottom w:space="0" w:sz="0" w:val="nil"/>
          <w:right w:space="0" w:sz="0" w:val="nil"/>
          <w:between w:space="0" w:sz="0" w:val="nil"/>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Pairs 1 and 2 show action-level divergence; Pair 3 shows the pattern holds in reasoning structure even when the action happens to be the same. Together they provide illustrative evidence of the signal interference hypothesis across all three personas. We will include these case studies in the camera-ready version.</w:t>
      </w:r>
    </w:p>
    <w:p w:rsidR="00000000" w:rsidDel="00000000" w:rsidP="00000000" w:rsidRDefault="00000000" w:rsidRPr="00000000" w14:paraId="0000013C">
      <w:pPr>
        <w:jc w:val="both"/>
        <w:rPr>
          <w:rFonts w:ascii="Calibri" w:cs="Calibri" w:eastAsia="Calibri" w:hAnsi="Calibri"/>
          <w:color w:val="9800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980000"/>
        </w:rPr>
        <w:sectPr>
          <w:type w:val="nextPage"/>
          <w:pgSz w:h="15840" w:w="12240" w:orient="portrait"/>
          <w:pgMar w:bottom="1440" w:top="1440" w:left="1440" w:right="1440" w:header="720" w:footer="720"/>
          <w:pgNumType w:start="1"/>
        </w:sectPr>
      </w:pPr>
      <w:bookmarkStart w:colFirst="0" w:colLast="0" w:name="_77eo0we70n9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Reviewer nhWU</w:t>
      </w:r>
      <w:r w:rsidDel="00000000" w:rsidR="00000000" w:rsidRPr="00000000">
        <w:rPr>
          <w:rtl w:val="0"/>
        </w:rPr>
      </w:r>
    </w:p>
    <w:p w:rsidR="00000000" w:rsidDel="00000000" w:rsidP="00000000" w:rsidRDefault="00000000" w:rsidRPr="00000000" w14:paraId="0000013E">
      <w:pPr>
        <w:pStyle w:val="Heading1"/>
        <w:jc w:val="both"/>
        <w:rPr>
          <w:rFonts w:ascii="Calibri" w:cs="Calibri" w:eastAsia="Calibri" w:hAnsi="Calibri"/>
          <w:b w:val="1"/>
          <w:bCs w:val="1"/>
          <w:sz w:val="28"/>
          <w:szCs w:val="28"/>
        </w:rPr>
      </w:pPr>
      <w:bookmarkStart w:colFirst="0" w:colLast="0" w:name="_d3nzlpwny73z" w:id="5"/>
      <w:bookmarkEnd w:id="5"/>
      <w:r w:rsidDel="00000000" w:rsidR="00000000" w:rsidRPr="00000000">
        <w:rPr>
          <w:rFonts w:ascii="Calibri" w:cs="Calibri" w:eastAsia="Calibri" w:hAnsi="Calibri"/>
          <w:b w:val="1"/>
          <w:bCs w:val="1"/>
          <w:sz w:val="28"/>
          <w:szCs w:val="28"/>
          <w:rtl w:val="0"/>
        </w:rPr>
        <w:t xml:space="preserve">Reviewer nhWU</w:t>
      </w:r>
    </w:p>
    <w:p w:rsidR="00000000" w:rsidDel="00000000" w:rsidP="00000000" w:rsidRDefault="00000000" w:rsidRPr="00000000" w14:paraId="000001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40">
      <w:pPr>
        <w:jc w:val="both"/>
        <w:rPr>
          <w:rFonts w:ascii="Calibri" w:cs="Calibri" w:eastAsia="Calibri" w:hAnsi="Calibri"/>
          <w:b w:val="1"/>
          <w:bCs w:val="1"/>
          <w:color w:val="8c1b13"/>
          <w:sz w:val="20"/>
          <w:szCs w:val="20"/>
          <w:shd w:fill="f7f6f4" w:val="clear"/>
        </w:rPr>
      </w:pPr>
      <w:r w:rsidDel="00000000" w:rsidR="00000000" w:rsidRPr="00000000">
        <w:rPr>
          <w:rFonts w:ascii="Calibri" w:cs="Calibri" w:eastAsia="Calibri" w:hAnsi="Calibri"/>
          <w:b w:val="1"/>
          <w:bCs w:val="1"/>
          <w:color w:val="8c1b13"/>
          <w:sz w:val="20"/>
          <w:szCs w:val="20"/>
          <w:shd w:fill="f7f6f4" w:val="clear"/>
          <w:rtl w:val="0"/>
        </w:rPr>
        <w:t xml:space="preserve">Reasons To Reject:</w:t>
      </w:r>
    </w:p>
    <w:p w:rsidR="00000000" w:rsidDel="00000000" w:rsidP="00000000" w:rsidRDefault="00000000" w:rsidRPr="00000000" w14:paraId="00000141">
      <w:pPr>
        <w:shd w:fill="f7f6f4" w:val="clear"/>
        <w:spacing w:after="120" w:lineRule="auto"/>
        <w:jc w:val="both"/>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The MBTI framing is the main weakness. The authors say themselves that MBTI is not a validated personality test and that they only use it as a vocabulary, but the paper is still pitched as a study of psychometric stability. The personality theory the framing rests on does not really hold up the weight being placed on it.</w:t>
      </w:r>
    </w:p>
    <w:p w:rsidR="00000000" w:rsidDel="00000000" w:rsidP="00000000" w:rsidRDefault="00000000" w:rsidRPr="00000000" w14:paraId="0000014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point. The paper's </w:t>
      </w:r>
      <w:r w:rsidDel="00000000" w:rsidR="00000000" w:rsidRPr="00000000">
        <w:rPr>
          <w:rFonts w:ascii="Calibri" w:cs="Calibri" w:eastAsia="Calibri" w:hAnsi="Calibri"/>
          <w:rtl w:val="0"/>
        </w:rPr>
        <w:t xml:space="preserve">psychometric claims operate at the level of behavioral consistency</w:t>
      </w:r>
      <w:r w:rsidDel="00000000" w:rsidR="00000000" w:rsidRPr="00000000">
        <w:rPr>
          <w:rFonts w:ascii="Calibri" w:cs="Calibri" w:eastAsia="Calibri" w:hAnsi="Calibri"/>
          <w:rtl w:val="0"/>
        </w:rPr>
        <w:t xml:space="preserve">, not trait validity: MSD measures whether an agent maintains its assigned behavioral profile over time, regardless of whether that profile is grounded in a validated instrument. We agree this distinction is insufficiently clear and will revise instances of 'psychometric stability' to 'behavioral consistency' where the claim rests on </w:t>
      </w:r>
      <w:r w:rsidDel="00000000" w:rsidR="00000000" w:rsidRPr="00000000">
        <w:rPr>
          <w:rFonts w:ascii="Calibri" w:cs="Calibri" w:eastAsia="Calibri" w:hAnsi="Calibri"/>
          <w:rtl w:val="0"/>
        </w:rPr>
        <w:t xml:space="preserve">persona</w:t>
      </w:r>
      <w:r w:rsidDel="00000000" w:rsidR="00000000" w:rsidRPr="00000000">
        <w:rPr>
          <w:rFonts w:ascii="Calibri" w:cs="Calibri" w:eastAsia="Calibri" w:hAnsi="Calibri"/>
          <w:rtl w:val="0"/>
        </w:rPr>
        <w:t xml:space="preserve"> vocabulary rather than validated trait theory in the camera-ready version.</w:t>
      </w:r>
    </w:p>
    <w:p w:rsidR="00000000" w:rsidDel="00000000" w:rsidP="00000000" w:rsidRDefault="00000000" w:rsidRPr="00000000" w14:paraId="0000014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 the instrument itself: we adopted MBTI not as a validated psychometric instrument but as a structured behavioral vocabulary, consistent with established practice in LLM persona research. We acknowledge this limitation and make no trait-validity claims. Critically, MBTI structurally cannot encode Neuroticism, the Big Five trait most predictive of panic-driven financial behavior; Furnham (1996) confirmed that NEO-PI Neuroticism is not reliably related to any MBTI subscale. </w:t>
      </w:r>
    </w:p>
    <w:p w:rsidR="00000000" w:rsidDel="00000000" w:rsidP="00000000" w:rsidRDefault="00000000" w:rsidRPr="00000000" w14:paraId="0000014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test the robustness of our findings under a validated framework following reviewer feedback, we ran 180 new simulations using Big Five personas grounded in the validated Five-Factor Model (Costa &amp; McCrae, 1992): O1-Conservative (high Conscientiousness and Neuroticism, low Openness; C_ideal = 1.0) and O2-Aggressive (high Openness and Extraversion, low Neuroticism and Agreeableness; C_ideal = 0.2), across three representative models (Claude Sonnet 4.6, GPT-4o-mini, and Gemini 2.5 Flash), three scenarios, and five seeds. To further isolate the contribution of persona-trait language from the numerical target alone, we also ran an O3 numerical-only condition comprising 60 additional runs: no persona-trait language, only a two-sentence description embedding C_ideal and a bare risk orientation, with re-injection limited to the target allocation reminder.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7273673257023"/>
        <w:gridCol w:w="1538.8969823100936"/>
        <w:gridCol w:w="1816.4828303850154"/>
        <w:gridCol w:w="1290.5306971904267"/>
        <w:gridCol w:w="2532.3621227887616"/>
        <w:tblGridChange w:id="0">
          <w:tblGrid>
            <w:gridCol w:w="2181.7273673257023"/>
            <w:gridCol w:w="1538.8969823100936"/>
            <w:gridCol w:w="1816.4828303850154"/>
            <w:gridCol w:w="1290.5306971904267"/>
            <w:gridCol w:w="2532.36212278876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jc w:val="both"/>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jc w:val="both"/>
              <w:rPr>
                <w:rFonts w:ascii="Calibri" w:cs="Calibri" w:eastAsia="Calibri" w:hAnsi="Calibri"/>
              </w:rPr>
            </w:pPr>
            <w:r w:rsidDel="00000000" w:rsidR="00000000" w:rsidRPr="00000000">
              <w:rPr>
                <w:rFonts w:ascii="Calibri" w:cs="Calibri" w:eastAsia="Calibri" w:hAnsi="Calibri"/>
                <w:b w:val="1"/>
                <w:bCs w:val="1"/>
                <w:rtl w:val="0"/>
              </w:rPr>
              <w:t xml:space="preserve">Conservative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jc w:val="both"/>
              <w:rPr>
                <w:rFonts w:ascii="Calibri" w:cs="Calibri" w:eastAsia="Calibri" w:hAnsi="Calibri"/>
              </w:rPr>
            </w:pPr>
            <w:r w:rsidDel="00000000" w:rsidR="00000000" w:rsidRPr="00000000">
              <w:rPr>
                <w:rFonts w:ascii="Calibri" w:cs="Calibri" w:eastAsia="Calibri" w:hAnsi="Calibri"/>
                <w:b w:val="1"/>
                <w:bCs w:val="1"/>
                <w:rtl w:val="0"/>
              </w:rPr>
              <w:t xml:space="preserve">Aggressive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jc w:val="both"/>
              <w:rPr>
                <w:rFonts w:ascii="Calibri" w:cs="Calibri" w:eastAsia="Calibri" w:hAnsi="Calibri"/>
              </w:rPr>
            </w:pPr>
            <w:r w:rsidDel="00000000" w:rsidR="00000000" w:rsidRPr="00000000">
              <w:rPr>
                <w:rFonts w:ascii="Calibri" w:cs="Calibri" w:eastAsia="Calibri" w:hAnsi="Calibri"/>
                <w:b w:val="1"/>
                <w:bCs w:val="1"/>
                <w:rtl w:val="0"/>
              </w:rPr>
              <w:t xml:space="preserve">Direction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jc w:val="both"/>
              <w:rPr>
                <w:rFonts w:ascii="Calibri" w:cs="Calibri" w:eastAsia="Calibri" w:hAnsi="Calibri"/>
              </w:rPr>
            </w:pPr>
            <w:r w:rsidDel="00000000" w:rsidR="00000000" w:rsidRPr="00000000">
              <w:rPr>
                <w:rFonts w:ascii="Calibri" w:cs="Calibri" w:eastAsia="Calibri" w:hAnsi="Calibri"/>
                <w:rtl w:val="0"/>
              </w:rPr>
              <w:t xml:space="preserve">MBTI (ISFJ/ENTJ)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jc w:val="both"/>
              <w:rPr>
                <w:rFonts w:ascii="Calibri" w:cs="Calibri" w:eastAsia="Calibri" w:hAnsi="Calibri"/>
              </w:rPr>
            </w:pPr>
            <w:r w:rsidDel="00000000" w:rsidR="00000000" w:rsidRPr="00000000">
              <w:rPr>
                <w:rFonts w:ascii="Calibri" w:cs="Calibri" w:eastAsia="Calibri" w:hAnsi="Calibri"/>
                <w:rtl w:val="0"/>
              </w:rPr>
              <w:t xml:space="preserve">-0.173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jc w:val="both"/>
              <w:rPr>
                <w:rFonts w:ascii="Calibri" w:cs="Calibri" w:eastAsia="Calibri" w:hAnsi="Calibri"/>
              </w:rPr>
            </w:pPr>
            <w:r w:rsidDel="00000000" w:rsidR="00000000" w:rsidRPr="00000000">
              <w:rPr>
                <w:rFonts w:ascii="Calibri" w:cs="Calibri" w:eastAsia="Calibri" w:hAnsi="Calibri"/>
                <w:rtl w:val="0"/>
              </w:rPr>
              <w:t xml:space="preserve">+0.112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jc w:val="both"/>
              <w:rPr>
                <w:rFonts w:ascii="Calibri" w:cs="Calibri" w:eastAsia="Calibri" w:hAnsi="Calibri"/>
              </w:rPr>
            </w:pPr>
            <w:r w:rsidDel="00000000" w:rsidR="00000000" w:rsidRPr="00000000">
              <w:rPr>
                <w:rFonts w:ascii="Calibri" w:cs="Calibri" w:eastAsia="Calibri" w:hAnsi="Calibri"/>
                <w:rtl w:val="0"/>
              </w:rPr>
              <w:t xml:space="preserve">OCEAN (O1/O2)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jc w:val="both"/>
              <w:rPr>
                <w:rFonts w:ascii="Calibri" w:cs="Calibri" w:eastAsia="Calibri" w:hAnsi="Calibri"/>
              </w:rPr>
            </w:pPr>
            <w:r w:rsidDel="00000000" w:rsidR="00000000" w:rsidRPr="00000000">
              <w:rPr>
                <w:rFonts w:ascii="Calibri" w:cs="Calibri" w:eastAsia="Calibri" w:hAnsi="Calibri"/>
                <w:rtl w:val="0"/>
              </w:rPr>
              <w:t xml:space="preserve">-0.292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jc w:val="both"/>
              <w:rPr>
                <w:rFonts w:ascii="Calibri" w:cs="Calibri" w:eastAsia="Calibri" w:hAnsi="Calibri"/>
              </w:rPr>
            </w:pPr>
            <w:r w:rsidDel="00000000" w:rsidR="00000000" w:rsidRPr="00000000">
              <w:rPr>
                <w:rFonts w:ascii="Calibri" w:cs="Calibri" w:eastAsia="Calibri" w:hAnsi="Calibri"/>
                <w:rtl w:val="0"/>
              </w:rPr>
              <w:t xml:space="preserve">Memory helps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jc w:val="both"/>
              <w:rPr>
                <w:rFonts w:ascii="Calibri" w:cs="Calibri" w:eastAsia="Calibri" w:hAnsi="Calibri"/>
              </w:rPr>
            </w:pPr>
            <w:r w:rsidDel="00000000" w:rsidR="00000000" w:rsidRPr="00000000">
              <w:rPr>
                <w:rFonts w:ascii="Calibri" w:cs="Calibri" w:eastAsia="Calibri" w:hAnsi="Calibri"/>
                <w:rtl w:val="0"/>
              </w:rPr>
              <w:t xml:space="preserve">+0.131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jc w:val="both"/>
              <w:rPr>
                <w:rFonts w:ascii="Calibri" w:cs="Calibri" w:eastAsia="Calibri" w:hAnsi="Calibri"/>
              </w:rPr>
            </w:pPr>
            <w:r w:rsidDel="00000000" w:rsidR="00000000" w:rsidRPr="00000000">
              <w:rPr>
                <w:rFonts w:ascii="Calibri" w:cs="Calibri" w:eastAsia="Calibri" w:hAnsi="Calibri"/>
                <w:rtl w:val="0"/>
              </w:rPr>
              <w:t xml:space="preserve">Memory hurts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jc w:val="both"/>
              <w:rPr>
                <w:rFonts w:ascii="Calibri" w:cs="Calibri" w:eastAsia="Calibri" w:hAnsi="Calibri"/>
              </w:rPr>
            </w:pPr>
            <w:r w:rsidDel="00000000" w:rsidR="00000000" w:rsidRPr="00000000">
              <w:rPr>
                <w:rFonts w:ascii="Calibri" w:cs="Calibri" w:eastAsia="Calibri" w:hAnsi="Calibri"/>
                <w:rtl w:val="0"/>
              </w:rPr>
              <w:t xml:space="preserve">Numerical only (O3)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jc w:val="both"/>
              <w:rPr>
                <w:rFonts w:ascii="Calibri" w:cs="Calibri" w:eastAsia="Calibri" w:hAnsi="Calibri"/>
              </w:rPr>
            </w:pPr>
            <w:r w:rsidDel="00000000" w:rsidR="00000000" w:rsidRPr="00000000">
              <w:rPr>
                <w:rFonts w:ascii="Calibri" w:cs="Calibri" w:eastAsia="Calibri" w:hAnsi="Calibri"/>
                <w:rtl w:val="0"/>
              </w:rPr>
              <w:t xml:space="preserve">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jc w:val="both"/>
              <w:rPr>
                <w:rFonts w:ascii="Calibri" w:cs="Calibri" w:eastAsia="Calibri" w:hAnsi="Calibri"/>
              </w:rPr>
            </w:pPr>
            <w:r w:rsidDel="00000000" w:rsidR="00000000" w:rsidRPr="00000000">
              <w:rPr>
                <w:rFonts w:ascii="Calibri" w:cs="Calibri" w:eastAsia="Calibri" w:hAnsi="Calibri"/>
                <w:rtl w:val="0"/>
              </w:rPr>
              <w:t xml:space="preserve">Floor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jc w:val="both"/>
              <w:rPr>
                <w:rFonts w:ascii="Calibri" w:cs="Calibri" w:eastAsia="Calibri" w:hAnsi="Calibri"/>
              </w:rPr>
            </w:pPr>
            <w:r w:rsidDel="00000000" w:rsidR="00000000" w:rsidRPr="00000000">
              <w:rPr>
                <w:rFonts w:ascii="Calibri" w:cs="Calibri" w:eastAsia="Calibri" w:hAnsi="Calibri"/>
                <w:rtl w:val="0"/>
              </w:rPr>
              <w:t xml:space="preserve">-0.028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jc w:val="both"/>
              <w:rPr>
                <w:rFonts w:ascii="Calibri" w:cs="Calibri" w:eastAsia="Calibri" w:hAnsi="Calibri"/>
              </w:rPr>
            </w:pPr>
            <w:r w:rsidDel="00000000" w:rsidR="00000000" w:rsidRPr="00000000">
              <w:rPr>
                <w:rFonts w:ascii="Calibri" w:cs="Calibri" w:eastAsia="Calibri" w:hAnsi="Calibri"/>
                <w:rtl w:val="0"/>
              </w:rPr>
              <w:t xml:space="preserve">Memory helps (reversal)</w:t>
            </w:r>
          </w:p>
        </w:tc>
      </w:tr>
    </w:tbl>
    <w:p w:rsidR="00000000" w:rsidDel="00000000" w:rsidP="00000000" w:rsidRDefault="00000000" w:rsidRPr="00000000" w14:paraId="00000159">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R4.</w:t>
      </w:r>
      <w:r w:rsidDel="00000000" w:rsidR="00000000" w:rsidRPr="00000000">
        <w:rPr>
          <w:rFonts w:ascii="Calibri" w:cs="Calibri" w:eastAsia="Calibri" w:hAnsi="Calibri"/>
          <w:rtl w:val="0"/>
        </w:rPr>
        <w:t xml:space="preserve"> Flat-market MAS gap (memory minus static) per framework, reported for Claude Sonnet 4.6 as a representative model; cross-model OCEAN results reported below. Negative = memory helps; positive = memory hurts. </w:t>
      </w:r>
    </w:p>
    <w:p w:rsidR="00000000" w:rsidDel="00000000" w:rsidP="00000000" w:rsidRDefault="00000000" w:rsidRPr="00000000" w14:paraId="0000015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bidirectional alignment finding replicates under OCEAN for Claude Sonnet 4.6 and Gemini 2.5 Flash. For GPT-4o-mini, the O1-Conservative persona already achieves perfect mandate adherence in the static condition (MAS = 0.000), leaving no room for re-grounding to improve further; this is a ceiling effect on adherence rather than a contradictory result. Pooled across all three models and five seeds, the O1-Conservative memory gap is -0.112 (helps) and the O2-Aggressive gap is +0.187 (hurts), preserving the bidirectional pattern.</w:t>
      </w:r>
    </w:p>
    <w:p w:rsidR="00000000" w:rsidDel="00000000" w:rsidP="00000000" w:rsidRDefault="00000000" w:rsidRPr="00000000" w14:paraId="0000015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O3 results show that stripping all persona-trait language and retaining only C_ideal eliminates the overtrading penalty for the aggressive persona entirely: re-injection produces a small benefit (-0.028) rather than the harm seen under both MBTI (+0.112) and OCEAN (+0.131). This suggests that mandate-language content matters beyond the numerical target alone, and that the core MSD finding is not an artifact of the MBTI framework. We will include these results as a robustness check and update the limitations section in the camera-ready version. </w:t>
      </w:r>
    </w:p>
    <w:p w:rsidR="00000000" w:rsidDel="00000000" w:rsidP="00000000" w:rsidRDefault="00000000" w:rsidRPr="00000000" w14:paraId="0000015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15D">
      <w:pPr>
        <w:spacing w:after="240" w:before="240" w:lineRule="auto"/>
        <w:jc w:val="both"/>
        <w:rPr>
          <w:rFonts w:ascii="Courier Prime" w:cs="Courier Prime" w:eastAsia="Courier Prime" w:hAnsi="Courier Prime"/>
          <w:sz w:val="20"/>
          <w:szCs w:val="20"/>
        </w:rPr>
      </w:pPr>
      <w:r w:rsidDel="00000000" w:rsidR="00000000" w:rsidRPr="00000000">
        <w:rPr>
          <w:rFonts w:ascii="Courier Prime" w:cs="Courier Prime" w:eastAsia="Courier Prime" w:hAnsi="Courier Prime"/>
          <w:sz w:val="20"/>
          <w:szCs w:val="20"/>
          <w:rtl w:val="0"/>
        </w:rPr>
        <w:t xml:space="preserve">Furnham, A. (1996). The big five versus the big four: the relationship between the Myers-Briggs Type Indicator (MBTI) and NEO-PI five factor model of personality. </w:t>
      </w:r>
      <w:r w:rsidDel="00000000" w:rsidR="00000000" w:rsidRPr="00000000">
        <w:rPr>
          <w:rFonts w:ascii="Courier Prime" w:cs="Courier Prime" w:eastAsia="Courier Prime" w:hAnsi="Courier Prime"/>
          <w:i w:val="1"/>
          <w:iCs w:val="1"/>
          <w:sz w:val="20"/>
          <w:szCs w:val="20"/>
          <w:rtl w:val="0"/>
        </w:rPr>
        <w:t xml:space="preserve">Personality and Individual Differences, 21</w:t>
      </w:r>
      <w:r w:rsidDel="00000000" w:rsidR="00000000" w:rsidRPr="00000000">
        <w:rPr>
          <w:rFonts w:ascii="Courier Prime" w:cs="Courier Prime" w:eastAsia="Courier Prime" w:hAnsi="Courier Prime"/>
          <w:sz w:val="20"/>
          <w:szCs w:val="20"/>
          <w:rtl w:val="0"/>
        </w:rPr>
        <w:t xml:space="preserve">(2), 303–307.</w:t>
      </w:r>
    </w:p>
    <w:p w:rsidR="00000000" w:rsidDel="00000000" w:rsidP="00000000" w:rsidRDefault="00000000" w:rsidRPr="00000000" w14:paraId="0000015E">
      <w:pPr>
        <w:spacing w:after="240" w:before="240" w:lineRule="auto"/>
        <w:jc w:val="both"/>
        <w:rPr>
          <w:rFonts w:ascii="Calibri" w:cs="Calibri" w:eastAsia="Calibri" w:hAnsi="Calibri"/>
        </w:rPr>
      </w:pPr>
      <w:r w:rsidDel="00000000" w:rsidR="00000000" w:rsidRPr="00000000">
        <w:rPr>
          <w:rFonts w:ascii="Courier Prime" w:cs="Courier Prime" w:eastAsia="Courier Prime" w:hAnsi="Courier Prime"/>
          <w:sz w:val="20"/>
          <w:szCs w:val="20"/>
          <w:rtl w:val="0"/>
        </w:rPr>
        <w:t xml:space="preserve">Costa, P. T., &amp; McCrae, R. R. (1992). </w:t>
      </w:r>
      <w:r w:rsidDel="00000000" w:rsidR="00000000" w:rsidRPr="00000000">
        <w:rPr>
          <w:rFonts w:ascii="Courier Prime" w:cs="Courier Prime" w:eastAsia="Courier Prime" w:hAnsi="Courier Prime"/>
          <w:i w:val="1"/>
          <w:iCs w:val="1"/>
          <w:sz w:val="20"/>
          <w:szCs w:val="20"/>
          <w:rtl w:val="0"/>
        </w:rPr>
        <w:t xml:space="preserve">Revised NEO Personality Inventory (NEO-PI-R) and NEO Five-Factor Inventory (NEO-FFI) professional manual.</w:t>
      </w:r>
      <w:r w:rsidDel="00000000" w:rsidR="00000000" w:rsidRPr="00000000">
        <w:rPr>
          <w:rFonts w:ascii="Courier Prime" w:cs="Courier Prime" w:eastAsia="Courier Prime" w:hAnsi="Courier Prime"/>
          <w:sz w:val="20"/>
          <w:szCs w:val="20"/>
          <w:rtl w:val="0"/>
        </w:rPr>
        <w:t xml:space="preserve"> Psychological Assessment Resources.</w:t>
      </w:r>
      <w:r w:rsidDel="00000000" w:rsidR="00000000" w:rsidRPr="00000000">
        <w:rPr>
          <w:rtl w:val="0"/>
        </w:rPr>
      </w:r>
    </w:p>
    <w:p w:rsidR="00000000" w:rsidDel="00000000" w:rsidP="00000000" w:rsidRDefault="00000000" w:rsidRPr="00000000" w14:paraId="000001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shd w:fill="f7f6f4" w:val="clear"/>
          <w:rtl w:val="0"/>
        </w:rPr>
        <w:t xml:space="preserve">Only three personalities are tested, and each is tied to a fixed cash target chosen by the authors. This is too narrow to support the broad claims about how agents handle different risk profiles. Some of the personality-by-scenario findings also follow directly from how the targets were set, rather than from independent agent behavior.</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point. On persona coverage, we acknowledge the limitation while noting that the three-persona design is intentional: the benchmark's goal is to provide a controlled diagnostic for mandate stability across a behaviorally meaningful range, not exhaustive psychometric coverage. The three personas span the risk-appetite spectrum from strict capital preservation (ISFJ, C_ideal = 1.0) to aggressive growth (ENTJ, C_ideal = 0.2). The OCEAN replication (camera-ready version) partially addresses coverage by grounding personas in the validated Five-Factor Model across all five dimensions. Systematic coverage of intermediate and orthogonal profiles remains future work. </w:t>
      </w:r>
    </w:p>
    <w:p w:rsidR="00000000" w:rsidDel="00000000" w:rsidP="00000000" w:rsidRDefault="00000000" w:rsidRPr="00000000" w14:paraId="0000016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 the C_ideal confound: the reviewer is correct that separating the C_ideal contribution from the vocabulary contribution is important. The O3 numerical-only ablation does this directly. When all psychometric vocabulary is stripped and only C_ideal and a bare risk orientation are retained, the memory-hurts effect for the aggressive persona disappears entirely: re-injection produces a small benefit (-0.028) rather than the +0.112 harm seen under MBTI and +0.131 under OCEAN. If results </w:t>
      </w:r>
      <w:r w:rsidDel="00000000" w:rsidR="00000000" w:rsidRPr="00000000">
        <w:rPr>
          <w:rFonts w:ascii="Calibri" w:cs="Calibri" w:eastAsia="Calibri" w:hAnsi="Calibri"/>
          <w:rtl w:val="0"/>
        </w:rPr>
        <w:t xml:space="preserve">followed</w:t>
      </w:r>
      <w:r w:rsidDel="00000000" w:rsidR="00000000" w:rsidRPr="00000000">
        <w:rPr>
          <w:rFonts w:ascii="Calibri" w:cs="Calibri" w:eastAsia="Calibri" w:hAnsi="Calibri"/>
          <w:rtl w:val="0"/>
        </w:rPr>
        <w:t xml:space="preserve"> mechanically from C_ideal alone, the O3 aggressive persona should show the same memory-hurts pattern as ENTJ and O2. It does not. </w:t>
      </w:r>
      <w:r w:rsidDel="00000000" w:rsidR="00000000" w:rsidRPr="00000000">
        <w:rPr>
          <w:rFonts w:ascii="Calibri" w:cs="Calibri" w:eastAsia="Calibri" w:hAnsi="Calibri"/>
          <w:rtl w:val="0"/>
        </w:rPr>
        <w:t xml:space="preserve">This ablation reduces the concern that the bidirectional finding is merely a tautological consequence of how targets were set, suggesting that mandate-language content contributes beyond C_ideal alone.</w:t>
      </w:r>
      <w:r w:rsidDel="00000000" w:rsidR="00000000" w:rsidRPr="00000000">
        <w:rPr>
          <w:rtl w:val="0"/>
        </w:rPr>
      </w:r>
    </w:p>
    <w:p w:rsidR="00000000" w:rsidDel="00000000" w:rsidP="00000000" w:rsidRDefault="00000000" w:rsidRPr="00000000" w14:paraId="0000016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shd w:fill="f7f6f4" w:val="clear"/>
          <w:rtl w:val="0"/>
        </w:rPr>
        <w:t xml:space="preserve">The synthetic market has a similar problem with unjustified choices. The bubble drift, the crash discount, the volatility recursion, and the 200-day horizon are all presented as reasonable, but the paper does not argue why these specific values should produce results that say anything about real deployment rather than artifacts of the chosen numbers. The paper partially addresses the 200-day horizon and crash discount through calibration and sensitivity analysis, but other parameters receive less validation.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point and distinguish between what is validated and what is not.</w:t>
      </w:r>
    </w:p>
    <w:p w:rsidR="00000000" w:rsidDel="00000000" w:rsidP="00000000" w:rsidRDefault="00000000" w:rsidRPr="00000000" w14:paraId="0000016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Two parameters receive explicit empirical validation in the submitted paper. The 200-day horizon is justified through the T-threshold calibration experiment (Appendix E), and the crash discount delta is validated through a three-level sensitivity sweep (delta in {0.85, 0.92, 0.95}, Appendix G), showing the memory re-grounding benefit is stable across all three severities (-15.0% to -18.8% drawdown reduction, p &lt; 0.001 throughout). </w:t>
      </w:r>
      <w:r w:rsidDel="00000000" w:rsidR="00000000" w:rsidRPr="00000000">
        <w:rPr>
          <w:rFonts w:ascii="Calibri" w:cs="Calibri" w:eastAsia="Calibri" w:hAnsi="Calibri"/>
          <w:rtl w:val="0"/>
        </w:rPr>
        <w:t xml:space="preserve">To further validate the horizon choice</w:t>
      </w:r>
      <w:r w:rsidDel="00000000" w:rsidR="00000000" w:rsidRPr="00000000">
        <w:rPr>
          <w:rFonts w:ascii="Calibri" w:cs="Calibri" w:eastAsia="Calibri" w:hAnsi="Calibri"/>
          <w:rtl w:val="0"/>
        </w:rPr>
        <w:t xml:space="preserve">, we ran Claude Sonnet 4.6 at T=800 (four times the benchmark horizon) across all three scenarios and five seeds. Reporting flat-scenario MAS as a representative case, the directional pattern is preserved: ENTJ memory continues to hurt (MAS 0.188 static vs. 0.341 memory), ISFJ memory continues to help (0.988 vs. 0.947), and INTJ remains neutral (0.474 vs. 0.480), suggesting the main directional pattern is not merely an artifact of the T=200 horizon.</w:t>
      </w:r>
    </w:p>
    <w:p w:rsidR="00000000" w:rsidDel="00000000" w:rsidP="00000000" w:rsidRDefault="00000000" w:rsidRPr="00000000" w14:paraId="0000016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acknowledge that the bubble FOMO drift rate, GARCH volatility recursion parameters, and flat market noise specification receive less formal validation. However, the diagnostic comparison remains meaningful under the specified generator, as mandate adherence is measured against the mathematically defined ground truth Vt. Broader parameter robustness remains an area for future work. We will clarify which parameters are empirically validated and which are scoping choices in the limitations section in the camera-ready version.</w:t>
      </w:r>
    </w:p>
    <w:p w:rsidR="00000000" w:rsidDel="00000000" w:rsidP="00000000" w:rsidRDefault="00000000" w:rsidRPr="00000000" w14:paraId="000001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A">
      <w:pPr>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shd w:fill="f7f6f4" w:val="clear"/>
          <w:rtl w:val="0"/>
        </w:rPr>
        <w:t xml:space="preserve">The setup is one agent trading one asset. That is a fairly long way from anything that would be deployed as an actual financial agent, where portfolios, multiple instruments, and other market participants are central to how decisions get made.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C">
      <w:pPr>
        <w:jc w:val="both"/>
        <w:rPr>
          <w:rFonts w:ascii="Calibri" w:cs="Calibri" w:eastAsia="Calibri" w:hAnsi="Calibri"/>
        </w:rPr>
      </w:pPr>
      <w:r w:rsidDel="00000000" w:rsidR="00000000" w:rsidRPr="00000000">
        <w:rPr>
          <w:rFonts w:ascii="Calibri" w:cs="Calibri" w:eastAsia="Calibri" w:hAnsi="Calibri"/>
          <w:rtl w:val="0"/>
        </w:rPr>
        <w:t xml:space="preserve">We thank the reviewer and acknowledge this directly. The single-agent, single-asset design intentionally excludes portfolio effects, inter-asset correlations, and multi-agent dynamics, and expanding to these settings remains future work. This simplification is a deliberate first-step tradeoff: establishing falsifiable ground truth is easier in an environment where intrinsic value is mathematically defined and withheld. Introducing multiple assets and market participants would reintroduce the epistemic subjectivity about intrinsic value that FinPersona-Bench was designed to eliminate. The scope of the current benchmark is to establish a falsifiable measurement environment for MSD in its simplest form before extending to ecological complexity. We will make this rationale explicit in the limitations section in the camera-ready version. </w:t>
      </w:r>
    </w:p>
    <w:p w:rsidR="00000000" w:rsidDel="00000000" w:rsidP="00000000" w:rsidRDefault="00000000" w:rsidRPr="00000000" w14:paraId="000001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F">
      <w:pPr>
        <w:jc w:val="both"/>
        <w:rPr>
          <w:rFonts w:ascii="Calibri" w:cs="Calibri" w:eastAsia="Calibri" w:hAnsi="Calibri"/>
          <w:sz w:val="20"/>
          <w:szCs w:val="20"/>
        </w:rPr>
      </w:pPr>
      <w:r w:rsidDel="00000000" w:rsidR="00000000" w:rsidRPr="00000000">
        <w:rPr>
          <w:rFonts w:ascii="Calibri" w:cs="Calibri" w:eastAsia="Calibri" w:hAnsi="Calibri"/>
          <w:color w:val="333333"/>
          <w:sz w:val="20"/>
          <w:szCs w:val="20"/>
          <w:shd w:fill="f7f6f4" w:val="clear"/>
          <w:rtl w:val="0"/>
        </w:rPr>
        <w:t xml:space="preserve">The Rationality Gap metric does not work cleanly across the three personalities. It marks holding cash in an undervalued market as irrational even for the conservative ISFJ persona, whose stated job is to hold cash. The same metric punishes one personality for following its own instructions and rewards another for similar behavior, which makes cross-personality comparisons hard to read.</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identifying this tension. The RG metric measures alignment with fundamental value, not alignment with the assigned mandate. Holding cash in an undervalued market is marked irrational by RG regardless of persona, because the ground truth Vt provides an objective buying signal that no rational value-aware agent should ignore. For ISFJ, whose mandate is capital preservation, this creates an apparent conflict: following the mandate faithfully can produce a low RG score.</w:t>
      </w:r>
    </w:p>
    <w:p w:rsidR="00000000" w:rsidDel="00000000" w:rsidP="00000000" w:rsidRDefault="00000000" w:rsidRPr="00000000" w14:paraId="0000017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tension reflects a separation between value-rationality and mandate adherence that is central to the paper's argument. The paper's central argument is that mandate adherence and value-rationality are separable dimensions of agent behavior, and that MSD causes them to diverge in scenario-dependent ways. The Bull Trap result, where static agents achieve higher RG than memory agents, is meaningful precisely because it shows that enforcing a conservative mandate during a speculative regime suppresses value-rational behavior. Cross-persona RG comparisons therefore require care: a high RG score for ISFJ means the agent is buying undervalued assets despite its capital-preservation mandate, which is rational from a value perspective but a mandate violation.</w:t>
      </w:r>
    </w:p>
    <w:p w:rsidR="00000000" w:rsidDel="00000000" w:rsidP="00000000" w:rsidRDefault="00000000" w:rsidRPr="00000000" w14:paraId="0000017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acknowledge this and will add an explicit clarification in Section 3.3.3 stating that RG should not be used alone to rank personas, as it measures value-rationality rather than mandate adherence, and should always be read alongside MAS in the camera-ready version. </w:t>
      </w:r>
    </w:p>
    <w:p w:rsidR="00000000" w:rsidDel="00000000" w:rsidP="00000000" w:rsidRDefault="00000000" w:rsidRPr="00000000" w14:paraId="0000017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4">
      <w:pPr>
        <w:jc w:val="both"/>
        <w:rPr>
          <w:rFonts w:ascii="Calibri" w:cs="Calibri" w:eastAsia="Calibri" w:hAnsi="Calibri"/>
        </w:rPr>
      </w:pPr>
      <w:r w:rsidDel="00000000" w:rsidR="00000000" w:rsidRPr="00000000">
        <w:rPr>
          <w:rFonts w:ascii="Calibri" w:cs="Calibri" w:eastAsia="Calibri" w:hAnsi="Calibri"/>
          <w:color w:val="333333"/>
          <w:sz w:val="20"/>
          <w:szCs w:val="20"/>
          <w:shd w:fill="f7f6f4" w:val="clear"/>
          <w:rtl w:val="0"/>
        </w:rPr>
        <w:t xml:space="preserve">The memory test is all or nothing. The agent either gets the instructions repeated at every single step or never sees them again after the start. The paper concludes that situation-aware re-prompting is what practitioners need, but no intermediate frequencies, shorter reminders, or selective triggers are tested. That conclusion is stronger than the experiment can support.</w:t>
      </w: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precise critique and agree the binary design alone cannot support a prescription about situation-aware re-grounding. We ran an injection-frequency ablation to address this directly, varying injection frequency k across {1, 5, 25, 100, INF} on Claude Sonnet 4.6 in the flat scenario across all three personas and three seeds.</w:t>
      </w:r>
    </w:p>
    <w:tbl>
      <w:tblPr>
        <w:tblStyle w:val="Table12"/>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670"/>
        <w:gridCol w:w="860"/>
        <w:gridCol w:w="845"/>
        <w:gridCol w:w="845"/>
        <w:gridCol w:w="845"/>
        <w:gridCol w:w="1940"/>
        <w:tblGridChange w:id="0">
          <w:tblGrid>
            <w:gridCol w:w="2075"/>
            <w:gridCol w:w="1670"/>
            <w:gridCol w:w="860"/>
            <w:gridCol w:w="845"/>
            <w:gridCol w:w="845"/>
            <w:gridCol w:w="845"/>
            <w:gridCol w:w="19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jc w:val="both"/>
              <w:rPr>
                <w:rFonts w:ascii="Calibri" w:cs="Calibri" w:eastAsia="Calibri" w:hAnsi="Calibri"/>
              </w:rPr>
            </w:pPr>
            <w:r w:rsidDel="00000000" w:rsidR="00000000" w:rsidRPr="00000000">
              <w:rPr>
                <w:rFonts w:ascii="Calibri" w:cs="Calibri" w:eastAsia="Calibri" w:hAnsi="Calibri"/>
                <w:b w:val="1"/>
                <w:bCs w:val="1"/>
                <w:rtl w:val="0"/>
              </w:rPr>
              <w:t xml:space="preserve">Persona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jc w:val="both"/>
              <w:rPr>
                <w:rFonts w:ascii="Calibri" w:cs="Calibri" w:eastAsia="Calibri" w:hAnsi="Calibri"/>
              </w:rPr>
            </w:pPr>
            <w:r w:rsidDel="00000000" w:rsidR="00000000" w:rsidRPr="00000000">
              <w:rPr>
                <w:rFonts w:ascii="Calibri" w:cs="Calibri" w:eastAsia="Calibri" w:hAnsi="Calibri"/>
                <w:b w:val="1"/>
                <w:bCs w:val="1"/>
                <w:rtl w:val="0"/>
              </w:rPr>
              <w:t xml:space="preserve">k=INF (static)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jc w:val="both"/>
              <w:rPr>
                <w:rFonts w:ascii="Calibri" w:cs="Calibri" w:eastAsia="Calibri" w:hAnsi="Calibri"/>
              </w:rPr>
            </w:pPr>
            <w:r w:rsidDel="00000000" w:rsidR="00000000" w:rsidRPr="00000000">
              <w:rPr>
                <w:rFonts w:ascii="Calibri" w:cs="Calibri" w:eastAsia="Calibri" w:hAnsi="Calibri"/>
                <w:b w:val="1"/>
                <w:bCs w:val="1"/>
                <w:rtl w:val="0"/>
              </w:rPr>
              <w:t xml:space="preserve">k=100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jc w:val="both"/>
              <w:rPr>
                <w:rFonts w:ascii="Calibri" w:cs="Calibri" w:eastAsia="Calibri" w:hAnsi="Calibri"/>
              </w:rPr>
            </w:pPr>
            <w:r w:rsidDel="00000000" w:rsidR="00000000" w:rsidRPr="00000000">
              <w:rPr>
                <w:rFonts w:ascii="Calibri" w:cs="Calibri" w:eastAsia="Calibri" w:hAnsi="Calibri"/>
                <w:b w:val="1"/>
                <w:bCs w:val="1"/>
                <w:rtl w:val="0"/>
              </w:rPr>
              <w:t xml:space="preserve">k=25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jc w:val="both"/>
              <w:rPr>
                <w:rFonts w:ascii="Calibri" w:cs="Calibri" w:eastAsia="Calibri" w:hAnsi="Calibri"/>
              </w:rPr>
            </w:pPr>
            <w:r w:rsidDel="00000000" w:rsidR="00000000" w:rsidRPr="00000000">
              <w:rPr>
                <w:rFonts w:ascii="Calibri" w:cs="Calibri" w:eastAsia="Calibri" w:hAnsi="Calibri"/>
                <w:b w:val="1"/>
                <w:bCs w:val="1"/>
                <w:rtl w:val="0"/>
              </w:rPr>
              <w:t xml:space="preserve">k=5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jc w:val="both"/>
              <w:rPr>
                <w:rFonts w:ascii="Calibri" w:cs="Calibri" w:eastAsia="Calibri" w:hAnsi="Calibri"/>
              </w:rPr>
            </w:pPr>
            <w:r w:rsidDel="00000000" w:rsidR="00000000" w:rsidRPr="00000000">
              <w:rPr>
                <w:rFonts w:ascii="Calibri" w:cs="Calibri" w:eastAsia="Calibri" w:hAnsi="Calibri"/>
                <w:b w:val="1"/>
                <w:bCs w:val="1"/>
                <w:rtl w:val="0"/>
              </w:rPr>
              <w:t xml:space="preserve">k=1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jc w:val="both"/>
              <w:rPr>
                <w:rFonts w:ascii="Calibri" w:cs="Calibri" w:eastAsia="Calibri" w:hAnsi="Calibri"/>
              </w:rPr>
            </w:pPr>
            <w:r w:rsidDel="00000000" w:rsidR="00000000" w:rsidRPr="00000000">
              <w:rPr>
                <w:rFonts w:ascii="Calibri" w:cs="Calibri" w:eastAsia="Calibri" w:hAnsi="Calibri"/>
                <w:b w:val="1"/>
                <w:bCs w:val="1"/>
                <w:rtl w:val="0"/>
              </w:rPr>
              <w:t xml:space="preserve">Recommended 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jc w:val="both"/>
              <w:rPr>
                <w:rFonts w:ascii="Calibri" w:cs="Calibri" w:eastAsia="Calibri" w:hAnsi="Calibri"/>
              </w:rPr>
            </w:pPr>
            <w:r w:rsidDel="00000000" w:rsidR="00000000" w:rsidRPr="00000000">
              <w:rPr>
                <w:rFonts w:ascii="Calibri" w:cs="Calibri" w:eastAsia="Calibri" w:hAnsi="Calibri"/>
                <w:rtl w:val="0"/>
              </w:rPr>
              <w:t xml:space="preserve">ENTJ (Cideal=0.2)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jc w:val="both"/>
              <w:rPr>
                <w:rFonts w:ascii="Calibri" w:cs="Calibri" w:eastAsia="Calibri" w:hAnsi="Calibri"/>
              </w:rPr>
            </w:pPr>
            <w:r w:rsidDel="00000000" w:rsidR="00000000" w:rsidRPr="00000000">
              <w:rPr>
                <w:rFonts w:ascii="Calibri" w:cs="Calibri" w:eastAsia="Calibri" w:hAnsi="Calibri"/>
                <w:rtl w:val="0"/>
              </w:rPr>
              <w:t xml:space="preserve">49.5%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jc w:val="both"/>
              <w:rPr>
                <w:rFonts w:ascii="Calibri" w:cs="Calibri" w:eastAsia="Calibri" w:hAnsi="Calibri"/>
              </w:rPr>
            </w:pPr>
            <w:r w:rsidDel="00000000" w:rsidR="00000000" w:rsidRPr="00000000">
              <w:rPr>
                <w:rFonts w:ascii="Calibri" w:cs="Calibri" w:eastAsia="Calibri" w:hAnsi="Calibri"/>
                <w:rtl w:val="0"/>
              </w:rPr>
              <w:t xml:space="preserve">59.7%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jc w:val="both"/>
              <w:rPr>
                <w:rFonts w:ascii="Calibri" w:cs="Calibri" w:eastAsia="Calibri" w:hAnsi="Calibri"/>
              </w:rPr>
            </w:pPr>
            <w:r w:rsidDel="00000000" w:rsidR="00000000" w:rsidRPr="00000000">
              <w:rPr>
                <w:rFonts w:ascii="Calibri" w:cs="Calibri" w:eastAsia="Calibri" w:hAnsi="Calibri"/>
                <w:rtl w:val="0"/>
              </w:rPr>
              <w:t xml:space="preserve">58.7%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jc w:val="both"/>
              <w:rPr>
                <w:rFonts w:ascii="Calibri" w:cs="Calibri" w:eastAsia="Calibri" w:hAnsi="Calibri"/>
              </w:rPr>
            </w:pPr>
            <w:r w:rsidDel="00000000" w:rsidR="00000000" w:rsidRPr="00000000">
              <w:rPr>
                <w:rFonts w:ascii="Calibri" w:cs="Calibri" w:eastAsia="Calibri" w:hAnsi="Calibri"/>
                <w:rtl w:val="0"/>
              </w:rPr>
              <w:t xml:space="preserve">58.9%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jc w:val="both"/>
              <w:rPr>
                <w:rFonts w:ascii="Calibri" w:cs="Calibri" w:eastAsia="Calibri" w:hAnsi="Calibri"/>
              </w:rPr>
            </w:pPr>
            <w:r w:rsidDel="00000000" w:rsidR="00000000" w:rsidRPr="00000000">
              <w:rPr>
                <w:rFonts w:ascii="Calibri" w:cs="Calibri" w:eastAsia="Calibri" w:hAnsi="Calibri"/>
                <w:rtl w:val="0"/>
              </w:rPr>
              <w:t xml:space="preserve">93.4%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jc w:val="both"/>
              <w:rPr>
                <w:rFonts w:ascii="Calibri" w:cs="Calibri" w:eastAsia="Calibri" w:hAnsi="Calibri"/>
              </w:rPr>
            </w:pPr>
            <w:r w:rsidDel="00000000" w:rsidR="00000000" w:rsidRPr="00000000">
              <w:rPr>
                <w:rFonts w:ascii="Calibri" w:cs="Calibri" w:eastAsia="Calibri" w:hAnsi="Calibri"/>
                <w:rtl w:val="0"/>
              </w:rPr>
              <w:t xml:space="preserve">k=1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jc w:val="both"/>
              <w:rPr>
                <w:rFonts w:ascii="Calibri" w:cs="Calibri" w:eastAsia="Calibri" w:hAnsi="Calibri"/>
              </w:rPr>
            </w:pPr>
            <w:r w:rsidDel="00000000" w:rsidR="00000000" w:rsidRPr="00000000">
              <w:rPr>
                <w:rFonts w:ascii="Calibri" w:cs="Calibri" w:eastAsia="Calibri" w:hAnsi="Calibri"/>
                <w:rtl w:val="0"/>
              </w:rPr>
              <w:t xml:space="preserve">ISFJ (Cideal=1.0)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jc w:val="both"/>
              <w:rPr>
                <w:rFonts w:ascii="Calibri" w:cs="Calibri" w:eastAsia="Calibri" w:hAnsi="Calibri"/>
              </w:rPr>
            </w:pPr>
            <w:r w:rsidDel="00000000" w:rsidR="00000000" w:rsidRPr="00000000">
              <w:rPr>
                <w:rFonts w:ascii="Calibri" w:cs="Calibri" w:eastAsia="Calibri" w:hAnsi="Calibri"/>
                <w:rtl w:val="0"/>
              </w:rPr>
              <w:t xml:space="preserve">39.5%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jc w:val="both"/>
              <w:rPr>
                <w:rFonts w:ascii="Calibri" w:cs="Calibri" w:eastAsia="Calibri" w:hAnsi="Calibri"/>
              </w:rPr>
            </w:pPr>
            <w:r w:rsidDel="00000000" w:rsidR="00000000" w:rsidRPr="00000000">
              <w:rPr>
                <w:rFonts w:ascii="Calibri" w:cs="Calibri" w:eastAsia="Calibri" w:hAnsi="Calibri"/>
                <w:rtl w:val="0"/>
              </w:rPr>
              <w:t xml:space="preserve">43.1%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jc w:val="both"/>
              <w:rPr>
                <w:rFonts w:ascii="Calibri" w:cs="Calibri" w:eastAsia="Calibri" w:hAnsi="Calibri"/>
              </w:rPr>
            </w:pPr>
            <w:r w:rsidDel="00000000" w:rsidR="00000000" w:rsidRPr="00000000">
              <w:rPr>
                <w:rFonts w:ascii="Calibri" w:cs="Calibri" w:eastAsia="Calibri" w:hAnsi="Calibri"/>
                <w:rtl w:val="0"/>
              </w:rPr>
              <w:t xml:space="preserve">40.0%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jc w:val="both"/>
              <w:rPr>
                <w:rFonts w:ascii="Calibri" w:cs="Calibri" w:eastAsia="Calibri" w:hAnsi="Calibri"/>
              </w:rPr>
            </w:pPr>
            <w:r w:rsidDel="00000000" w:rsidR="00000000" w:rsidRPr="00000000">
              <w:rPr>
                <w:rFonts w:ascii="Calibri" w:cs="Calibri" w:eastAsia="Calibri" w:hAnsi="Calibri"/>
                <w:rtl w:val="0"/>
              </w:rPr>
              <w:t xml:space="preserve">45.2%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jc w:val="both"/>
              <w:rPr>
                <w:rFonts w:ascii="Calibri" w:cs="Calibri" w:eastAsia="Calibri" w:hAnsi="Calibri"/>
              </w:rPr>
            </w:pPr>
            <w:r w:rsidDel="00000000" w:rsidR="00000000" w:rsidRPr="00000000">
              <w:rPr>
                <w:rFonts w:ascii="Calibri" w:cs="Calibri" w:eastAsia="Calibri" w:hAnsi="Calibri"/>
                <w:rtl w:val="0"/>
              </w:rPr>
              <w:t xml:space="preserve">49.2%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jc w:val="both"/>
              <w:rPr>
                <w:rFonts w:ascii="Calibri" w:cs="Calibri" w:eastAsia="Calibri" w:hAnsi="Calibri"/>
              </w:rPr>
            </w:pPr>
            <w:r w:rsidDel="00000000" w:rsidR="00000000" w:rsidRPr="00000000">
              <w:rPr>
                <w:rFonts w:ascii="Calibri" w:cs="Calibri" w:eastAsia="Calibri" w:hAnsi="Calibri"/>
                <w:rtl w:val="0"/>
              </w:rPr>
              <w:t xml:space="preserve">k=5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jc w:val="both"/>
              <w:rPr>
                <w:rFonts w:ascii="Calibri" w:cs="Calibri" w:eastAsia="Calibri" w:hAnsi="Calibri"/>
              </w:rPr>
            </w:pPr>
            <w:r w:rsidDel="00000000" w:rsidR="00000000" w:rsidRPr="00000000">
              <w:rPr>
                <w:rFonts w:ascii="Calibri" w:cs="Calibri" w:eastAsia="Calibri" w:hAnsi="Calibri"/>
                <w:rtl w:val="0"/>
              </w:rPr>
              <w:t xml:space="preserve">INTJ (Cideal=0.5)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jc w:val="both"/>
              <w:rPr>
                <w:rFonts w:ascii="Calibri" w:cs="Calibri" w:eastAsia="Calibri" w:hAnsi="Calibri"/>
              </w:rPr>
            </w:pPr>
            <w:r w:rsidDel="00000000" w:rsidR="00000000" w:rsidRPr="00000000">
              <w:rPr>
                <w:rFonts w:ascii="Calibri" w:cs="Calibri" w:eastAsia="Calibri" w:hAnsi="Calibri"/>
                <w:rtl w:val="0"/>
              </w:rPr>
              <w:t xml:space="preserve">98.9%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jc w:val="both"/>
              <w:rPr>
                <w:rFonts w:ascii="Calibri" w:cs="Calibri" w:eastAsia="Calibri" w:hAnsi="Calibri"/>
              </w:rPr>
            </w:pPr>
            <w:r w:rsidDel="00000000" w:rsidR="00000000" w:rsidRPr="00000000">
              <w:rPr>
                <w:rFonts w:ascii="Calibri" w:cs="Calibri" w:eastAsia="Calibri" w:hAnsi="Calibri"/>
                <w:rtl w:val="0"/>
              </w:rPr>
              <w:t xml:space="preserve">98.4%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jc w:val="both"/>
              <w:rPr>
                <w:rFonts w:ascii="Calibri" w:cs="Calibri" w:eastAsia="Calibri" w:hAnsi="Calibri"/>
              </w:rPr>
            </w:pPr>
            <w:r w:rsidDel="00000000" w:rsidR="00000000" w:rsidRPr="00000000">
              <w:rPr>
                <w:rFonts w:ascii="Calibri" w:cs="Calibri" w:eastAsia="Calibri" w:hAnsi="Calibri"/>
                <w:rtl w:val="0"/>
              </w:rPr>
              <w:t xml:space="preserve">98.0%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jc w:val="both"/>
              <w:rPr>
                <w:rFonts w:ascii="Calibri" w:cs="Calibri" w:eastAsia="Calibri" w:hAnsi="Calibri"/>
              </w:rPr>
            </w:pPr>
            <w:r w:rsidDel="00000000" w:rsidR="00000000" w:rsidRPr="00000000">
              <w:rPr>
                <w:rFonts w:ascii="Calibri" w:cs="Calibri" w:eastAsia="Calibri" w:hAnsi="Calibri"/>
                <w:rtl w:val="0"/>
              </w:rPr>
              <w:t xml:space="preserve">98.5%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jc w:val="both"/>
              <w:rPr>
                <w:rFonts w:ascii="Calibri" w:cs="Calibri" w:eastAsia="Calibri" w:hAnsi="Calibri"/>
              </w:rPr>
            </w:pPr>
            <w:r w:rsidDel="00000000" w:rsidR="00000000" w:rsidRPr="00000000">
              <w:rPr>
                <w:rFonts w:ascii="Calibri" w:cs="Calibri" w:eastAsia="Calibri" w:hAnsi="Calibri"/>
                <w:rtl w:val="0"/>
              </w:rPr>
              <w:t xml:space="preserve">99.5%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jc w:val="both"/>
              <w:rPr>
                <w:rFonts w:ascii="Calibri" w:cs="Calibri" w:eastAsia="Calibri" w:hAnsi="Calibri"/>
              </w:rPr>
            </w:pPr>
            <w:r w:rsidDel="00000000" w:rsidR="00000000" w:rsidRPr="00000000">
              <w:rPr>
                <w:rFonts w:ascii="Calibri" w:cs="Calibri" w:eastAsia="Calibri" w:hAnsi="Calibri"/>
                <w:rtl w:val="0"/>
              </w:rPr>
              <w:t xml:space="preserve">k=INF</w:t>
            </w:r>
          </w:p>
        </w:tc>
      </w:tr>
    </w:tbl>
    <w:p w:rsidR="00000000" w:rsidDel="00000000" w:rsidP="00000000" w:rsidRDefault="00000000" w:rsidRPr="00000000" w14:paraId="0000019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Table R3.</w:t>
      </w:r>
      <w:r w:rsidDel="00000000" w:rsidR="00000000" w:rsidRPr="00000000">
        <w:rPr>
          <w:rFonts w:ascii="Calibri" w:cs="Calibri" w:eastAsia="Calibri" w:hAnsi="Calibri"/>
          <w:rtl w:val="0"/>
        </w:rPr>
        <w:t xml:space="preserve"> Persona-language adherence P(intended persona) by injection frequency k, Claude Sonnet 4.6, flat scenario. Measured via DistilBERT classifier; reflects linguistic persona consistency, not MAS or behavioral adherence. </w:t>
      </w:r>
    </w:p>
    <w:p w:rsidR="00000000" w:rsidDel="00000000" w:rsidP="00000000" w:rsidRDefault="00000000" w:rsidRPr="00000000" w14:paraId="0000019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results reveal three distinct operational profiles. For ENTJ, adherence is a step function: only k=1 delivers meaningful benefit (93.4%), with all intermediate frequencies collapsing to ~59%. For ISFJ, k=5 captures 59% of the maximum adherence benefit at 20% of the token overhead of k=1, a genuine Pareto-efficient operating point. For INTJ, static baseline adherence is already near the ceiling (98.9%) and re-injection adds no benefit.</w:t>
      </w:r>
    </w:p>
    <w:p w:rsidR="00000000" w:rsidDel="00000000" w:rsidP="00000000" w:rsidRDefault="00000000" w:rsidRPr="00000000" w14:paraId="0000019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These results provide initial evidence toward a graded re-grounding strategy. The persona-scenario alignment matrix (Figure 3) may inform whether re-grounding is warranted at all, while injection frequency can be selected based on the adherence-overhead tradeoff. We acknowledge that currently this is demonstrated on one model and one scenario only and falls short of a validated operational framework. Shorter reminders and selective event-triggered re-injection remain untested and are identified as explicit future work. We will include this analysis in Section 5 in the camera-ready version. </w:t>
      </w:r>
    </w:p>
    <w:p w:rsidR="00000000" w:rsidDel="00000000" w:rsidP="00000000" w:rsidRDefault="00000000" w:rsidRPr="00000000" w14:paraId="000001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96">
      <w:pPr>
        <w:jc w:val="both"/>
        <w:rPr>
          <w:rFonts w:ascii="Calibri" w:cs="Calibri" w:eastAsia="Calibri" w:hAnsi="Calibri"/>
          <w:b w:val="1"/>
          <w:bCs w:val="1"/>
          <w:color w:val="8c1b13"/>
          <w:sz w:val="20"/>
          <w:szCs w:val="20"/>
          <w:shd w:fill="f7f6f4" w:val="clear"/>
        </w:rPr>
      </w:pPr>
      <w:r w:rsidDel="00000000" w:rsidR="00000000" w:rsidRPr="00000000">
        <w:rPr>
          <w:rFonts w:ascii="Calibri" w:cs="Calibri" w:eastAsia="Calibri" w:hAnsi="Calibri"/>
          <w:b w:val="1"/>
          <w:bCs w:val="1"/>
          <w:color w:val="8c1b13"/>
          <w:sz w:val="20"/>
          <w:szCs w:val="20"/>
          <w:shd w:fill="f7f6f4" w:val="clear"/>
          <w:rtl w:val="0"/>
        </w:rPr>
        <w:t xml:space="preserve">Questions To Authors:</w:t>
      </w:r>
    </w:p>
    <w:p w:rsidR="00000000" w:rsidDel="00000000" w:rsidP="00000000" w:rsidRDefault="00000000" w:rsidRPr="00000000" w14:paraId="00000197">
      <w:pPr>
        <w:shd w:fill="f7f6f4" w:val="clear"/>
        <w:spacing w:after="120" w:lineRule="auto"/>
        <w:jc w:val="both"/>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Have you considered an ablation that strips the MBTI vocabulary and provides only the allocation target and risk parameters? This would help separate the contribution of the </w:t>
      </w:r>
      <w:r w:rsidDel="00000000" w:rsidR="00000000" w:rsidRPr="00000000">
        <w:rPr>
          <w:rFonts w:ascii="Calibri" w:cs="Calibri" w:eastAsia="Calibri" w:hAnsi="Calibri"/>
          <w:color w:val="333333"/>
          <w:sz w:val="20"/>
          <w:szCs w:val="20"/>
          <w:rtl w:val="0"/>
        </w:rPr>
        <w:t xml:space="preserve">persona</w:t>
      </w:r>
      <w:r w:rsidDel="00000000" w:rsidR="00000000" w:rsidRPr="00000000">
        <w:rPr>
          <w:rFonts w:ascii="Calibri" w:cs="Calibri" w:eastAsia="Calibri" w:hAnsi="Calibri"/>
          <w:color w:val="333333"/>
          <w:sz w:val="20"/>
          <w:szCs w:val="20"/>
          <w:rtl w:val="0"/>
        </w:rPr>
        <w:t xml:space="preserve"> language from the contribution of the underlying numerical target.</w:t>
      </w:r>
    </w:p>
    <w:p w:rsidR="00000000" w:rsidDel="00000000" w:rsidP="00000000" w:rsidRDefault="00000000" w:rsidRPr="00000000" w14:paraId="0000019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99">
      <w:pPr>
        <w:jc w:val="both"/>
        <w:rPr>
          <w:rFonts w:ascii="Calibri" w:cs="Calibri" w:eastAsia="Calibri" w:hAnsi="Calibri"/>
        </w:rPr>
      </w:pPr>
      <w:r w:rsidDel="00000000" w:rsidR="00000000" w:rsidRPr="00000000">
        <w:rPr>
          <w:rFonts w:ascii="Calibri" w:cs="Calibri" w:eastAsia="Calibri" w:hAnsi="Calibri"/>
          <w:rtl w:val="0"/>
        </w:rPr>
        <w:t xml:space="preserve">We thank the reviewer for this question. Yes, this is precisely the O3 numerical-only condition described in our response to the MBTI weakness above. Stripping all psychometric vocabulary and retaining only C_ideal and a bare risk orientation eliminates the overtrading penalty for the aggressive persona entirely, suggesting that richer mandate language contributes beyond the numerical target alone. Please refer to Table R4 and the associated discussion there.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