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24"/>
      </w:tblGrid>
      <w:tr>
        <w:tc>
          <w:tcPr>
            <w:tcW w:type="dxa" w:w="10224"/>
            <w:shd w:val="clear" w:color="auto" w:fill="1F3864"/>
          </w:tcPr>
          <w:p>
            <w:pPr>
              <w:spacing w:before="200" w:after="40"/>
            </w:pPr>
            <w:r/>
            <w:r>
              <w:rPr>
                <w:b/>
                <w:color w:val="FFFFFF"/>
                <w:sz w:val="44"/>
              </w:rPr>
              <w:t>EXPERIMENT EXECUTION ORDER</w:t>
            </w:r>
          </w:p>
          <w:p>
            <w:pPr>
              <w:spacing w:after="200"/>
            </w:pPr>
            <w:r>
              <w:rPr>
                <w:color w:val="CDDDF2"/>
                <w:sz w:val="20"/>
              </w:rPr>
              <w:t>FinPersona-Bench  |  run sheet for all experiments on the new synthetic environment  |  23 Aug 2026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2E75B6"/>
          <w:sz w:val="20"/>
        </w:rPr>
        <w:t>Each step depends only on the steps above it. Do not start a step before the verification of the previous one is written down.</w:t>
      </w:r>
    </w:p>
    <w:p>
      <w:pPr>
        <w:spacing w:before="280" w:after="120"/>
        <w:pBdr>
          <w:bottom w:val="single" w:sz="12" w:space="2" w:color="2E75B6"/>
        </w:pBdr>
      </w:pPr>
      <w:r>
        <w:rPr>
          <w:b/>
          <w:color w:val="1F3864"/>
          <w:sz w:val="28"/>
        </w:rPr>
        <w:t>THE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504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872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4896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What to run</w:t>
            </w:r>
          </w:p>
        </w:tc>
        <w:tc>
          <w:tcPr>
            <w:tcW w:type="dxa" w:w="424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Verify before moving on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0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Freeze the environment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Apply the remaining environment fixes; re-run the stylized-facts checklist, the leakage audit (L1, L2, L2b, L4) and the hazard calibration; run the L3 LLM probe (a few frontier models asked to estimate value/sign from the rendered observation); freeze the generator and record its config hash.</w:t>
            </w:r>
          </w:p>
        </w:tc>
        <w:tc>
          <w:tcPr>
            <w:tcW w:type="dxa" w:w="4248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Checklist results recorded (passes and accepted fails, with reasons). L2 passes on held-out seeds (calm R2 of mispricing at or below threshold). L3 probe at or below the surrogate bound. Same seed always gives the same path. Config and prompt hashes stable.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1872"/>
            <w:shd w:val="clear" w:color="auto" w:fill="F4F8FD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Harness smoke test</w:t>
            </w:r>
          </w:p>
        </w:tc>
        <w:tc>
          <w:tcPr>
            <w:tcW w:type="dxa" w:w="4896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One cheap model, a handful of runs per scenario and arm: static, memory, both placebos, wrapper-only, swapped, no-mandate trader, plus the restatement probe. Include one stateful run.</w:t>
            </w:r>
          </w:p>
        </w:tc>
        <w:tc>
          <w:tcPr>
            <w:tcW w:type="dxa" w:w="4248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100 percent of calls parsed; every run has all rows; provenance columns (env version, config hash, prompt hash, temperature) filled; rendered prompt matches the published sample; the report and stats pipelines produce their tables without errors.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M0: open-weight coverage and the t = 0 gate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Full behavioural grid on the open-weight roster only (all personas, scenarios, seeds; static and memory arms; common-start slice for the gate). Compute band-MAS, mandate-conditional regret, drawdown and the day-1 separability gate per model.</w:t>
            </w:r>
          </w:p>
        </w:tc>
        <w:tc>
          <w:tcPr>
            <w:tcW w:type="dxa" w:w="4248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Gate pass/fail recorded per model. Anchor models for the mechanistic work chosen from those that pass (or the failure is documented as a result). Zero-trade and fallback shares per model recorded.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1872"/>
            <w:shd w:val="clear" w:color="auto" w:fill="F4F8FD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Main behavioural grid</w:t>
            </w:r>
          </w:p>
        </w:tc>
        <w:tc>
          <w:tcPr>
            <w:tcW w:type="dxa" w:w="4896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models x 3 personas x all arms x all scenarios (crash per severity) x seeds x decode replicates, start-at-band-centre, Track B; plus the Track A slice, the O3 numerical-only arm, and the common-start slice.</w:t>
            </w:r>
          </w:p>
        </w:tc>
        <w:tc>
          <w:tcPr>
            <w:tcW w:type="dxa" w:w="4248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Reliability table clean (parse and fallback rates, zero-trade shares). Baselines and oracles simulated per cell from the same start. No degenerate normalisations unflagged. Spot-check a few runs end to end against the logs.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Causal decomposition analysis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new runs: analyse step 3. Contrasts vs static per arm; content test (swapped mandate moves allocation to the injected side), force test (directive placebo and wrapper-only vs mandate), sign-reversal by persona x regime.</w:t>
            </w:r>
          </w:p>
        </w:tc>
        <w:tc>
          <w:tcPr>
            <w:tcW w:type="dxa" w:w="4248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Model-level statistics only (mixed effects, sign counts, BH across the metric family, effect sizes with CIs). The conclusion stated per model family, not pooled over runs.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1872"/>
            <w:shd w:val="clear" w:color="auto" w:fill="F4F8FD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Persona and salience analysis</w:t>
            </w:r>
          </w:p>
        </w:tc>
        <w:tc>
          <w:tcPr>
            <w:tcW w:type="dxa" w:w="4896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Target-free salience surrogate per model per window (persona share vs directive share); OCEAN grid with trait-space sampling; Track A vs Track B comparison; O3 as ceiling.</w:t>
            </w:r>
          </w:p>
        </w:tc>
        <w:tc>
          <w:tcPr>
            <w:tcW w:type="dxa" w:w="4248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Surrogate validated: label-permutation null near zero, O3 arm high. Blocked cross-validation by seed. Persona-share and directive-share reported with CIs.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6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Stateful grid (the decay test)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Stateful agent (real accumulating context, mandate in the system prompt) on the anchor models and scenarios; restatement probe on schedule; windowed statistics on adherence across the rollout.</w:t>
            </w:r>
          </w:p>
        </w:tc>
        <w:tc>
          <w:tcPr>
            <w:tcW w:type="dxa" w:w="4248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Context actually grows (token counts logged per step); probe answers logged; decay tested against a constant-exposure null with phase controlled; the long-horizon control run for at least one model.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7</w:t>
            </w:r>
          </w:p>
        </w:tc>
        <w:tc>
          <w:tcPr>
            <w:tcW w:type="dxa" w:w="1872"/>
            <w:shd w:val="clear" w:color="auto" w:fill="F4F8FD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Mechanistic: M1 and M2</w:t>
            </w:r>
          </w:p>
        </w:tc>
        <w:tc>
          <w:tcPr>
            <w:tcW w:type="dxa" w:w="4896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 the anchor models, replaying step 3 and step 6 prompts: attention to the mandate span (per arm, with placebo, uniform and first-token-sink controls; aligned by phase, not calendar day; stateful arm included). Extract the mandate-presence direction (contrastive prompts; swapped-mandate pairs) and the adherence direction on the common-start slice; validate projections against the behavioural metric.</w:t>
            </w:r>
          </w:p>
        </w:tc>
        <w:tc>
          <w:tcPr>
            <w:tcW w:type="dxa" w:w="4248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Replay reproduces logged prompt hashes exactly. Action read-out matches real generation on a sample. Direction AUROC reported on held-out seeds with the input-readable confound checked. Attention series per phase, with CIs.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8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Mechanistic: M3, then M4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M3: steer the mandate-presence direction in real rollouts (dose-response, ablate-and-restore), scored with band-MAS, mandate-conditional regret and drawdown, on at least 3 seeds per model, including the sustained-bull control. M4 only after its gate: re-check which models show the crash reversal under the new action interface; attribute the decision logits only on a model that does.</w:t>
            </w:r>
          </w:p>
        </w:tc>
        <w:tc>
          <w:tcPr>
            <w:tcW w:type="dxa" w:w="4248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M3: monotone dose-response inside the operating range; ablate worsens and restore recovers adherence; sign pattern by regime reported per model with CIs; sustained-bull behaves as predicted (adherence moves, regret does not). M4: gate table recorded first; the numeric-action logit readout validated before attribution.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9</w:t>
            </w:r>
          </w:p>
        </w:tc>
        <w:tc>
          <w:tcPr>
            <w:tcW w:type="dxa" w:w="1872"/>
            <w:shd w:val="clear" w:color="auto" w:fill="F4F8FD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Controller and frequency sweep</w:t>
            </w:r>
          </w:p>
        </w:tc>
        <w:tc>
          <w:tcPr>
            <w:tcW w:type="dxa" w:w="4896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Injection-frequency sweep scored on the behavioural metric; then the adaptive controller: re-inject only when the M2 projection crosses a threshold; compare against always-on, the sweep and a score-based trigger, per regime, with token cost.</w:t>
            </w:r>
          </w:p>
        </w:tc>
        <w:tc>
          <w:tcPr>
            <w:tcW w:type="dxa" w:w="4248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Controller beats or matches always-on where re-grounding helps and avoids the harm where it hurts; token cost reported on the same plot; results per regime, not pooled.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10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Sensitivities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Harness factors on a subset: cost tier and visibility, execution timing, start design, action interface, field order, horizon disclosure, mandate wording; generator sensitivities already scripted (engine variants, panic multiplier).</w:t>
            </w:r>
          </w:p>
        </w:tc>
        <w:tc>
          <w:tcPr>
            <w:tcW w:type="dxa" w:w="4248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Each sensitivity changes or does not change the headline contrasts; state which conclusions are robust and which are factor-dependent.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11</w:t>
            </w:r>
          </w:p>
        </w:tc>
        <w:tc>
          <w:tcPr>
            <w:tcW w:type="dxa" w:w="1872"/>
            <w:shd w:val="clear" w:color="auto" w:fill="F4F8FD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Final scoring, statistics and figures</w:t>
            </w:r>
          </w:p>
        </w:tc>
        <w:tc>
          <w:tcPr>
            <w:tcW w:type="dxa" w:w="4896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Re-score everything with the final metric definitions; assemble the mixed-effects tables, the audit tables and the figures; write the results sections from these tables only.</w:t>
            </w:r>
          </w:p>
        </w:tc>
        <w:tc>
          <w:tcPr>
            <w:tcW w:type="dxa" w:w="4248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Every number in the paper traces to a run file and a script; every figure regenerated from code; statistics at model level with BH correction; the audit and checklist tables included in the paper.</w:t>
            </w:r>
          </w:p>
        </w:tc>
      </w:tr>
    </w:tbl>
    <w:p>
      <w:pPr>
        <w:spacing w:before="280" w:after="120"/>
        <w:pBdr>
          <w:bottom w:val="single" w:sz="12" w:space="2" w:color="2E75B6"/>
        </w:pBdr>
      </w:pPr>
      <w:r>
        <w:rPr>
          <w:b/>
          <w:color w:val="1F3864"/>
          <w:sz w:val="28"/>
        </w:rPr>
        <w:t>RULES THAT APPLY AT EVERY STEP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9648"/>
            <w:shd w:val="clear" w:color="auto" w:fill="EAF1FB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 not start a step before the verification of the previous step is written down (a short note or a generated table is enough).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9648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Anything that changes the environment or the prompts after step 0 restarts from step 0: re-freeze, re-audit, new hashes.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9648"/>
            <w:shd w:val="clear" w:color="auto" w:fill="EAF1FB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All behavioural claims are made at model level; runs are replicates, not observations.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9648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Mechanistic work (steps 7 to 9) runs only on models chosen in step 2 and only on replayed prompts whose hashes match the logs.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9648"/>
            <w:shd w:val="clear" w:color="auto" w:fill="EAF1FB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If a step produces a null, record it and continue; the design does not depend on any single result.</w:t>
            </w:r>
          </w:p>
        </w:tc>
      </w:tr>
    </w:tbl>
    <w:p>
      <w:pPr>
        <w:spacing w:before="280" w:after="120"/>
        <w:pBdr>
          <w:bottom w:val="single" w:sz="12" w:space="2" w:color="2E75B6"/>
        </w:pBdr>
      </w:pPr>
      <w:r>
        <w:rPr>
          <w:b/>
          <w:color w:val="1F3864"/>
          <w:sz w:val="28"/>
        </w:rPr>
        <w:t>DEPENDENCIES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504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216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312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Needs</w:t>
            </w:r>
          </w:p>
        </w:tc>
        <w:tc>
          <w:tcPr>
            <w:tcW w:type="dxa" w:w="4176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Feeds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0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Freeze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built environment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everything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2160"/>
            <w:shd w:val="clear" w:color="auto" w:fill="F4F8FD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Smoke</w:t>
            </w:r>
          </w:p>
        </w:tc>
        <w:tc>
          <w:tcPr>
            <w:tcW w:type="dxa" w:w="3312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4176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2, 3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M0 + gate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anchor models for 7, 8, 9; headline gate table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2160"/>
            <w:shd w:val="clear" w:color="auto" w:fill="F4F8FD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Main grid</w:t>
            </w:r>
          </w:p>
        </w:tc>
        <w:tc>
          <w:tcPr>
            <w:tcW w:type="dxa" w:w="3312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176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4, 5, 7; all behavioural headlines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Causal analysis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content-vs-force conclusion; paper thesis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2160"/>
            <w:shd w:val="clear" w:color="auto" w:fill="F4F8FD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Salience / OCEAN</w:t>
            </w:r>
          </w:p>
        </w:tc>
        <w:tc>
          <w:tcPr>
            <w:tcW w:type="dxa" w:w="3312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4176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persona-share result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Stateful grid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 (can run parallel to 3)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decay result; 7 stateful replay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7</w:t>
            </w:r>
          </w:p>
        </w:tc>
        <w:tc>
          <w:tcPr>
            <w:tcW w:type="dxa" w:w="2160"/>
            <w:shd w:val="clear" w:color="auto" w:fill="F4F8FD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M1 + M2</w:t>
            </w:r>
          </w:p>
        </w:tc>
        <w:tc>
          <w:tcPr>
            <w:tcW w:type="dxa" w:w="3312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2, 3, 6</w:t>
            </w:r>
          </w:p>
        </w:tc>
        <w:tc>
          <w:tcPr>
            <w:tcW w:type="dxa" w:w="4176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8, 9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M3 + M4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mechanism result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9</w:t>
            </w:r>
          </w:p>
        </w:tc>
        <w:tc>
          <w:tcPr>
            <w:tcW w:type="dxa" w:w="2160"/>
            <w:shd w:val="clear" w:color="auto" w:fill="F4F8FD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Controller + sweep</w:t>
            </w:r>
          </w:p>
        </w:tc>
        <w:tc>
          <w:tcPr>
            <w:tcW w:type="dxa" w:w="3312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 (M2)</w:t>
            </w:r>
          </w:p>
        </w:tc>
        <w:tc>
          <w:tcPr>
            <w:tcW w:type="dxa" w:w="4176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method result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Sensitivities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robustness statements</w:t>
            </w:r>
          </w:p>
        </w:tc>
      </w:tr>
      <w:tr>
        <w:tc>
          <w:tcPr>
            <w:tcW w:type="dxa" w:w="504"/>
            <w:shd w:val="clear" w:color="auto" w:fill="2E75B6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11</w:t>
            </w:r>
          </w:p>
        </w:tc>
        <w:tc>
          <w:tcPr>
            <w:tcW w:type="dxa" w:w="2160"/>
            <w:shd w:val="clear" w:color="auto" w:fill="F4F8FD"/>
          </w:tcPr>
          <w:p>
            <w:pPr>
              <w:spacing w:after="0"/>
            </w:pPr>
            <w:r/>
            <w:r>
              <w:rPr>
                <w:b/>
                <w:color w:val="1F3864"/>
                <w:sz w:val="17"/>
              </w:rPr>
              <w:t>Final scoring</w:t>
            </w:r>
          </w:p>
        </w:tc>
        <w:tc>
          <w:tcPr>
            <w:tcW w:type="dxa" w:w="3312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</w:t>
            </w:r>
          </w:p>
        </w:tc>
        <w:tc>
          <w:tcPr>
            <w:tcW w:type="dxa" w:w="4176"/>
            <w:shd w:val="clear" w:color="auto" w:fill="F4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paper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