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Mono" w:cs="Roboto Mono" w:eastAsia="Roboto Mono" w:hAnsi="Roboto Mono"/>
        </w:rPr>
      </w:pPr>
      <w:bookmarkStart w:colFirst="0" w:colLast="0" w:name="_upsvt9cl36co" w:id="0"/>
      <w:bookmarkEnd w:id="0"/>
      <w:r w:rsidDel="00000000" w:rsidR="00000000" w:rsidRPr="00000000">
        <w:rPr>
          <w:rFonts w:ascii="Roboto Mono" w:cs="Roboto Mono" w:eastAsia="Roboto Mono" w:hAnsi="Roboto Mono"/>
          <w:b w:val="1"/>
          <w:bCs w:val="1"/>
          <w:sz w:val="36"/>
          <w:szCs w:val="36"/>
          <w:u w:val="single"/>
          <w:rtl w:val="0"/>
        </w:rPr>
        <w:t xml:space="preserve">FinPersona-Bench: Revision Plan for Resubmission</w:t>
      </w:r>
      <w:r w:rsidDel="00000000" w:rsidR="00000000" w:rsidRPr="00000000">
        <w:rPr>
          <w:rtl w:val="0"/>
        </w:rPr>
      </w:r>
    </w:p>
    <w:p w:rsidR="00000000" w:rsidDel="00000000" w:rsidP="00000000" w:rsidRDefault="00000000" w:rsidRPr="00000000" w14:paraId="0000000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Mono" w:cs="Roboto Mono" w:eastAsia="Roboto Mono" w:hAnsi="Roboto Mono"/>
          <w:b w:val="1"/>
          <w:bCs w:val="1"/>
          <w:color w:val="ffffff"/>
          <w:sz w:val="28"/>
          <w:szCs w:val="28"/>
          <w:highlight w:val="red"/>
        </w:rPr>
      </w:pPr>
      <w:bookmarkStart w:colFirst="0" w:colLast="0" w:name="_jl1nfyop2z1g" w:id="1"/>
      <w:bookmarkEnd w:id="1"/>
      <w:r w:rsidDel="00000000" w:rsidR="00000000" w:rsidRPr="00000000">
        <w:rPr>
          <w:rFonts w:ascii="Roboto Mono" w:cs="Roboto Mono" w:eastAsia="Roboto Mono" w:hAnsi="Roboto Mono"/>
          <w:b w:val="1"/>
          <w:bCs w:val="1"/>
          <w:color w:val="ffffff"/>
          <w:sz w:val="28"/>
          <w:szCs w:val="28"/>
          <w:highlight w:val="red"/>
          <w:rtl w:val="0"/>
        </w:rPr>
        <w:t xml:space="preserve">0. The Core Strategic Problem</w:t>
      </w:r>
    </w:p>
    <w:p w:rsidR="00000000" w:rsidDel="00000000" w:rsidP="00000000" w:rsidRDefault="00000000" w:rsidRPr="00000000" w14:paraId="00000004">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Read the three reviews together and one theme dominates. All three reviewers attacked the same load-bearing wall from different sides: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5073.738019169329"/>
        <w:gridCol w:w="2935.591054313099"/>
        <w:tblGridChange w:id="0">
          <w:tblGrid>
            <w:gridCol w:w="1350.6709265175718"/>
            <w:gridCol w:w="5073.738019169329"/>
            <w:gridCol w:w="2935.5910543130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Reviewer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06">
            <w:pPr>
              <w:jc w:val="center"/>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The attack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Underlying claim</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VG7b (W1)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Memory re-injection is a confound, not a probe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Our causal claim is unproven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Gxm9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"Signal interference" is "purely subjective speculation"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Our mechanism is unproven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nhWU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MBTI cannot carry the psychometric framing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Our construct is unfounded</w:t>
            </w:r>
          </w:p>
        </w:tc>
      </w:tr>
    </w:tbl>
    <w:p w:rsidR="00000000" w:rsidDel="00000000" w:rsidP="00000000" w:rsidRDefault="00000000" w:rsidRPr="00000000" w14:paraId="00000011">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paper's central sentence is: </w:t>
      </w:r>
      <w:r w:rsidDel="00000000" w:rsidR="00000000" w:rsidRPr="00000000">
        <w:rPr>
          <w:rFonts w:ascii="Roboto Mono" w:cs="Roboto Mono" w:eastAsia="Roboto Mono" w:hAnsi="Roboto Mono"/>
          <w:i w:val="1"/>
          <w:iCs w:val="1"/>
          <w:sz w:val="20"/>
          <w:szCs w:val="20"/>
          <w:rtl w:val="0"/>
        </w:rPr>
        <w:t xml:space="preserve">MSD is salience-based rather than capability-based, proven by the fact that re-injection recovers performance.</w:t>
      </w:r>
      <w:r w:rsidDel="00000000" w:rsidR="00000000" w:rsidRPr="00000000">
        <w:rPr>
          <w:rFonts w:ascii="Roboto Mono" w:cs="Roboto Mono" w:eastAsia="Roboto Mono" w:hAnsi="Roboto Mono"/>
          <w:sz w:val="20"/>
          <w:szCs w:val="20"/>
          <w:rtl w:val="0"/>
        </w:rPr>
        <w:t xml:space="preserve"> The word "proven" is doing work the evidence does not support. Everything in the paper is behavioral and correlational. The re-injection probe changes content </w:t>
      </w:r>
      <w:r w:rsidDel="00000000" w:rsidR="00000000" w:rsidRPr="00000000">
        <w:rPr>
          <w:rFonts w:ascii="Roboto Mono" w:cs="Roboto Mono" w:eastAsia="Roboto Mono" w:hAnsi="Roboto Mono"/>
          <w:b w:val="1"/>
          <w:bCs w:val="1"/>
          <w:sz w:val="20"/>
          <w:szCs w:val="20"/>
          <w:rtl w:val="0"/>
        </w:rPr>
        <w:t xml:space="preserve">and</w:t>
      </w:r>
      <w:r w:rsidDel="00000000" w:rsidR="00000000" w:rsidRPr="00000000">
        <w:rPr>
          <w:rFonts w:ascii="Roboto Mono" w:cs="Roboto Mono" w:eastAsia="Roboto Mono" w:hAnsi="Roboto Mono"/>
          <w:sz w:val="20"/>
          <w:szCs w:val="20"/>
          <w:rtl w:val="0"/>
        </w:rPr>
        <w:t xml:space="preserve"> position simultaneously, so it cannot isolate salience. That is why the same criticism arrives three times in three different ways.</w:t>
      </w:r>
    </w:p>
    <w:p w:rsidR="00000000" w:rsidDel="00000000" w:rsidP="00000000" w:rsidRDefault="00000000" w:rsidRPr="00000000" w14:paraId="00000012">
      <w:pPr>
        <w:spacing w:after="240" w:before="240" w:lineRule="auto"/>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b w:val="1"/>
          <w:bCs w:val="1"/>
          <w:color w:val="ff0000"/>
          <w:rtl w:val="0"/>
        </w:rPr>
        <w:t xml:space="preserve">So we have to convert this from a behavioral observation paper into a mechanistic paper with behavioral validation.</w:t>
      </w:r>
      <w:r w:rsidDel="00000000" w:rsidR="00000000" w:rsidRPr="00000000">
        <w:rPr>
          <w:rFonts w:ascii="Roboto Mono" w:cs="Roboto Mono" w:eastAsia="Roboto Mono" w:hAnsi="Roboto Mono"/>
          <w:color w:val="ff0000"/>
          <w:rtl w:val="0"/>
        </w:rPr>
        <w:t xml:space="preserve"> </w:t>
      </w: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Roboto Mono" w:cs="Roboto Mono" w:eastAsia="Roboto Mono" w:hAnsi="Roboto Mono"/>
          <w:shd w:fill="6aa84f" w:val="clear"/>
        </w:rPr>
      </w:pPr>
      <w:bookmarkStart w:colFirst="0" w:colLast="0" w:name="_40bdakrrn5z1" w:id="2"/>
      <w:bookmarkEnd w:id="2"/>
      <w:r w:rsidDel="00000000" w:rsidR="00000000" w:rsidRPr="00000000">
        <w:rPr>
          <w:rFonts w:ascii="Roboto Mono" w:cs="Roboto Mono" w:eastAsia="Roboto Mono" w:hAnsi="Roboto Mono"/>
          <w:b w:val="1"/>
          <w:bCs w:val="1"/>
          <w:color w:val="ffffff"/>
          <w:sz w:val="28"/>
          <w:szCs w:val="28"/>
          <w:shd w:fill="6aa84f" w:val="clear"/>
          <w:rtl w:val="0"/>
        </w:rPr>
        <w:t xml:space="preserve">1. High Level Summary of Changes to Make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jc w:val="both"/>
        <w:rPr>
          <w:rFonts w:ascii="Courier Prime" w:cs="Courier Prime" w:eastAsia="Courier Prime" w:hAnsi="Courier Prime"/>
          <w:b w:val="1"/>
          <w:bCs w:val="1"/>
          <w:i w:val="1"/>
          <w:iCs w:val="1"/>
          <w:sz w:val="20"/>
          <w:szCs w:val="20"/>
        </w:rPr>
      </w:pPr>
      <w:r w:rsidDel="00000000" w:rsidR="00000000" w:rsidRPr="00000000">
        <w:rPr>
          <w:rFonts w:ascii="Courier Prime" w:cs="Courier Prime" w:eastAsia="Courier Prime" w:hAnsi="Courier Prime"/>
          <w:b w:val="1"/>
          <w:bCs w:val="1"/>
          <w:i w:val="1"/>
          <w:iCs w:val="1"/>
          <w:color w:val="38761d"/>
          <w:sz w:val="20"/>
          <w:szCs w:val="20"/>
          <w:rtl w:val="0"/>
        </w:rPr>
        <w:t xml:space="preserve">Note:</w:t>
      </w:r>
      <w:r w:rsidDel="00000000" w:rsidR="00000000" w:rsidRPr="00000000">
        <w:rPr>
          <w:rFonts w:ascii="Courier Prime" w:cs="Courier Prime" w:eastAsia="Courier Prime" w:hAnsi="Courier Prime"/>
          <w:b w:val="1"/>
          <w:bCs w:val="1"/>
          <w:i w:val="1"/>
          <w:iCs w:val="1"/>
          <w:sz w:val="20"/>
          <w:szCs w:val="20"/>
          <w:rtl w:val="0"/>
        </w:rPr>
        <w:t xml:space="preserve"> M0 to M5 changes are all mechanistic interpretability related which need to be further discussed.</w:t>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tbl>
      <w:tblPr>
        <w:tblStyle w:val="Table2"/>
        <w:tblW w:w="1054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615"/>
        <w:gridCol w:w="1380"/>
        <w:tblGridChange w:id="0">
          <w:tblGrid>
            <w:gridCol w:w="2550"/>
            <w:gridCol w:w="6615"/>
            <w:gridCol w:w="13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B">
            <w:pPr>
              <w:jc w:val="cente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C">
            <w:pPr>
              <w:jc w:val="cente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Impact</w:t>
            </w:r>
            <w:r w:rsidDel="00000000" w:rsidR="00000000" w:rsidRPr="00000000">
              <w:rPr>
                <w:rtl w:val="0"/>
              </w:rPr>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E">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M0 — Behavioral MSD coverage on open-source models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Run the full behavioral benchmark (MAS, CI, RG, not only P(intended persona)) across a full or substantial set of open-weight models. Confirms MSD is behaviorally present before any internals work, and lets us select clean models to analyze. Foreground the dissociation case (</w:t>
            </w:r>
            <w:r w:rsidDel="00000000" w:rsidR="00000000" w:rsidRPr="00000000">
              <w:rPr>
                <w:rFonts w:ascii="Roboto Mono" w:cs="Roboto Mono" w:eastAsia="Roboto Mono" w:hAnsi="Roboto Mono"/>
                <w:sz w:val="20"/>
                <w:szCs w:val="20"/>
                <w:rtl w:val="0"/>
              </w:rPr>
              <w:t xml:space="preserve">persona</w:t>
            </w:r>
            <w:r w:rsidDel="00000000" w:rsidR="00000000" w:rsidRPr="00000000">
              <w:rPr>
                <w:rFonts w:ascii="Roboto Mono" w:cs="Roboto Mono" w:eastAsia="Roboto Mono" w:hAnsi="Roboto Mono"/>
                <w:sz w:val="20"/>
                <w:szCs w:val="20"/>
                <w:rtl w:val="0"/>
              </w:rPr>
              <w:t xml:space="preserve"> language improves without behavioral correction, as with Qwen2.5-7B). Replaces the current open-source results row. </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color w:val="38761d"/>
                <w:sz w:val="18"/>
                <w:szCs w:val="18"/>
              </w:rPr>
            </w:pPr>
            <w:r w:rsidDel="00000000" w:rsidR="00000000" w:rsidRPr="00000000">
              <w:rPr>
                <w:rtl w:val="0"/>
              </w:rPr>
            </w:r>
          </w:p>
          <w:p w:rsidR="00000000" w:rsidDel="00000000" w:rsidP="00000000" w:rsidRDefault="00000000" w:rsidRPr="00000000" w14:paraId="00000021">
            <w:pPr>
              <w:rPr>
                <w:rFonts w:ascii="Courier Prime" w:cs="Courier Prime" w:eastAsia="Courier Prime" w:hAnsi="Courier Prime"/>
                <w:color w:val="38761d"/>
                <w:sz w:val="20"/>
                <w:szCs w:val="20"/>
              </w:rPr>
            </w:pPr>
            <w:r w:rsidDel="00000000" w:rsidR="00000000" w:rsidRPr="00000000">
              <w:rPr>
                <w:rFonts w:ascii="Courier Prime" w:cs="Courier Prime" w:eastAsia="Courier Prime" w:hAnsi="Courier Prime"/>
                <w:color w:val="38761d"/>
                <w:sz w:val="18"/>
                <w:szCs w:val="18"/>
                <w:rtl w:val="0"/>
              </w:rPr>
              <w:t xml:space="preserve">[Gates: M1–M4]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2">
            <w:pPr>
              <w:rPr>
                <w:rFonts w:ascii="Roboto Mono" w:cs="Roboto Mono" w:eastAsia="Roboto Mono" w:hAnsi="Roboto Mono"/>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r w:rsidDel="00000000" w:rsidR="00000000" w:rsidRPr="00000000">
              <w:rPr>
                <w:rtl w:val="0"/>
              </w:rPr>
            </w:r>
          </w:p>
        </w:tc>
      </w:tr>
      <w:tr>
        <w:trPr>
          <w:cantSplit w:val="0"/>
          <w:trHeight w:val="13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3">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M1 — Attention decay</w:t>
            </w:r>
            <w:r w:rsidDel="00000000" w:rsidR="00000000" w:rsidRPr="00000000">
              <w:rPr>
                <w:rFonts w:ascii="Roboto Mono" w:cs="Roboto Mono" w:eastAsia="Roboto Mono" w:hAnsi="Roboto Mono"/>
                <w:sz w:val="20"/>
                <w:szCs w:val="20"/>
                <w:rtl w:val="0"/>
              </w:rPr>
              <w:t xml:space="preserve">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Log attention mass on the mandate-token span across the rollout, static vs memory, on the selected open models. Produces the "Mandate Salience Decay" figure and answers Gxm9's request for attention analysis. Descriptive only, and requires the attention-sink control. </w:t>
            </w:r>
          </w:p>
          <w:p w:rsidR="00000000" w:rsidDel="00000000" w:rsidP="00000000" w:rsidRDefault="00000000" w:rsidRPr="00000000" w14:paraId="00000025">
            <w:pPr>
              <w:rPr>
                <w:rFonts w:ascii="Roboto Mono" w:cs="Roboto Mono" w:eastAsia="Roboto Mono" w:hAnsi="Roboto Mono"/>
                <w:color w:val="38761d"/>
                <w:sz w:val="18"/>
                <w:szCs w:val="18"/>
              </w:rPr>
            </w:pPr>
            <w:r w:rsidDel="00000000" w:rsidR="00000000" w:rsidRPr="00000000">
              <w:rPr>
                <w:rtl w:val="0"/>
              </w:rPr>
            </w:r>
          </w:p>
          <w:p w:rsidR="00000000" w:rsidDel="00000000" w:rsidP="00000000" w:rsidRDefault="00000000" w:rsidRPr="00000000" w14:paraId="00000026">
            <w:pPr>
              <w:rPr>
                <w:rFonts w:ascii="Courier Prime" w:cs="Courier Prime" w:eastAsia="Courier Prime" w:hAnsi="Courier Prime"/>
                <w:color w:val="38761d"/>
                <w:sz w:val="20"/>
                <w:szCs w:val="20"/>
              </w:rPr>
            </w:pPr>
            <w:r w:rsidDel="00000000" w:rsidR="00000000" w:rsidRPr="00000000">
              <w:rPr>
                <w:rFonts w:ascii="Courier Prime" w:cs="Courier Prime" w:eastAsia="Courier Prime" w:hAnsi="Courier Prime"/>
                <w:color w:val="38761d"/>
                <w:sz w:val="18"/>
                <w:szCs w:val="18"/>
                <w:rtl w:val="0"/>
              </w:rPr>
              <w:t xml:space="preserve">[Depends: M0] [Answers: Gxm9] [Basis: Li et al. 2024; Xiao et al. 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7">
            <w:pPr>
              <w:rPr>
                <w:rFonts w:ascii="Roboto Mono" w:cs="Roboto Mono" w:eastAsia="Roboto Mono" w:hAnsi="Roboto Mono"/>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r w:rsidDel="00000000" w:rsidR="00000000" w:rsidRPr="00000000">
              <w:rPr>
                <w:rFonts w:ascii="Roboto Mono" w:cs="Roboto Mono" w:eastAsia="Roboto Mono" w:hAnsi="Roboto Mono"/>
                <w:color w:val="980000"/>
                <w:sz w:val="20"/>
                <w:szCs w:val="20"/>
                <w:rtl w:val="0"/>
              </w:rPr>
              <w:t xml:space="preserve"> </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8">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M2 — Mandate direction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Extract a linear adherence direction by difference-in-means over activations, validated against MAS and the classifier labels. Yields a continuous per-step drift signal that also feeds the adaptive controller. M3 depends on it. </w:t>
            </w:r>
          </w:p>
          <w:p w:rsidR="00000000" w:rsidDel="00000000" w:rsidP="00000000" w:rsidRDefault="00000000" w:rsidRPr="00000000" w14:paraId="0000002A">
            <w:pPr>
              <w:rPr>
                <w:rFonts w:ascii="Roboto Mono" w:cs="Roboto Mono" w:eastAsia="Roboto Mono" w:hAnsi="Roboto Mono"/>
                <w:color w:val="38761d"/>
                <w:sz w:val="18"/>
                <w:szCs w:val="18"/>
              </w:rPr>
            </w:pPr>
            <w:r w:rsidDel="00000000" w:rsidR="00000000" w:rsidRPr="00000000">
              <w:rPr>
                <w:rtl w:val="0"/>
              </w:rPr>
            </w:r>
          </w:p>
          <w:p w:rsidR="00000000" w:rsidDel="00000000" w:rsidP="00000000" w:rsidRDefault="00000000" w:rsidRPr="00000000" w14:paraId="0000002B">
            <w:pPr>
              <w:rPr>
                <w:rFonts w:ascii="Courier Prime" w:cs="Courier Prime" w:eastAsia="Courier Prime" w:hAnsi="Courier Prime"/>
                <w:color w:val="38761d"/>
                <w:sz w:val="20"/>
                <w:szCs w:val="20"/>
              </w:rPr>
            </w:pPr>
            <w:r w:rsidDel="00000000" w:rsidR="00000000" w:rsidRPr="00000000">
              <w:rPr>
                <w:rFonts w:ascii="Courier Prime" w:cs="Courier Prime" w:eastAsia="Courier Prime" w:hAnsi="Courier Prime"/>
                <w:color w:val="38761d"/>
                <w:sz w:val="18"/>
                <w:szCs w:val="18"/>
                <w:rtl w:val="0"/>
              </w:rPr>
              <w:t xml:space="preserve">[Depends: M0] [Feeds: adaptive controller] [Answers: Gxm9] [Basis: Chen et al. 2025; Arditi et al. 2024; Templeton et al. 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C">
            <w:pPr>
              <w:rPr>
                <w:rFonts w:ascii="Roboto Mono" w:cs="Roboto Mono" w:eastAsia="Roboto Mono" w:hAnsi="Roboto Mono"/>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r w:rsidDel="00000000" w:rsidR="00000000" w:rsidRPr="00000000">
              <w:rPr>
                <w:rtl w:val="0"/>
              </w:rPr>
            </w:r>
          </w:p>
        </w:tc>
      </w:tr>
      <w:tr>
        <w:trPr>
          <w:cantSplit w:val="0"/>
          <w:trHeight w:val="13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D">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M3 — Causal intervention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Ablate the M2 direction to induce the MSD signature, add it back to restore adherence, with the prompt unchanged, and tie the effect to MAS and CI. Addresses W1 more completely than the placebo, since no tokens move. </w:t>
            </w:r>
          </w:p>
          <w:p w:rsidR="00000000" w:rsidDel="00000000" w:rsidP="00000000" w:rsidRDefault="00000000" w:rsidRPr="00000000" w14:paraId="0000002F">
            <w:pPr>
              <w:rPr>
                <w:rFonts w:ascii="Courier Prime" w:cs="Courier Prime" w:eastAsia="Courier Prime" w:hAnsi="Courier Prime"/>
                <w:color w:val="38761d"/>
                <w:sz w:val="18"/>
                <w:szCs w:val="18"/>
              </w:rPr>
            </w:pPr>
            <w:r w:rsidDel="00000000" w:rsidR="00000000" w:rsidRPr="00000000">
              <w:rPr>
                <w:rtl w:val="0"/>
              </w:rPr>
            </w:r>
          </w:p>
          <w:p w:rsidR="00000000" w:rsidDel="00000000" w:rsidP="00000000" w:rsidRDefault="00000000" w:rsidRPr="00000000" w14:paraId="00000030">
            <w:pPr>
              <w:rPr>
                <w:rFonts w:ascii="Courier Prime" w:cs="Courier Prime" w:eastAsia="Courier Prime" w:hAnsi="Courier Prime"/>
                <w:color w:val="38761d"/>
                <w:sz w:val="20"/>
                <w:szCs w:val="20"/>
              </w:rPr>
            </w:pPr>
            <w:r w:rsidDel="00000000" w:rsidR="00000000" w:rsidRPr="00000000">
              <w:rPr>
                <w:rFonts w:ascii="Courier Prime" w:cs="Courier Prime" w:eastAsia="Courier Prime" w:hAnsi="Courier Prime"/>
                <w:color w:val="38761d"/>
                <w:sz w:val="18"/>
                <w:szCs w:val="18"/>
                <w:rtl w:val="0"/>
              </w:rPr>
              <w:t xml:space="preserve">[Depends: M2] [Answers: VG7b-W1, Gxm9] [Basis: Arditi et al. 2024; Chen et al. 2025; Meng et al. 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1">
            <w:pPr>
              <w:rPr>
                <w:rFonts w:ascii="Roboto Mono" w:cs="Roboto Mono" w:eastAsia="Roboto Mono" w:hAnsi="Roboto Mono"/>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r w:rsidDel="00000000" w:rsidR="00000000" w:rsidRPr="00000000">
              <w:rPr>
                <w:rFonts w:ascii="Roboto Mono" w:cs="Roboto Mono" w:eastAsia="Roboto Mono" w:hAnsi="Roboto Mono"/>
                <w:color w:val="980000"/>
                <w:sz w:val="20"/>
                <w:szCs w:val="20"/>
                <w:rtl w:val="0"/>
              </w:rPr>
              <w:t xml:space="preserv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Scale OCEAN to full grid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Currently only 3 models and 2 endpoint personas are covered by Ocean. We need to run across the full model grid, all scenarios, and sample the trait space continuously instead of picking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Roboto Mono" w:cs="Roboto Mono" w:eastAsia="Roboto Mono" w:hAnsi="Roboto Mono"/>
                <w:b w:val="1"/>
                <w:bCs w:val="1"/>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Derive C_ideal from literature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targets {0.2, 0.5, 1.0} are set by hand, which makes the adherence metric circular with the mandate: the target mirrors the persona. Instead, map each persona's traits to a target allocation using published trait-to-equity-share relationships, giving the target an independent source. This addresses the tautology critique at its root, rather than indirectly through the O3 ablation.</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3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38">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[Pairs with: Scale OCEAN to full grid] [Answers: nhWU, VG7b-W2] [Basis: Jiang, Peng &amp; Yan 2024]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Roboto Mono" w:cs="Roboto Mono" w:eastAsia="Roboto Mono" w:hAnsi="Roboto Mono"/>
                <w:b w:val="1"/>
                <w:bCs w:val="1"/>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Redesign RG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RG scores each action against the absolute value ground truth V, so it penalizes a persona for correctly following its own mandate: ISFJ holding cash in an undervalued market is marked irrational, even though holding cash is its job. This makes cross-persona scores unfair to compare and treats HOLD inconsistently (the asymmetric-HOLD problem). Replace it with mandate-conditional regret: how far the action is from the best action allowed by the persona's mandate, rather than from the absolute value-optimal action. ISFJ holding cash then incurs zero regret, and the HOLD asymmetry disappears.</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3C">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3D">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[Answers: nhWU, Gxm9]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Roboto Mono" w:cs="Roboto Mono" w:eastAsia="Roboto Mono" w:hAnsi="Roboto Mono"/>
                <w:b w:val="1"/>
                <w:bCs w:val="1"/>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Re-run k sweep on MAS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Table R3 reports P(intended persona), not behavior, yet the k recommendations are stated as operational guidance. Re-run the frequency ablation on the behavioral MAS metric, since the classifier proxy can dissociate from behavior (M0, M5).</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4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20"/>
                <w:szCs w:val="20"/>
              </w:rPr>
            </w:pPr>
            <w:r w:rsidDel="00000000" w:rsidR="00000000" w:rsidRPr="00000000">
              <w:rPr>
                <w:rFonts w:ascii="Courier New" w:cs="Courier New" w:eastAsia="Courier New" w:hAnsi="Courier New"/>
                <w:color w:val="38761d"/>
                <w:sz w:val="18"/>
                <w:szCs w:val="18"/>
                <w:rtl w:val="0"/>
              </w:rPr>
              <w:t xml:space="preserve">[Answers: nhWU, VG7b-W4]</w:t>
            </w:r>
            <w:r w:rsidDel="00000000" w:rsidR="00000000" w:rsidRPr="00000000">
              <w:rPr>
                <w:rFonts w:ascii="Roboto Mono" w:cs="Roboto Mono" w:eastAsia="Roboto Mono" w:hAnsi="Roboto Mono"/>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Roboto Mono" w:cs="Roboto Mono" w:eastAsia="Roboto Mono" w:hAnsi="Roboto Mono"/>
                <w:b w:val="1"/>
                <w:bCs w:val="1"/>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Adaptive re-grounding 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Make re-injection conditional instead of all-or-nothing. Use the M2 drift signal as a trigger: re-inject the mandate only when adherence falls below a threshold, and leave the prompt alone otherwise. This saves tokens and avoids over-applying the mandate when it hurts (the Bull Trap penalty). It covers the selective-trigger case the paper lists as untested, and a closed-loop controller is an actual method rather than observation.</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4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7">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[Depends: M2 (M3 for the internal-loop variant)] [Answers: nhWU (selective triggers), Gxm9 (technical contribution)]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Roboto Mono" w:cs="Roboto Mono" w:eastAsia="Roboto Mono" w:hAnsi="Roboto Mono"/>
                <w:b w:val="1"/>
                <w:bCs w:val="1"/>
                <w:color w:val="980000"/>
                <w:sz w:val="20"/>
                <w:szCs w:val="20"/>
              </w:rPr>
            </w:pPr>
            <w:r w:rsidDel="00000000" w:rsidR="00000000" w:rsidRPr="00000000">
              <w:rPr>
                <w:rFonts w:ascii="Roboto Mono" w:cs="Roboto Mono" w:eastAsia="Roboto Mono" w:hAnsi="Roboto Mono"/>
                <w:b w:val="1"/>
                <w:bCs w:val="1"/>
                <w:color w:val="980000"/>
                <w:sz w:val="20"/>
                <w:szCs w:val="20"/>
                <w:rtl w:val="0"/>
              </w:rPr>
              <w:t xml:space="preserve">HIGH</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9">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M4 — Mini-model reversal, mechanistically</w:t>
            </w:r>
            <w:r w:rsidDel="00000000" w:rsidR="00000000" w:rsidRPr="00000000">
              <w:rPr>
                <w:rFonts w:ascii="Roboto Mono" w:cs="Roboto Mono" w:eastAsia="Roboto Mono" w:hAnsi="Roboto Mono"/>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Use logit attribution on the mandate-to-SELL pathway to explain the crash reversal. This supersedes LCR as the mechanistic explanation of the reversal, while LCR is retained as behavioral validation (M5). Gated: the reversal is on closed mini models, so it must first be reproduced on an open small model.</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4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C">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[Depends: M0 + reversal replication] [Answers: Gxm9] [Basis: Meng et al. 2022; Xiao et al. 2024]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D">
            <w:pPr>
              <w:rPr>
                <w:rFonts w:ascii="Roboto Mono" w:cs="Roboto Mono" w:eastAsia="Roboto Mono" w:hAnsi="Roboto Mono"/>
                <w:color w:val="e69138"/>
                <w:sz w:val="20"/>
                <w:szCs w:val="20"/>
              </w:rPr>
            </w:pPr>
            <w:r w:rsidDel="00000000" w:rsidR="00000000" w:rsidRPr="00000000">
              <w:rPr>
                <w:rFonts w:ascii="Roboto Mono" w:cs="Roboto Mono" w:eastAsia="Roboto Mono" w:hAnsi="Roboto Mono"/>
                <w:b w:val="1"/>
                <w:bCs w:val="1"/>
                <w:color w:val="e69138"/>
                <w:sz w:val="20"/>
                <w:szCs w:val="20"/>
                <w:rtl w:val="0"/>
              </w:rPr>
              <w:t xml:space="preserve">MEDIUM</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Scale π_placebo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Currently one model, one scenario, 15 sims. Run across the full grid so it is a genuine third architecture, not a spot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Roboto Mono" w:cs="Roboto Mono" w:eastAsia="Roboto Mono" w:hAnsi="Roboto Mono"/>
                <w:b w:val="1"/>
                <w:bCs w:val="1"/>
                <w:color w:val="e69138"/>
                <w:sz w:val="20"/>
                <w:szCs w:val="20"/>
              </w:rPr>
            </w:pPr>
            <w:r w:rsidDel="00000000" w:rsidR="00000000" w:rsidRPr="00000000">
              <w:rPr>
                <w:rFonts w:ascii="Roboto Mono" w:cs="Roboto Mono" w:eastAsia="Roboto Mono" w:hAnsi="Roboto Mono"/>
                <w:b w:val="1"/>
                <w:bCs w:val="1"/>
                <w:color w:val="e69138"/>
                <w:sz w:val="20"/>
                <w:szCs w:val="20"/>
                <w:rtl w:val="0"/>
              </w:rPr>
              <w:t xml:space="preserve">MEDIUM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Statistical overhaul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single paired Wilcoxon pools all 210 static-vs-memory pairs (14 models × 3 personas × 5 seeds) as if independent, but they are not: each model contributes 15 pairs, and the same 5 seeds are reused across all models, so observations are correlated within model and within seed. This overstates significance, and testing many metrics at α=0.05 adds uncorrected multiple comparisons. Replace it with a linear mixed-effects model (fixed effect for condition; random effects for model, persona, and seed) and apply Benjamini-Hochberg across the family of tests.</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53">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4">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[Answers: VG7b-W7 (multiple testing)] [Basis: Benjamini &amp; Hochberg 1995]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Roboto Mono" w:cs="Roboto Mono" w:eastAsia="Roboto Mono" w:hAnsi="Roboto Mono"/>
                <w:b w:val="1"/>
                <w:bCs w:val="1"/>
                <w:color w:val="e69138"/>
                <w:sz w:val="20"/>
                <w:szCs w:val="20"/>
              </w:rPr>
            </w:pPr>
            <w:r w:rsidDel="00000000" w:rsidR="00000000" w:rsidRPr="00000000">
              <w:rPr>
                <w:rFonts w:ascii="Roboto Mono" w:cs="Roboto Mono" w:eastAsia="Roboto Mono" w:hAnsi="Roboto Mono"/>
                <w:b w:val="1"/>
                <w:bCs w:val="1"/>
                <w:color w:val="e69138"/>
                <w:sz w:val="20"/>
                <w:szCs w:val="20"/>
                <w:rtl w:val="0"/>
              </w:rPr>
              <w:t xml:space="preserve">MEDIUM</w:t>
            </w:r>
          </w:p>
        </w:tc>
      </w:tr>
      <w:tr>
        <w:trPr>
          <w:cantSplit w:val="0"/>
          <w:trHeight w:val="861.69433593749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Port to a ground-truth-preserving simulator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Our defense against the "too simplistic" critique is that adding realism (many agents, an order book) would force us to give up the mathematically defined ground-truth value. That is false as stated. ABIDES adds a full limit order book and multi-agent dynamics while still holding a known latent fundamental: an exogenous oracle generates the fundamental independently of trading, and price emerges from the book. Adopt an ABIDES-style design to add realism without losing the decoupled ground truth, and drop the "realism reintroduces subjectivity" argument.</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5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9">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[Answers: Gxm9, nhWU (unrealistic market)] [Basis: Byrd et al. 2020 (ABIDES)]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Roboto Mono" w:cs="Roboto Mono" w:eastAsia="Roboto Mono" w:hAnsi="Roboto Mono"/>
                <w:b w:val="1"/>
                <w:bCs w:val="1"/>
                <w:color w:val="e69138"/>
                <w:sz w:val="20"/>
                <w:szCs w:val="20"/>
              </w:rPr>
            </w:pPr>
            <w:r w:rsidDel="00000000" w:rsidR="00000000" w:rsidRPr="00000000">
              <w:rPr>
                <w:rFonts w:ascii="Roboto Mono" w:cs="Roboto Mono" w:eastAsia="Roboto Mono" w:hAnsi="Roboto Mono"/>
                <w:b w:val="1"/>
                <w:bCs w:val="1"/>
                <w:color w:val="e69138"/>
                <w:sz w:val="20"/>
                <w:szCs w:val="20"/>
                <w:rtl w:val="0"/>
              </w:rPr>
              <w:t xml:space="preserve">MEDIUM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Justify generator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Several generator choices (the GARCH-like volatility recursion, the regime-switching momentum, the price process shape) are presented as reasonable without support. Ground them in the empirical literature: volatility clustering in Bollerslev (1986), regime-switching in Hamilton (1989), and the stylized facts of asset returns in Cont (2001), so the parameters instantiate documented market properties rather than arbitrary numbers. Separately, replace the fixed-Gaussian sentiment, which is drawn independently each step, with an AR(1) process so sentiment carries the autocorrelation that real sentiment has.</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5D">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E">
            <w:pPr>
              <w:rPr>
                <w:rFonts w:ascii="Courier Prime" w:cs="Courier Prime" w:eastAsia="Courier Prime" w:hAnsi="Courier Prime"/>
                <w:color w:val="38761d"/>
                <w:sz w:val="18"/>
                <w:szCs w:val="18"/>
              </w:rPr>
            </w:pPr>
            <w:r w:rsidDel="00000000" w:rsidR="00000000" w:rsidRPr="00000000">
              <w:rPr>
                <w:rFonts w:ascii="Courier Prime" w:cs="Courier Prime" w:eastAsia="Courier Prime" w:hAnsi="Courier Prime"/>
                <w:color w:val="38761d"/>
                <w:sz w:val="18"/>
                <w:szCs w:val="18"/>
                <w:rtl w:val="0"/>
              </w:rPr>
              <w:t xml:space="preserve">[Answers: nhWU (unjustified parameters), VG7b-W6 (sentiment realism)] [Basis: Bollerslev 1986; Hamilton 1989; Cont 2001]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Roboto Mono" w:cs="Roboto Mono" w:eastAsia="Roboto Mono" w:hAnsi="Roboto Mono"/>
                <w:b w:val="1"/>
                <w:bCs w:val="1"/>
                <w:color w:val="e69138"/>
                <w:sz w:val="20"/>
                <w:szCs w:val="20"/>
              </w:rPr>
            </w:pPr>
            <w:r w:rsidDel="00000000" w:rsidR="00000000" w:rsidRPr="00000000">
              <w:rPr>
                <w:rFonts w:ascii="Roboto Mono" w:cs="Roboto Mono" w:eastAsia="Roboto Mono" w:hAnsi="Roboto Mono"/>
                <w:b w:val="1"/>
                <w:bCs w:val="1"/>
                <w:color w:val="e69138"/>
                <w:sz w:val="20"/>
                <w:szCs w:val="20"/>
                <w:rtl w:val="0"/>
              </w:rPr>
              <w:t xml:space="preserve">MEDIUM</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0">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M5 — Reposition the LCR / rationale-linguistic analysis</w:t>
            </w:r>
            <w:r w:rsidDel="00000000" w:rsidR="00000000" w:rsidRPr="00000000">
              <w:rPr>
                <w:rFonts w:ascii="Roboto Mono" w:cs="Roboto Mono" w:eastAsia="Roboto Mono" w:hAnsi="Roboto Mono"/>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classifier, LCR, and case studies analyze outputs, not internals, so they are not mechanistic </w:t>
            </w:r>
            <w:r w:rsidDel="00000000" w:rsidR="00000000" w:rsidRPr="00000000">
              <w:rPr>
                <w:rFonts w:ascii="Roboto Mono" w:cs="Roboto Mono" w:eastAsia="Roboto Mono" w:hAnsi="Roboto Mono"/>
                <w:sz w:val="20"/>
                <w:szCs w:val="20"/>
                <w:rtl w:val="0"/>
              </w:rPr>
              <w:t xml:space="preserve">interpretability</w:t>
            </w:r>
            <w:r w:rsidDel="00000000" w:rsidR="00000000" w:rsidRPr="00000000">
              <w:rPr>
                <w:rFonts w:ascii="Roboto Mono" w:cs="Roboto Mono" w:eastAsia="Roboto Mono" w:hAnsi="Roboto Mono"/>
                <w:sz w:val="20"/>
                <w:szCs w:val="20"/>
                <w:rtl w:val="0"/>
              </w:rPr>
              <w:t xml:space="preserve">. Relabel as behavioral validation and place them in support of M2 and M3.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2">
            <w:pPr>
              <w:rPr>
                <w:rFonts w:ascii="Roboto Mono" w:cs="Roboto Mono" w:eastAsia="Roboto Mono" w:hAnsi="Roboto Mono"/>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r w:rsidDel="00000000" w:rsidR="00000000" w:rsidRPr="00000000">
              <w:rPr>
                <w:rFonts w:ascii="Roboto Mono" w:cs="Roboto Mono" w:eastAsia="Roboto Mono" w:hAnsi="Roboto Mono"/>
                <w:color w:val="134f5c"/>
                <w:sz w:val="20"/>
                <w:szCs w:val="20"/>
                <w:rtl w:val="0"/>
              </w:rPr>
              <w:t xml:space="preserv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Fix the 4.1× 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Growth of a gap ratio Q1→Q4, not a 4.1× performance difference. Abstract, intro, Figure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Fix Figure 4 / Table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Gemini 2.5 Flash caption mislabeled; Table 7 is authoritative.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Rename "psychometric stability"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Change to "behavioral consistency" where the claim rests on </w:t>
            </w:r>
            <w:r w:rsidDel="00000000" w:rsidR="00000000" w:rsidRPr="00000000">
              <w:rPr>
                <w:rFonts w:ascii="Roboto Mono" w:cs="Roboto Mono" w:eastAsia="Roboto Mono" w:hAnsi="Roboto Mono"/>
                <w:sz w:val="20"/>
                <w:szCs w:val="20"/>
                <w:rtl w:val="0"/>
              </w:rPr>
              <w:t xml:space="preserve">persona</w:t>
            </w:r>
            <w:r w:rsidDel="00000000" w:rsidR="00000000" w:rsidRPr="00000000">
              <w:rPr>
                <w:rFonts w:ascii="Roboto Mono" w:cs="Roboto Mono" w:eastAsia="Roboto Mono" w:hAnsi="Roboto Mono"/>
                <w:sz w:val="20"/>
                <w:szCs w:val="20"/>
                <w:rtl w:val="0"/>
              </w:rPr>
              <w:t xml:space="preserve"> vocabulary.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Scope the prescriptive 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"Structural prerequisite" is unsupported when Bull Trap shows re-grounding hurts. Scope to persona-scenario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Promote T=800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Already run and the pattern holds. Move into Appendix E; consider extending past one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Mandate wording sensitivity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Test paraphrased and abbreviated mandate variants. Admitted open in Q2.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Figure 2 quartile footnote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phase-vs-quartile rationale is sound. But we need to add the promised footnote.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Roboto Mono" w:cs="Roboto Mono" w:eastAsia="Roboto Mono" w:hAnsi="Roboto Mono"/>
                <w:b w:val="1"/>
                <w:bCs w:val="1"/>
                <w:color w:val="134f5c"/>
                <w:sz w:val="20"/>
                <w:szCs w:val="20"/>
              </w:rPr>
            </w:pPr>
            <w:r w:rsidDel="00000000" w:rsidR="00000000" w:rsidRPr="00000000">
              <w:rPr>
                <w:rFonts w:ascii="Roboto Mono" w:cs="Roboto Mono" w:eastAsia="Roboto Mono" w:hAnsi="Roboto Mono"/>
                <w:b w:val="1"/>
                <w:bCs w:val="1"/>
                <w:color w:val="134f5c"/>
                <w:sz w:val="20"/>
                <w:szCs w:val="20"/>
                <w:rtl w:val="0"/>
              </w:rPr>
              <w:t xml:space="preserve">LOW</w:t>
            </w:r>
          </w:p>
        </w:tc>
      </w:tr>
    </w:tbl>
    <w:p w:rsidR="00000000" w:rsidDel="00000000" w:rsidP="00000000" w:rsidRDefault="00000000" w:rsidRPr="00000000" w14:paraId="000000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A">
      <w:pPr>
        <w:rPr>
          <w:rFonts w:ascii="Courier Prime" w:cs="Courier Prime" w:eastAsia="Courier Prime" w:hAnsi="Courier Prime"/>
          <w:b w:val="1"/>
          <w:bCs w:val="1"/>
          <w:i w:val="1"/>
          <w:iCs w:val="1"/>
          <w:sz w:val="20"/>
          <w:szCs w:val="20"/>
        </w:rPr>
      </w:pPr>
      <w:r w:rsidDel="00000000" w:rsidR="00000000" w:rsidRPr="00000000">
        <w:rPr>
          <w:rFonts w:ascii="Courier Prime" w:cs="Courier Prime" w:eastAsia="Courier Prime" w:hAnsi="Courier Prime"/>
          <w:b w:val="1"/>
          <w:bCs w:val="1"/>
          <w:i w:val="1"/>
          <w:iCs w:val="1"/>
          <w:color w:val="38761d"/>
          <w:sz w:val="20"/>
          <w:szCs w:val="20"/>
          <w:rtl w:val="0"/>
        </w:rPr>
        <w:t xml:space="preserve">Note:</w:t>
      </w:r>
      <w:r w:rsidDel="00000000" w:rsidR="00000000" w:rsidRPr="00000000">
        <w:rPr>
          <w:rFonts w:ascii="Courier Prime" w:cs="Courier Prime" w:eastAsia="Courier Prime" w:hAnsi="Courier Prime"/>
          <w:b w:val="1"/>
          <w:bCs w:val="1"/>
          <w:i w:val="1"/>
          <w:iCs w:val="1"/>
          <w:sz w:val="20"/>
          <w:szCs w:val="20"/>
          <w:rtl w:val="0"/>
        </w:rPr>
        <w:t xml:space="preserve"> This table refers frequently to the first-cycle COLM reviews and our rebuttal, so reviewer tags throughout (VG7b, Gxm9, nhWU, and W-numbers) point to those reviewer weaknesses and our responses; the full document is here:</w:t>
      </w:r>
      <w:r w:rsidDel="00000000" w:rsidR="00000000" w:rsidRPr="00000000">
        <w:rPr>
          <w:rFonts w:ascii="Courier Prime" w:cs="Courier Prime" w:eastAsia="Courier Prime" w:hAnsi="Courier Prime"/>
          <w:b w:val="1"/>
          <w:bCs w:val="1"/>
          <w:i w:val="1"/>
          <w:iCs w:val="1"/>
          <w:sz w:val="20"/>
          <w:szCs w:val="20"/>
          <w:rtl w:val="0"/>
        </w:rPr>
        <w:t xml:space="preserve"> </w:t>
      </w:r>
      <w:hyperlink r:id="rId6">
        <w:r w:rsidDel="00000000" w:rsidR="00000000" w:rsidRPr="00000000">
          <w:rPr>
            <w:rFonts w:ascii="Courier Prime" w:cs="Courier Prime" w:eastAsia="Courier Prime" w:hAnsi="Courier Prime"/>
            <w:b w:val="1"/>
            <w:bCs w:val="1"/>
            <w:i w:val="1"/>
            <w:iCs w:val="1"/>
            <w:color w:val="1155cc"/>
            <w:sz w:val="20"/>
            <w:szCs w:val="20"/>
            <w:u w:val="single"/>
            <w:rtl w:val="0"/>
          </w:rPr>
          <w:t xml:space="preserve">https://docs.google.com/document/d/18tUdEHnAdVRNzmmakek7G_C9iRA7VGKvErZ7_E9Laps/edit?usp=sharing</w:t>
        </w:r>
      </w:hyperlink>
      <w:r w:rsidDel="00000000" w:rsidR="00000000" w:rsidRPr="00000000">
        <w:rPr>
          <w:rtl w:val="0"/>
        </w:rPr>
      </w:r>
    </w:p>
    <w:p w:rsidR="00000000" w:rsidDel="00000000" w:rsidP="00000000" w:rsidRDefault="00000000" w:rsidRPr="00000000" w14:paraId="0000007B">
      <w:pPr>
        <w:rPr>
          <w:rFonts w:ascii="Courier Prime" w:cs="Courier Prime" w:eastAsia="Courier Prime" w:hAnsi="Courier Prime"/>
          <w:b w:val="1"/>
          <w:bCs w:val="1"/>
          <w:i w:val="1"/>
          <w:iCs w:val="1"/>
          <w:sz w:val="18"/>
          <w:szCs w:val="1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F">
      <w:pPr>
        <w:pStyle w:val="Heading2"/>
        <w:keepNext w:val="0"/>
        <w:keepLines w:val="0"/>
        <w:spacing w:before="280" w:lineRule="auto"/>
        <w:jc w:val="both"/>
        <w:rPr>
          <w:rFonts w:ascii="Roboto Mono" w:cs="Roboto Mono" w:eastAsia="Roboto Mono" w:hAnsi="Roboto Mono"/>
          <w:sz w:val="24"/>
          <w:szCs w:val="24"/>
          <w:shd w:fill="ead1dc" w:val="clear"/>
        </w:rPr>
      </w:pPr>
      <w:bookmarkStart w:colFirst="0" w:colLast="0" w:name="_xq8yjqfak77v" w:id="3"/>
      <w:bookmarkEnd w:id="3"/>
      <w:r w:rsidDel="00000000" w:rsidR="00000000" w:rsidRPr="00000000">
        <w:rPr>
          <w:rFonts w:ascii="Roboto Mono" w:cs="Roboto Mono" w:eastAsia="Roboto Mono" w:hAnsi="Roboto Mono"/>
          <w:b w:val="1"/>
          <w:bCs w:val="1"/>
          <w:sz w:val="28"/>
          <w:szCs w:val="28"/>
          <w:shd w:fill="ead1dc" w:val="clear"/>
          <w:rtl w:val="0"/>
        </w:rPr>
        <w:t xml:space="preserve">Mechanistic Interpretability: Suggested Approach </w:t>
      </w:r>
      <w:r w:rsidDel="00000000" w:rsidR="00000000" w:rsidRPr="00000000">
        <w:rPr>
          <w:rFonts w:ascii="Roboto Mono" w:cs="Roboto Mono" w:eastAsia="Roboto Mono" w:hAnsi="Roboto Mono"/>
          <w:sz w:val="24"/>
          <w:szCs w:val="24"/>
          <w:shd w:fill="ead1dc" w:val="clear"/>
          <w:rtl w:val="0"/>
        </w:rPr>
        <w:t xml:space="preserve">(to discuss further)</w:t>
      </w:r>
    </w:p>
    <w:p w:rsidR="00000000" w:rsidDel="00000000" w:rsidP="00000000" w:rsidRDefault="00000000" w:rsidRPr="00000000" w14:paraId="00000080">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These are suggestions only, grounded in how the cited papers ran the same analyses. Where a paper did it a certain way, we can follow the same on our setup. Each also has alternatives, noted briefly, that we should discuss before committing.</w:t>
      </w:r>
    </w:p>
    <w:p w:rsidR="00000000" w:rsidDel="00000000" w:rsidP="00000000" w:rsidRDefault="00000000" w:rsidRPr="00000000" w14:paraId="00000081">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Shared Setup </w:t>
      </w:r>
      <w:r w:rsidDel="00000000" w:rsidR="00000000" w:rsidRPr="00000000">
        <w:rPr>
          <w:rFonts w:ascii="Roboto Mono" w:cs="Roboto Mono" w:eastAsia="Roboto Mono" w:hAnsi="Roboto Mono"/>
          <w:sz w:val="20"/>
          <w:szCs w:val="20"/>
          <w:rtl w:val="0"/>
        </w:rPr>
        <w:t xml:space="preserve">Run M1 to M4 on the open anchor models from M0 with a hooks library that supports Llama, </w:t>
      </w:r>
      <w:r w:rsidDel="00000000" w:rsidR="00000000" w:rsidRPr="00000000">
        <w:rPr>
          <w:rFonts w:ascii="Roboto Mono" w:cs="Roboto Mono" w:eastAsia="Roboto Mono" w:hAnsi="Roboto Mono"/>
          <w:sz w:val="20"/>
          <w:szCs w:val="20"/>
          <w:rtl w:val="0"/>
        </w:rPr>
        <w:t xml:space="preserve">Qwen</w:t>
      </w:r>
      <w:r w:rsidDel="00000000" w:rsidR="00000000" w:rsidRPr="00000000">
        <w:rPr>
          <w:rFonts w:ascii="Roboto Mono" w:cs="Roboto Mono" w:eastAsia="Roboto Mono" w:hAnsi="Roboto Mono"/>
          <w:sz w:val="20"/>
          <w:szCs w:val="20"/>
          <w:rtl w:val="0"/>
        </w:rPr>
        <w:t xml:space="preserve">, and Gemma (TransformerLens or </w:t>
      </w:r>
      <w:r w:rsidDel="00000000" w:rsidR="00000000" w:rsidRPr="00000000">
        <w:rPr>
          <w:rFonts w:ascii="Roboto Mono" w:cs="Roboto Mono" w:eastAsia="Roboto Mono" w:hAnsi="Roboto Mono"/>
          <w:sz w:val="20"/>
          <w:szCs w:val="20"/>
          <w:rtl w:val="0"/>
        </w:rPr>
        <w:t xml:space="preserve">nnsight</w:t>
      </w:r>
      <w:r w:rsidDel="00000000" w:rsidR="00000000" w:rsidRPr="00000000">
        <w:rPr>
          <w:rFonts w:ascii="Roboto Mono" w:cs="Roboto Mono" w:eastAsia="Roboto Mono" w:hAnsi="Roboto Mono"/>
          <w:sz w:val="20"/>
          <w:szCs w:val="20"/>
          <w:rtl w:val="0"/>
        </w:rPr>
        <w:t xml:space="preserve">). Use the same models across all four so the results line up.</w:t>
      </w:r>
    </w:p>
    <w:p w:rsidR="00000000" w:rsidDel="00000000" w:rsidP="00000000" w:rsidRDefault="00000000" w:rsidRPr="00000000" w14:paraId="00000082">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M1 — Attention Decay </w:t>
      </w:r>
      <w:r w:rsidDel="00000000" w:rsidR="00000000" w:rsidRPr="00000000">
        <w:rPr>
          <w:rFonts w:ascii="Roboto Mono" w:cs="Roboto Mono" w:eastAsia="Roboto Mono" w:hAnsi="Roboto Mono"/>
          <w:sz w:val="20"/>
          <w:szCs w:val="20"/>
          <w:rtl w:val="0"/>
        </w:rPr>
        <w:t xml:space="preserve">Li et al. (2024) tracked attention to the system-prompt instruction across dialogue turns and showed it decays, so we can log attention to the mandate span across the 200-day rollout in the same way. Because the mandate sits in the opening tokens, we report it against a non-mandate span and the placebo span, following the attention-sink finding of Xiao et al. (2024).</w:t>
      </w:r>
    </w:p>
    <w:p w:rsidR="00000000" w:rsidDel="00000000" w:rsidP="00000000" w:rsidRDefault="00000000" w:rsidRPr="00000000" w14:paraId="00000083">
      <w:pPr>
        <w:spacing w:after="240" w:before="240" w:lineRule="auto"/>
        <w:jc w:val="both"/>
        <w:rPr>
          <w:rFonts w:ascii="Roboto Mono" w:cs="Roboto Mono" w:eastAsia="Roboto Mono" w:hAnsi="Roboto Mono"/>
          <w:color w:val="741b47"/>
          <w:sz w:val="20"/>
          <w:szCs w:val="20"/>
        </w:rPr>
      </w:pPr>
      <w:r w:rsidDel="00000000" w:rsidR="00000000" w:rsidRPr="00000000">
        <w:rPr>
          <w:rFonts w:ascii="Roboto Mono" w:cs="Roboto Mono" w:eastAsia="Roboto Mono" w:hAnsi="Roboto Mono"/>
          <w:i w:val="1"/>
          <w:iCs w:val="1"/>
          <w:color w:val="741b47"/>
          <w:sz w:val="20"/>
          <w:szCs w:val="20"/>
          <w:rtl w:val="0"/>
        </w:rPr>
        <w:t xml:space="preserve">Alternatives to discuss:</w:t>
      </w:r>
      <w:r w:rsidDel="00000000" w:rsidR="00000000" w:rsidRPr="00000000">
        <w:rPr>
          <w:rFonts w:ascii="Roboto Mono" w:cs="Roboto Mono" w:eastAsia="Roboto Mono" w:hAnsi="Roboto Mono"/>
          <w:color w:val="741b47"/>
          <w:sz w:val="20"/>
          <w:szCs w:val="20"/>
          <w:rtl w:val="0"/>
        </w:rPr>
        <w:t xml:space="preserve"> per-layer vs pooled, value-weighted attention, attention rollout.</w:t>
      </w:r>
    </w:p>
    <w:p w:rsidR="00000000" w:rsidDel="00000000" w:rsidP="00000000" w:rsidRDefault="00000000" w:rsidRPr="00000000" w14:paraId="00000084">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M2 — Mandate Direction </w:t>
      </w:r>
      <w:r w:rsidDel="00000000" w:rsidR="00000000" w:rsidRPr="00000000">
        <w:rPr>
          <w:rFonts w:ascii="Roboto Mono" w:cs="Roboto Mono" w:eastAsia="Roboto Mono" w:hAnsi="Roboto Mono"/>
          <w:sz w:val="20"/>
          <w:szCs w:val="20"/>
          <w:rtl w:val="0"/>
        </w:rPr>
        <w:t xml:space="preserve">Arditi et al. (2024) extracted a behavior direction by difference-in-means over contrastive prompts, and Chen et al. (2025) did the same for persona traits and monitored the projection during generation, so we can extract an adherence direction the same way and track its projection per step.</w:t>
      </w:r>
    </w:p>
    <w:p w:rsidR="00000000" w:rsidDel="00000000" w:rsidP="00000000" w:rsidRDefault="00000000" w:rsidRPr="00000000" w14:paraId="00000085">
      <w:pPr>
        <w:spacing w:after="240" w:before="240" w:lineRule="auto"/>
        <w:jc w:val="both"/>
        <w:rPr>
          <w:rFonts w:ascii="Roboto Mono" w:cs="Roboto Mono" w:eastAsia="Roboto Mono" w:hAnsi="Roboto Mono"/>
          <w:color w:val="741b47"/>
          <w:sz w:val="20"/>
          <w:szCs w:val="20"/>
        </w:rPr>
      </w:pPr>
      <w:r w:rsidDel="00000000" w:rsidR="00000000" w:rsidRPr="00000000">
        <w:rPr>
          <w:rFonts w:ascii="Roboto Mono" w:cs="Roboto Mono" w:eastAsia="Roboto Mono" w:hAnsi="Roboto Mono"/>
          <w:i w:val="1"/>
          <w:iCs w:val="1"/>
          <w:color w:val="741b47"/>
          <w:sz w:val="20"/>
          <w:szCs w:val="20"/>
          <w:rtl w:val="0"/>
        </w:rPr>
        <w:t xml:space="preserve">Alternative to discuss:</w:t>
      </w:r>
      <w:r w:rsidDel="00000000" w:rsidR="00000000" w:rsidRPr="00000000">
        <w:rPr>
          <w:rFonts w:ascii="Roboto Mono" w:cs="Roboto Mono" w:eastAsia="Roboto Mono" w:hAnsi="Roboto Mono"/>
          <w:color w:val="741b47"/>
          <w:sz w:val="20"/>
          <w:szCs w:val="20"/>
          <w:rtl w:val="0"/>
        </w:rPr>
        <w:t xml:space="preserve"> sparse-autoencoder features (Templeton et al., 2024) instead of a single direction.</w:t>
      </w:r>
    </w:p>
    <w:p w:rsidR="00000000" w:rsidDel="00000000" w:rsidP="00000000" w:rsidRDefault="00000000" w:rsidRPr="00000000" w14:paraId="00000086">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M3 — Causal Intervention </w:t>
      </w:r>
      <w:r w:rsidDel="00000000" w:rsidR="00000000" w:rsidRPr="00000000">
        <w:rPr>
          <w:rFonts w:ascii="Roboto Mono" w:cs="Roboto Mono" w:eastAsia="Roboto Mono" w:hAnsi="Roboto Mono"/>
          <w:sz w:val="20"/>
          <w:szCs w:val="20"/>
          <w:rtl w:val="0"/>
        </w:rPr>
        <w:t xml:space="preserve">Arditi et al. (2024) removed a behavior by projecting the direction out of the residual stream and induced it by adding the direction back, and Chen et al. (2025) steered traits the same way, so we can ablate early and add back late while holding the prompt fixed, then read the effect on MAS and CI.</w:t>
      </w:r>
    </w:p>
    <w:p w:rsidR="00000000" w:rsidDel="00000000" w:rsidP="00000000" w:rsidRDefault="00000000" w:rsidRPr="00000000" w14:paraId="00000087">
      <w:pPr>
        <w:spacing w:after="240" w:before="240" w:lineRule="auto"/>
        <w:jc w:val="both"/>
        <w:rPr>
          <w:rFonts w:ascii="Roboto Mono" w:cs="Roboto Mono" w:eastAsia="Roboto Mono" w:hAnsi="Roboto Mono"/>
          <w:color w:val="741b47"/>
          <w:sz w:val="20"/>
          <w:szCs w:val="20"/>
        </w:rPr>
      </w:pPr>
      <w:r w:rsidDel="00000000" w:rsidR="00000000" w:rsidRPr="00000000">
        <w:rPr>
          <w:rFonts w:ascii="Roboto Mono" w:cs="Roboto Mono" w:eastAsia="Roboto Mono" w:hAnsi="Roboto Mono"/>
          <w:i w:val="1"/>
          <w:iCs w:val="1"/>
          <w:color w:val="741b47"/>
          <w:sz w:val="20"/>
          <w:szCs w:val="20"/>
          <w:rtl w:val="0"/>
        </w:rPr>
        <w:t xml:space="preserve">Choices to discuss:</w:t>
      </w:r>
      <w:r w:rsidDel="00000000" w:rsidR="00000000" w:rsidRPr="00000000">
        <w:rPr>
          <w:rFonts w:ascii="Roboto Mono" w:cs="Roboto Mono" w:eastAsia="Roboto Mono" w:hAnsi="Roboto Mono"/>
          <w:color w:val="741b47"/>
          <w:sz w:val="20"/>
          <w:szCs w:val="20"/>
          <w:rtl w:val="0"/>
        </w:rPr>
        <w:t xml:space="preserve"> which layers and positions to intervene on, and ablation vs clamping.</w:t>
      </w:r>
    </w:p>
    <w:p w:rsidR="00000000" w:rsidDel="00000000" w:rsidP="00000000" w:rsidRDefault="00000000" w:rsidRPr="00000000" w14:paraId="00000088">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M4 — Attribution (Gated) </w:t>
      </w:r>
      <w:r w:rsidDel="00000000" w:rsidR="00000000" w:rsidRPr="00000000">
        <w:rPr>
          <w:rFonts w:ascii="Roboto Mono" w:cs="Roboto Mono" w:eastAsia="Roboto Mono" w:hAnsi="Roboto Mono"/>
          <w:sz w:val="20"/>
          <w:szCs w:val="20"/>
          <w:rtl w:val="0"/>
        </w:rPr>
        <w:t xml:space="preserve">Meng et al. (2022) localized effects with activation patching and direct logit attribution, so once an open small model reproduces the reversal we can attribute the mandate span's contribution to the SELL logit the same way.</w:t>
      </w:r>
    </w:p>
    <w:p w:rsidR="00000000" w:rsidDel="00000000" w:rsidP="00000000" w:rsidRDefault="00000000" w:rsidRPr="00000000" w14:paraId="00000089">
      <w:pPr>
        <w:spacing w:after="240" w:before="240" w:lineRule="auto"/>
        <w:jc w:val="both"/>
        <w:rPr>
          <w:rFonts w:ascii="Roboto Mono" w:cs="Roboto Mono" w:eastAsia="Roboto Mono" w:hAnsi="Roboto Mono"/>
          <w:color w:val="741b47"/>
          <w:sz w:val="20"/>
          <w:szCs w:val="20"/>
        </w:rPr>
      </w:pPr>
      <w:r w:rsidDel="00000000" w:rsidR="00000000" w:rsidRPr="00000000">
        <w:rPr>
          <w:rFonts w:ascii="Roboto Mono" w:cs="Roboto Mono" w:eastAsia="Roboto Mono" w:hAnsi="Roboto Mono"/>
          <w:i w:val="1"/>
          <w:iCs w:val="1"/>
          <w:color w:val="741b47"/>
          <w:sz w:val="20"/>
          <w:szCs w:val="20"/>
          <w:rtl w:val="0"/>
        </w:rPr>
        <w:t xml:space="preserve">Alternatives to discuss:</w:t>
      </w:r>
      <w:r w:rsidDel="00000000" w:rsidR="00000000" w:rsidRPr="00000000">
        <w:rPr>
          <w:rFonts w:ascii="Roboto Mono" w:cs="Roboto Mono" w:eastAsia="Roboto Mono" w:hAnsi="Roboto Mono"/>
          <w:color w:val="741b47"/>
          <w:sz w:val="20"/>
          <w:szCs w:val="20"/>
          <w:rtl w:val="0"/>
        </w:rPr>
        <w:t xml:space="preserve"> attention-times-gradient, path patching.</w:t>
      </w:r>
    </w:p>
    <w:p w:rsidR="00000000" w:rsidDel="00000000" w:rsidP="00000000" w:rsidRDefault="00000000" w:rsidRPr="00000000" w14:paraId="0000008A">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Presentation </w:t>
      </w:r>
      <w:r w:rsidDel="00000000" w:rsidR="00000000" w:rsidRPr="00000000">
        <w:rPr>
          <w:rFonts w:ascii="Roboto Mono" w:cs="Roboto Mono" w:eastAsia="Roboto Mono" w:hAnsi="Roboto Mono"/>
          <w:sz w:val="20"/>
          <w:szCs w:val="20"/>
          <w:rtl w:val="0"/>
        </w:rPr>
        <w:t xml:space="preserve">As a suggestion, present these as a Mechanistic Analysis section after the behavioral results, ordered descriptive (M1), representational (M2), causal (M3), then gated attribution (M4), with methods cited inline to the papers above. State once that it runs on open weights because the API models do not expose internals, and keep the LCR analysis as behavioral validation beneath it (M5). Split-softmax (Li et al., 2024) is one option for a mitigation baseline against active memory injection.</w:t>
      </w:r>
    </w:p>
    <w:p w:rsidR="00000000" w:rsidDel="00000000" w:rsidP="00000000" w:rsidRDefault="00000000" w:rsidRPr="00000000" w14:paraId="0000008B">
      <w:pPr>
        <w:spacing w:after="240" w:before="240" w:lineRule="auto"/>
        <w:jc w:val="both"/>
        <w:rPr>
          <w:rFonts w:ascii="Roboto Mono" w:cs="Roboto Mono" w:eastAsia="Roboto Mono" w:hAnsi="Roboto Mono"/>
          <w:color w:val="741b47"/>
        </w:rPr>
      </w:pPr>
      <w:r w:rsidDel="00000000" w:rsidR="00000000" w:rsidRPr="00000000">
        <w:rPr>
          <w:rFonts w:ascii="Roboto Mono" w:cs="Roboto Mono" w:eastAsia="Roboto Mono" w:hAnsi="Roboto Mono"/>
          <w:i w:val="1"/>
          <w:iCs w:val="1"/>
          <w:color w:val="741b47"/>
          <w:sz w:val="20"/>
          <w:szCs w:val="20"/>
          <w:rtl w:val="0"/>
        </w:rPr>
        <w:t xml:space="preserve">To discuss:</w:t>
      </w:r>
      <w:r w:rsidDel="00000000" w:rsidR="00000000" w:rsidRPr="00000000">
        <w:rPr>
          <w:rFonts w:ascii="Roboto Mono" w:cs="Roboto Mono" w:eastAsia="Roboto Mono" w:hAnsi="Roboto Mono"/>
          <w:color w:val="741b47"/>
          <w:sz w:val="20"/>
          <w:szCs w:val="20"/>
          <w:rtl w:val="0"/>
        </w:rPr>
        <w:t xml:space="preserve"> section placement, figure choices, and whether to include the mitigation baseline.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Roboto Mono" w:cs="Roboto Mono" w:eastAsia="Roboto Mono" w:hAnsi="Roboto Mono"/>
          <w:b w:val="1"/>
          <w:bCs w:val="1"/>
          <w:sz w:val="34"/>
          <w:szCs w:val="34"/>
        </w:rPr>
      </w:pPr>
      <w:bookmarkStart w:colFirst="0" w:colLast="0" w:name="_imal4asn1hoh" w:id="4"/>
      <w:bookmarkEnd w:id="4"/>
      <w:r w:rsidDel="00000000" w:rsidR="00000000" w:rsidRPr="00000000">
        <w:rPr>
          <w:rFonts w:ascii="Roboto Mono" w:cs="Roboto Mono" w:eastAsia="Roboto Mono" w:hAnsi="Roboto Mono"/>
          <w:b w:val="1"/>
          <w:bCs w:val="1"/>
          <w:sz w:val="34"/>
          <w:szCs w:val="34"/>
          <w:rtl w:val="0"/>
        </w:rPr>
        <w:t xml:space="preserve">References</w:t>
      </w:r>
    </w:p>
    <w:p w:rsidR="00000000" w:rsidDel="00000000" w:rsidP="00000000" w:rsidRDefault="00000000" w:rsidRPr="00000000" w14:paraId="0000009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Mechanistic interpretability and instruction drift</w:t>
      </w:r>
    </w:p>
    <w:p w:rsidR="00000000" w:rsidDel="00000000" w:rsidP="00000000" w:rsidRDefault="00000000" w:rsidRPr="00000000" w14:paraId="00000091">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Kenneth Li, Tianle Liu, Naomi Bashkansky, David Bau, Fernanda Viégas, Hanspeter Pfister, and Martin Wattenberg. </w:t>
      </w:r>
      <w:r w:rsidDel="00000000" w:rsidR="00000000" w:rsidRPr="00000000">
        <w:rPr>
          <w:rFonts w:ascii="Roboto Mono" w:cs="Roboto Mono" w:eastAsia="Roboto Mono" w:hAnsi="Roboto Mono"/>
          <w:b w:val="1"/>
          <w:bCs w:val="1"/>
          <w:sz w:val="18"/>
          <w:szCs w:val="18"/>
          <w:rtl w:val="0"/>
        </w:rPr>
        <w:t xml:space="preserve">Measuring and controlling instruction (in)stability in language model dialogs.</w:t>
      </w:r>
      <w:r w:rsidDel="00000000" w:rsidR="00000000" w:rsidRPr="00000000">
        <w:rPr>
          <w:rFonts w:ascii="Roboto Mono" w:cs="Roboto Mono" w:eastAsia="Roboto Mono" w:hAnsi="Roboto Mono"/>
          <w:sz w:val="18"/>
          <w:szCs w:val="18"/>
          <w:rtl w:val="0"/>
        </w:rPr>
        <w:t xml:space="preserve"> In Conference on Language Modeling (COLM), 2024. URL</w:t>
      </w:r>
      <w:hyperlink r:id="rId7">
        <w:r w:rsidDel="00000000" w:rsidR="00000000" w:rsidRPr="00000000">
          <w:rPr>
            <w:rFonts w:ascii="Roboto Mono" w:cs="Roboto Mono" w:eastAsia="Roboto Mono" w:hAnsi="Roboto Mono"/>
            <w:color w:val="1155cc"/>
            <w:sz w:val="18"/>
            <w:szCs w:val="18"/>
            <w:u w:val="single"/>
            <w:rtl w:val="0"/>
          </w:rPr>
          <w:t xml:space="preserve"> https://arxiv.org/abs/2402.10962</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2">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3">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Andy Arditi, Oscar Obeso, Aaquib Syed, Daniel Paleka, Nina Panickssery, Wes Gurnee, and Neel Nanda. </w:t>
      </w:r>
      <w:r w:rsidDel="00000000" w:rsidR="00000000" w:rsidRPr="00000000">
        <w:rPr>
          <w:rFonts w:ascii="Roboto Mono" w:cs="Roboto Mono" w:eastAsia="Roboto Mono" w:hAnsi="Roboto Mono"/>
          <w:b w:val="1"/>
          <w:bCs w:val="1"/>
          <w:sz w:val="18"/>
          <w:szCs w:val="18"/>
          <w:rtl w:val="0"/>
        </w:rPr>
        <w:t xml:space="preserve">Refusal in language models is mediated by a single direction.</w:t>
      </w:r>
      <w:r w:rsidDel="00000000" w:rsidR="00000000" w:rsidRPr="00000000">
        <w:rPr>
          <w:rFonts w:ascii="Roboto Mono" w:cs="Roboto Mono" w:eastAsia="Roboto Mono" w:hAnsi="Roboto Mono"/>
          <w:sz w:val="18"/>
          <w:szCs w:val="18"/>
          <w:rtl w:val="0"/>
        </w:rPr>
        <w:t xml:space="preserve"> In Advances in Neural Information Processing Systems (NeurIPS), 2024. URL</w:t>
      </w:r>
      <w:hyperlink r:id="rId8">
        <w:r w:rsidDel="00000000" w:rsidR="00000000" w:rsidRPr="00000000">
          <w:rPr>
            <w:rFonts w:ascii="Roboto Mono" w:cs="Roboto Mono" w:eastAsia="Roboto Mono" w:hAnsi="Roboto Mono"/>
            <w:color w:val="1155cc"/>
            <w:sz w:val="18"/>
            <w:szCs w:val="18"/>
            <w:u w:val="single"/>
            <w:rtl w:val="0"/>
          </w:rPr>
          <w:t xml:space="preserve"> https://arxiv.org/abs/2406.11717</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4">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5">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Runjin Chen, Andy Arditi, Henry Sleight, Owain Evans, and Jack Lindsey. </w:t>
      </w:r>
      <w:r w:rsidDel="00000000" w:rsidR="00000000" w:rsidRPr="00000000">
        <w:rPr>
          <w:rFonts w:ascii="Roboto Mono" w:cs="Roboto Mono" w:eastAsia="Roboto Mono" w:hAnsi="Roboto Mono"/>
          <w:b w:val="1"/>
          <w:bCs w:val="1"/>
          <w:sz w:val="18"/>
          <w:szCs w:val="18"/>
          <w:rtl w:val="0"/>
        </w:rPr>
        <w:t xml:space="preserve">Persona vectors: Monitoring and controlling character traits in language models.</w:t>
      </w:r>
      <w:r w:rsidDel="00000000" w:rsidR="00000000" w:rsidRPr="00000000">
        <w:rPr>
          <w:rFonts w:ascii="Roboto Mono" w:cs="Roboto Mono" w:eastAsia="Roboto Mono" w:hAnsi="Roboto Mono"/>
          <w:sz w:val="18"/>
          <w:szCs w:val="18"/>
          <w:rtl w:val="0"/>
        </w:rPr>
        <w:t xml:space="preserve"> ArXiv preprint, arXiv:2507.21509, 2025. URL</w:t>
      </w:r>
      <w:hyperlink r:id="rId9">
        <w:r w:rsidDel="00000000" w:rsidR="00000000" w:rsidRPr="00000000">
          <w:rPr>
            <w:rFonts w:ascii="Roboto Mono" w:cs="Roboto Mono" w:eastAsia="Roboto Mono" w:hAnsi="Roboto Mono"/>
            <w:color w:val="1155cc"/>
            <w:sz w:val="18"/>
            <w:szCs w:val="18"/>
            <w:u w:val="single"/>
            <w:rtl w:val="0"/>
          </w:rPr>
          <w:t xml:space="preserve"> https://arxiv.org/abs/2507.21509</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6">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7">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Kevin Meng, David Bau, Alex Andonian, and Yonatan Belinkov. </w:t>
      </w:r>
      <w:r w:rsidDel="00000000" w:rsidR="00000000" w:rsidRPr="00000000">
        <w:rPr>
          <w:rFonts w:ascii="Roboto Mono" w:cs="Roboto Mono" w:eastAsia="Roboto Mono" w:hAnsi="Roboto Mono"/>
          <w:b w:val="1"/>
          <w:bCs w:val="1"/>
          <w:sz w:val="18"/>
          <w:szCs w:val="18"/>
          <w:rtl w:val="0"/>
        </w:rPr>
        <w:t xml:space="preserve">Locating and editing factual associations in GPT.</w:t>
      </w:r>
      <w:r w:rsidDel="00000000" w:rsidR="00000000" w:rsidRPr="00000000">
        <w:rPr>
          <w:rFonts w:ascii="Roboto Mono" w:cs="Roboto Mono" w:eastAsia="Roboto Mono" w:hAnsi="Roboto Mono"/>
          <w:sz w:val="18"/>
          <w:szCs w:val="18"/>
          <w:rtl w:val="0"/>
        </w:rPr>
        <w:t xml:space="preserve"> In Advances in Neural Information Processing Systems (NeurIPS), 2022. URL</w:t>
      </w:r>
      <w:hyperlink r:id="rId10">
        <w:r w:rsidDel="00000000" w:rsidR="00000000" w:rsidRPr="00000000">
          <w:rPr>
            <w:rFonts w:ascii="Roboto Mono" w:cs="Roboto Mono" w:eastAsia="Roboto Mono" w:hAnsi="Roboto Mono"/>
            <w:color w:val="1155cc"/>
            <w:sz w:val="18"/>
            <w:szCs w:val="18"/>
            <w:u w:val="single"/>
            <w:rtl w:val="0"/>
          </w:rPr>
          <w:t xml:space="preserve"> https://arxiv.org/abs/2202.05262</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8">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9">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Guangxuan Xiao, Yuandong Tian, Beidi Chen, Song Han, and Mike Lewis. </w:t>
      </w:r>
      <w:r w:rsidDel="00000000" w:rsidR="00000000" w:rsidRPr="00000000">
        <w:rPr>
          <w:rFonts w:ascii="Roboto Mono" w:cs="Roboto Mono" w:eastAsia="Roboto Mono" w:hAnsi="Roboto Mono"/>
          <w:b w:val="1"/>
          <w:bCs w:val="1"/>
          <w:sz w:val="18"/>
          <w:szCs w:val="18"/>
          <w:rtl w:val="0"/>
        </w:rPr>
        <w:t xml:space="preserve">Efficient streaming language models with attention sinks.</w:t>
      </w:r>
      <w:r w:rsidDel="00000000" w:rsidR="00000000" w:rsidRPr="00000000">
        <w:rPr>
          <w:rFonts w:ascii="Roboto Mono" w:cs="Roboto Mono" w:eastAsia="Roboto Mono" w:hAnsi="Roboto Mono"/>
          <w:sz w:val="18"/>
          <w:szCs w:val="18"/>
          <w:rtl w:val="0"/>
        </w:rPr>
        <w:t xml:space="preserve"> In International Conference on Learning Representations (ICLR), 2024. URL</w:t>
      </w:r>
      <w:hyperlink r:id="rId11">
        <w:r w:rsidDel="00000000" w:rsidR="00000000" w:rsidRPr="00000000">
          <w:rPr>
            <w:rFonts w:ascii="Roboto Mono" w:cs="Roboto Mono" w:eastAsia="Roboto Mono" w:hAnsi="Roboto Mono"/>
            <w:color w:val="1155cc"/>
            <w:sz w:val="18"/>
            <w:szCs w:val="18"/>
            <w:u w:val="single"/>
            <w:rtl w:val="0"/>
          </w:rPr>
          <w:t xml:space="preserve"> https://arxiv.org/abs/2309.17453</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A">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B">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Nelson F. Liu, Kevin Lin, John Hewitt, Ashwin Paranjape, Michele Bevilacqua, Fabio Petroni, and Percy Liang. </w:t>
      </w:r>
      <w:r w:rsidDel="00000000" w:rsidR="00000000" w:rsidRPr="00000000">
        <w:rPr>
          <w:rFonts w:ascii="Roboto Mono" w:cs="Roboto Mono" w:eastAsia="Roboto Mono" w:hAnsi="Roboto Mono"/>
          <w:b w:val="1"/>
          <w:bCs w:val="1"/>
          <w:sz w:val="18"/>
          <w:szCs w:val="18"/>
          <w:rtl w:val="0"/>
        </w:rPr>
        <w:t xml:space="preserve">Lost in the middle: How language models use long contexts.</w:t>
      </w:r>
      <w:r w:rsidDel="00000000" w:rsidR="00000000" w:rsidRPr="00000000">
        <w:rPr>
          <w:rFonts w:ascii="Roboto Mono" w:cs="Roboto Mono" w:eastAsia="Roboto Mono" w:hAnsi="Roboto Mono"/>
          <w:sz w:val="18"/>
          <w:szCs w:val="18"/>
          <w:rtl w:val="0"/>
        </w:rPr>
        <w:t xml:space="preserve"> Transactions of the Association for Computational Linguistics, 12:157–173, 2024. doi: 10.1162/tacl_a_00638.</w:t>
      </w:r>
    </w:p>
    <w:p w:rsidR="00000000" w:rsidDel="00000000" w:rsidP="00000000" w:rsidRDefault="00000000" w:rsidRPr="00000000" w14:paraId="0000009C">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D">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Kelly Hong, Anton Troynikov, and Jeff Huber. </w:t>
      </w:r>
      <w:r w:rsidDel="00000000" w:rsidR="00000000" w:rsidRPr="00000000">
        <w:rPr>
          <w:rFonts w:ascii="Roboto Mono" w:cs="Roboto Mono" w:eastAsia="Roboto Mono" w:hAnsi="Roboto Mono"/>
          <w:b w:val="1"/>
          <w:bCs w:val="1"/>
          <w:sz w:val="18"/>
          <w:szCs w:val="18"/>
          <w:rtl w:val="0"/>
        </w:rPr>
        <w:t xml:space="preserve">Context rot: How increasing input tokens impacts LLM performance.</w:t>
      </w:r>
      <w:r w:rsidDel="00000000" w:rsidR="00000000" w:rsidRPr="00000000">
        <w:rPr>
          <w:rFonts w:ascii="Roboto Mono" w:cs="Roboto Mono" w:eastAsia="Roboto Mono" w:hAnsi="Roboto Mono"/>
          <w:sz w:val="18"/>
          <w:szCs w:val="18"/>
          <w:rtl w:val="0"/>
        </w:rPr>
        <w:t xml:space="preserve"> Technical report, Chroma, 2025. URL</w:t>
      </w:r>
      <w:hyperlink r:id="rId12">
        <w:r w:rsidDel="00000000" w:rsidR="00000000" w:rsidRPr="00000000">
          <w:rPr>
            <w:rFonts w:ascii="Roboto Mono" w:cs="Roboto Mono" w:eastAsia="Roboto Mono" w:hAnsi="Roboto Mono"/>
            <w:color w:val="1155cc"/>
            <w:sz w:val="18"/>
            <w:szCs w:val="18"/>
            <w:u w:val="single"/>
            <w:rtl w:val="0"/>
          </w:rPr>
          <w:t xml:space="preserve"> https://research.trychroma.com/context-rot</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9E">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F">
      <w:pPr>
        <w:numPr>
          <w:ilvl w:val="0"/>
          <w:numId w:val="2"/>
        </w:numPr>
        <w:ind w:left="720" w:hanging="360"/>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Adly Templeton, Tom Conerly, Jonathan Marcus, Jack Lindsey, Trenton Bricken, Brian Chen, Adam Pearce, Craig Citro, Emmanuel Ameisen, Andy Jones, Hoagy Cunningham, Nicholas L. Turner, Callum McDougall, Monte MacDiarmid, C. Daniel Freeman, Theodore R. Sumers, Edward Rees, Josh Batson, Adam Jermyn, Shan Carter, Chris Olah, and Tom Henighan. </w:t>
      </w:r>
      <w:r w:rsidDel="00000000" w:rsidR="00000000" w:rsidRPr="00000000">
        <w:rPr>
          <w:rFonts w:ascii="Roboto Mono" w:cs="Roboto Mono" w:eastAsia="Roboto Mono" w:hAnsi="Roboto Mono"/>
          <w:b w:val="1"/>
          <w:bCs w:val="1"/>
          <w:sz w:val="18"/>
          <w:szCs w:val="18"/>
          <w:rtl w:val="0"/>
        </w:rPr>
        <w:t xml:space="preserve">Scaling monosemanticity: Extracting interpretable features from Claude 3 Sonnet. </w:t>
      </w:r>
      <w:r w:rsidDel="00000000" w:rsidR="00000000" w:rsidRPr="00000000">
        <w:rPr>
          <w:rFonts w:ascii="Roboto Mono" w:cs="Roboto Mono" w:eastAsia="Roboto Mono" w:hAnsi="Roboto Mono"/>
          <w:sz w:val="18"/>
          <w:szCs w:val="18"/>
          <w:rtl w:val="0"/>
        </w:rPr>
        <w:t xml:space="preserve">Transformer Circuits Thread, 2024. URL</w:t>
      </w:r>
      <w:hyperlink r:id="rId13">
        <w:r w:rsidDel="00000000" w:rsidR="00000000" w:rsidRPr="00000000">
          <w:rPr>
            <w:rFonts w:ascii="Roboto Mono" w:cs="Roboto Mono" w:eastAsia="Roboto Mono" w:hAnsi="Roboto Mono"/>
            <w:color w:val="1155cc"/>
            <w:sz w:val="18"/>
            <w:szCs w:val="18"/>
            <w:u w:val="single"/>
            <w:rtl w:val="0"/>
          </w:rPr>
          <w:t xml:space="preserve"> https://transformer-circuits.pub/2024/scaling-monosemanticity/</w:t>
        </w:r>
      </w:hyperlink>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A0">
      <w:pPr>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1">
      <w:pPr>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jc w:val="both"/>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Market simulation and generator realism</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3">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4">
      <w:pPr>
        <w:numPr>
          <w:ilvl w:val="0"/>
          <w:numId w:val="1"/>
        </w:numPr>
        <w:ind w:left="720" w:hanging="360"/>
        <w:jc w:val="both"/>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Zhengyang Jiang, Cameron Peng, and Hongjun Yan. Personality differences and investment decision-making. Journal of Financial Economics, 153:103776, 2024.</w:t>
      </w:r>
    </w:p>
    <w:p w:rsidR="00000000" w:rsidDel="00000000" w:rsidP="00000000" w:rsidRDefault="00000000" w:rsidRPr="00000000" w14:paraId="000000A5">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numPr>
          <w:ilvl w:val="0"/>
          <w:numId w:val="1"/>
        </w:numPr>
        <w:ind w:left="720" w:hanging="360"/>
        <w:jc w:val="both"/>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David Byrd, Maria Hybinette, and Tucker Hybinette Balch. ABIDES: Towards high-fidelity multi-agent market simulation. In Proceedings of the 2020 ACM SIGSIM Conference on Principles of Advanced Discrete Simulation (SIGSIM-PADS), pp. 11–22, 2020.</w:t>
      </w:r>
    </w:p>
    <w:p w:rsidR="00000000" w:rsidDel="00000000" w:rsidP="00000000" w:rsidRDefault="00000000" w:rsidRPr="00000000" w14:paraId="000000A7">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numPr>
          <w:ilvl w:val="0"/>
          <w:numId w:val="1"/>
        </w:numPr>
        <w:ind w:left="720" w:hanging="360"/>
        <w:jc w:val="both"/>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Tim Bollerslev. Generalized autoregressive conditional heteroskedasticity. Journal of Econometrics, 31(3):307–327, 1986.</w:t>
      </w:r>
    </w:p>
    <w:p w:rsidR="00000000" w:rsidDel="00000000" w:rsidP="00000000" w:rsidRDefault="00000000" w:rsidRPr="00000000" w14:paraId="000000A9">
      <w:pPr>
        <w:ind w:left="720" w:firstLine="0"/>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numPr>
          <w:ilvl w:val="0"/>
          <w:numId w:val="1"/>
        </w:numPr>
        <w:ind w:left="720" w:hanging="360"/>
        <w:jc w:val="both"/>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Rama Cont. Empirical properties of asset returns: stylized facts and statistical issues. Quantitative Finance, 1(2):223–236, 2001.</w:t>
      </w:r>
    </w:p>
    <w:p w:rsidR="00000000" w:rsidDel="00000000" w:rsidP="00000000" w:rsidRDefault="00000000" w:rsidRPr="00000000" w14:paraId="000000AB">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C">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D">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E">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F">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0">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1">
      <w:pPr>
        <w:jc w:val="both"/>
        <w:rPr>
          <w:rFonts w:ascii="Roboto Mono" w:cs="Roboto Mono" w:eastAsia="Roboto Mono" w:hAnsi="Roboto Mono"/>
          <w:b w:val="1"/>
          <w:bCs w:val="1"/>
          <w:highlight w:val="yellow"/>
        </w:rPr>
      </w:pPr>
      <w:r w:rsidDel="00000000" w:rsidR="00000000" w:rsidRPr="00000000">
        <w:rPr>
          <w:rFonts w:ascii="Roboto Mono" w:cs="Roboto Mono" w:eastAsia="Roboto Mono" w:hAnsi="Roboto Mono"/>
          <w:b w:val="1"/>
          <w:bCs w:val="1"/>
          <w:highlight w:val="yellow"/>
          <w:rtl w:val="0"/>
        </w:rPr>
        <w:t xml:space="preserve">Next Steps:</w:t>
      </w:r>
    </w:p>
    <w:p w:rsidR="00000000" w:rsidDel="00000000" w:rsidP="00000000" w:rsidRDefault="00000000" w:rsidRPr="00000000" w14:paraId="000000B2">
      <w:pPr>
        <w:numPr>
          <w:ilvl w:val="0"/>
          <w:numId w:val="3"/>
        </w:numPr>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Make a research about the previous work</w:t>
      </w:r>
    </w:p>
    <w:p w:rsidR="00000000" w:rsidDel="00000000" w:rsidP="00000000" w:rsidRDefault="00000000" w:rsidRPr="00000000" w14:paraId="000000B3">
      <w:pPr>
        <w:numPr>
          <w:ilvl w:val="0"/>
          <w:numId w:val="3"/>
        </w:numPr>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Which conference we can go for and after choosing which contributions we should have.</w:t>
      </w:r>
    </w:p>
    <w:p w:rsidR="00000000" w:rsidDel="00000000" w:rsidP="00000000" w:rsidRDefault="00000000" w:rsidRPr="00000000" w14:paraId="000000B4">
      <w:pPr>
        <w:numPr>
          <w:ilvl w:val="0"/>
          <w:numId w:val="3"/>
        </w:numPr>
        <w:ind w:left="720" w:hanging="360"/>
        <w:jc w:val="both"/>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The list of the experiments we should do as priority.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Prim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9.17453" TargetMode="External"/><Relationship Id="rId10" Type="http://schemas.openxmlformats.org/officeDocument/2006/relationships/hyperlink" Target="https://arxiv.org/abs/2202.05262" TargetMode="External"/><Relationship Id="rId13" Type="http://schemas.openxmlformats.org/officeDocument/2006/relationships/hyperlink" Target="https://transformer-circuits.pub/2024/scaling-monosemanticity/" TargetMode="External"/><Relationship Id="rId12" Type="http://schemas.openxmlformats.org/officeDocument/2006/relationships/hyperlink" Target="https://research.trychroma.com/context-r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7.21509" TargetMode="External"/><Relationship Id="rId5" Type="http://schemas.openxmlformats.org/officeDocument/2006/relationships/styles" Target="styles.xml"/><Relationship Id="rId6" Type="http://schemas.openxmlformats.org/officeDocument/2006/relationships/hyperlink" Target="https://docs.google.com/document/d/18tUdEHnAdVRNzmmakek7G_C9iRA7VGKvErZ7_E9Laps/edit?usp=sharing" TargetMode="External"/><Relationship Id="rId7" Type="http://schemas.openxmlformats.org/officeDocument/2006/relationships/hyperlink" Target="https://arxiv.org/abs/2402.10962" TargetMode="External"/><Relationship Id="rId8" Type="http://schemas.openxmlformats.org/officeDocument/2006/relationships/hyperlink" Target="https://arxiv.org/abs/2406.117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9" Type="http://schemas.openxmlformats.org/officeDocument/2006/relationships/font" Target="fonts/NovaMono-regular.ttf"/><Relationship Id="rId5" Type="http://schemas.openxmlformats.org/officeDocument/2006/relationships/font" Target="fonts/CourierPrime-regular.ttf"/><Relationship Id="rId6" Type="http://schemas.openxmlformats.org/officeDocument/2006/relationships/font" Target="fonts/CourierPrime-bold.ttf"/><Relationship Id="rId7" Type="http://schemas.openxmlformats.org/officeDocument/2006/relationships/font" Target="fonts/CourierPrime-italic.ttf"/><Relationship Id="rId8"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