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FinPersona-Bench: Related Work Update</w:t>
      </w:r>
    </w:p>
    <w:p>
      <w:pPr>
        <w:jc w:val="left"/>
      </w:pPr>
      <w:r>
        <w:rPr>
          <w:i/>
          <w:color w:val="595959"/>
          <w:sz w:val="22"/>
        </w:rPr>
        <w:t>Survey of literature released since the April 2026 submission — August 2026</w:t>
      </w:r>
    </w:p>
    <w:p>
      <w:pPr>
        <w:spacing w:after="160"/>
        <w:jc w:val="both"/>
      </w:pPr>
      <w:r>
        <w:rPr>
          <w:i w:val="0"/>
        </w:rPr>
        <w:t>This document reports a systematic search of work published or revised since the April submission, restricted to papers not already cited in the current version of FinPersona-Bench. Twenty-two papers were retrieved in full and read; each entry below records the paper's scope and its relationship to our benchmark. The document opens with an assessment of how well our original proposition has held up, a statement of established and planned contributions, and a synthesis of the most closely related new work.</w:t>
      </w:r>
    </w:p>
    <w:p>
      <w:pPr>
        <w:pStyle w:val="Heading1"/>
      </w:pPr>
      <w:r>
        <w:rPr>
          <w:rFonts w:ascii="Calibri" w:hAnsi="Calibri"/>
          <w:color w:val="1F3864"/>
        </w:rPr>
        <w:t>1. Status of the Core Proposition</w:t>
      </w:r>
    </w:p>
    <w:tbl>
      <w:tblPr>
        <w:tblStyle w:val="TableGrid"/>
        <w:tblW w:type="auto" w:w="0"/>
        <w:tblLook w:firstColumn="1" w:firstRow="1" w:lastColumn="0" w:lastRow="0" w:noHBand="0" w:noVBand="1" w:val="04A0"/>
      </w:tblPr>
      <w:tblGrid>
        <w:gridCol w:w="9360"/>
      </w:tblGrid>
      <w:tr>
        <w:tc>
          <w:tcPr>
            <w:tcW w:type="dxa" w:w="9360"/>
            <w:shd w:val="clear" w:color="auto" w:fill="EFF4FB"/>
          </w:tcPr>
          <w:p>
            <w:pPr>
              <w:spacing w:before="80" w:after="80"/>
              <w:jc w:val="both"/>
            </w:pPr>
            <w:r>
              <w:rPr>
                <w:b/>
                <w:color w:val="1F3864"/>
              </w:rPr>
              <w:t xml:space="preserve">In brief.  </w:t>
            </w:r>
            <w:r>
              <w:t>The core proposition holds: no published benchmark measures whether an autonomous financial agent continues to obey an assigned behavioral mandate over a long horizon against a mathematically defined ground truth. Three developments since April narrow the claim, and the window of differentiation is closing.</w:t>
            </w:r>
          </w:p>
        </w:tc>
      </w:tr>
    </w:tbl>
    <w:p>
      <w:pPr>
        <w:spacing w:after="40"/>
      </w:pPr>
    </w:p>
    <w:p>
      <w:pPr>
        <w:spacing w:after="160"/>
        <w:jc w:val="both"/>
      </w:pPr>
      <w:r>
        <w:rPr>
          <w:i w:val="0"/>
        </w:rPr>
        <w:t>Financial agent evaluation has expanded rapidly since the April submission, but along the axes of profitability, contamination control, and reasoning quality rather than behavioral persistence. The synthetic market that decouples observable price from hidden fundamental value remains our distinguishing methodological asset, and the recent literature strengthens rather than weakens the case for it: independent work now documents that agents trading on historical data are driven substantially by memorized identifiers rather than by the information presented to them, and that headline returns in such settings largely reflect passive market exposure rather than genuine skill.</w:t>
      </w:r>
    </w:p>
    <w:p>
      <w:pPr>
        <w:pStyle w:val="Heading2"/>
      </w:pPr>
      <w:r>
        <w:rPr>
          <w:rFonts w:ascii="Calibri" w:hAnsi="Calibri"/>
          <w:color w:val="2E5496"/>
        </w:rPr>
        <w:t>1.1 Element-by-element status</w:t>
      </w:r>
    </w:p>
    <w:tbl>
      <w:tblPr>
        <w:tblStyle w:val="TableGrid"/>
        <w:tblW w:type="auto" w:w="0"/>
        <w:tblLook w:firstColumn="1" w:firstRow="1" w:lastColumn="0" w:lastRow="0" w:noHBand="0" w:noVBand="1" w:val="04A0"/>
      </w:tblPr>
      <w:tblGrid>
        <w:gridCol w:w="4680"/>
        <w:gridCol w:w="4680"/>
      </w:tblGrid>
      <w:tr>
        <w:tc>
          <w:tcPr>
            <w:tcW w:type="dxa" w:w="5184"/>
            <w:shd w:val="clear" w:color="auto" w:fill="1F3864"/>
          </w:tcPr>
          <w:p>
            <w:pPr>
              <w:spacing w:after="40" w:before="40"/>
            </w:pPr>
            <w:r>
              <w:rPr>
                <w:b/>
                <w:color w:val="FFFFFF"/>
                <w:sz w:val="20"/>
              </w:rPr>
              <w:t>Element of the original proposition</w:t>
            </w:r>
          </w:p>
        </w:tc>
        <w:tc>
          <w:tcPr>
            <w:tcW w:type="dxa" w:w="4032"/>
            <w:shd w:val="clear" w:color="auto" w:fill="1F3864"/>
          </w:tcPr>
          <w:p>
            <w:pPr>
              <w:spacing w:after="40" w:before="40"/>
            </w:pPr>
            <w:r>
              <w:rPr>
                <w:b/>
                <w:color w:val="FFFFFF"/>
                <w:sz w:val="20"/>
              </w:rPr>
              <w:t>Status</w:t>
            </w:r>
          </w:p>
        </w:tc>
      </w:tr>
      <w:tr>
        <w:tc>
          <w:tcPr>
            <w:tcW w:type="dxa" w:w="5184"/>
          </w:tcPr>
          <w:p>
            <w:pPr>
              <w:spacing w:after="60" w:before="60"/>
            </w:pPr>
            <w:r>
              <w:rPr>
                <w:sz w:val="20"/>
              </w:rPr>
              <w:t>Falsifiable synthetic ground truth, with observable price decoupled from hidden fundamental value</w:t>
            </w:r>
          </w:p>
        </w:tc>
        <w:tc>
          <w:tcPr>
            <w:tcW w:type="dxa" w:w="4032"/>
          </w:tcPr>
          <w:p>
            <w:pPr>
              <w:spacing w:after="60" w:before="60"/>
            </w:pPr>
            <w:r>
              <w:rPr>
                <w:b/>
                <w:color w:val="1E6B38"/>
                <w:sz w:val="20"/>
              </w:rPr>
              <w:t>Intact, and strengthened</w:t>
            </w:r>
          </w:p>
        </w:tc>
      </w:tr>
      <w:tr>
        <w:tc>
          <w:tcPr>
            <w:tcW w:type="dxa" w:w="5184"/>
            <w:shd w:val="clear" w:color="auto" w:fill="F2F5FA"/>
          </w:tcPr>
          <w:p>
            <w:pPr>
              <w:spacing w:after="60" w:before="60"/>
            </w:pPr>
            <w:r>
              <w:rPr>
                <w:sz w:val="20"/>
              </w:rPr>
              <w:t>Longitudinal measurement of mandate adherence over a long horizon</w:t>
            </w:r>
          </w:p>
        </w:tc>
        <w:tc>
          <w:tcPr>
            <w:tcW w:type="dxa" w:w="4032"/>
            <w:shd w:val="clear" w:color="auto" w:fill="F2F5FA"/>
          </w:tcPr>
          <w:p>
            <w:pPr>
              <w:spacing w:after="60" w:before="60"/>
            </w:pPr>
            <w:r>
              <w:rPr>
                <w:b/>
                <w:color w:val="1E6B38"/>
                <w:sz w:val="20"/>
              </w:rPr>
              <w:t>Intact; no competing benchmark</w:t>
            </w:r>
          </w:p>
        </w:tc>
      </w:tr>
      <w:tr>
        <w:tc>
          <w:tcPr>
            <w:tcW w:type="dxa" w:w="5184"/>
          </w:tcPr>
          <w:p>
            <w:pPr>
              <w:spacing w:after="60" w:before="60"/>
            </w:pPr>
            <w:r>
              <w:rPr>
                <w:sz w:val="20"/>
              </w:rPr>
              <w:t>Bidirectional profile–regime interaction governing when re-grounding helps or harms</w:t>
            </w:r>
          </w:p>
        </w:tc>
        <w:tc>
          <w:tcPr>
            <w:tcW w:type="dxa" w:w="4032"/>
          </w:tcPr>
          <w:p>
            <w:pPr>
              <w:spacing w:after="60" w:before="60"/>
            </w:pPr>
            <w:r>
              <w:rPr>
                <w:b/>
                <w:color w:val="1E6B38"/>
                <w:sz w:val="20"/>
              </w:rPr>
              <w:t>Intact and distinctive</w:t>
            </w:r>
          </w:p>
        </w:tc>
      </w:tr>
      <w:tr>
        <w:tc>
          <w:tcPr>
            <w:tcW w:type="dxa" w:w="5184"/>
            <w:shd w:val="clear" w:color="auto" w:fill="F2F5FA"/>
          </w:tcPr>
          <w:p>
            <w:pPr>
              <w:spacing w:after="60" w:before="60"/>
            </w:pPr>
            <w:r>
              <w:rPr>
                <w:sz w:val="20"/>
              </w:rPr>
              <w:t>Mandate Salience Decay presented as a newly identified phenomenon</w:t>
            </w:r>
          </w:p>
        </w:tc>
        <w:tc>
          <w:tcPr>
            <w:tcW w:type="dxa" w:w="4032"/>
            <w:shd w:val="clear" w:color="auto" w:fill="F2F5FA"/>
          </w:tcPr>
          <w:p>
            <w:pPr>
              <w:spacing w:after="60" w:before="60"/>
            </w:pPr>
            <w:r>
              <w:rPr>
                <w:b/>
                <w:color w:val="9C5000"/>
                <w:sz w:val="20"/>
              </w:rPr>
              <w:t>Narrowed; named elsewhere</w:t>
            </w:r>
          </w:p>
        </w:tc>
      </w:tr>
      <w:tr>
        <w:tc>
          <w:tcPr>
            <w:tcW w:type="dxa" w:w="5184"/>
          </w:tcPr>
          <w:p>
            <w:pPr>
              <w:spacing w:after="60" w:before="60"/>
            </w:pPr>
            <w:r>
              <w:rPr>
                <w:sz w:val="20"/>
              </w:rPr>
              <w:t>Mechanistic account of decay as forthcoming novelty</w:t>
            </w:r>
          </w:p>
        </w:tc>
        <w:tc>
          <w:tcPr>
            <w:tcW w:type="dxa" w:w="4032"/>
          </w:tcPr>
          <w:p>
            <w:pPr>
              <w:spacing w:after="60" w:before="60"/>
            </w:pPr>
            <w:r>
              <w:rPr>
                <w:b/>
                <w:color w:val="9C5000"/>
                <w:sz w:val="20"/>
              </w:rPr>
              <w:t>Narrowed; partially anticipated</w:t>
            </w:r>
          </w:p>
        </w:tc>
      </w:tr>
      <w:tr>
        <w:tc>
          <w:tcPr>
            <w:tcW w:type="dxa" w:w="5184"/>
            <w:shd w:val="clear" w:color="auto" w:fill="F2F5FA"/>
          </w:tcPr>
          <w:p>
            <w:pPr>
              <w:spacing w:after="60" w:before="60"/>
            </w:pPr>
            <w:r>
              <w:rPr>
                <w:sz w:val="20"/>
              </w:rPr>
              <w:t>Finding that continuous re-injection is not universally beneficial</w:t>
            </w:r>
          </w:p>
        </w:tc>
        <w:tc>
          <w:tcPr>
            <w:tcW w:type="dxa" w:w="4032"/>
            <w:shd w:val="clear" w:color="auto" w:fill="F2F5FA"/>
          </w:tcPr>
          <w:p>
            <w:pPr>
              <w:spacing w:after="60" w:before="60"/>
            </w:pPr>
            <w:r>
              <w:rPr>
                <w:b/>
                <w:color w:val="9C5000"/>
                <w:sz w:val="20"/>
              </w:rPr>
              <w:t>Corroborated; no longer exclusive</w:t>
            </w:r>
          </w:p>
        </w:tc>
      </w:tr>
    </w:tbl>
    <w:p>
      <w:pPr>
        <w:spacing w:after="40"/>
      </w:pPr>
    </w:p>
    <w:p>
      <w:pPr>
        <w:pStyle w:val="Heading2"/>
      </w:pPr>
      <w:r>
        <w:rPr>
          <w:rFonts w:ascii="Calibri" w:hAnsi="Calibri"/>
          <w:color w:val="2E5496"/>
        </w:rPr>
        <w:t>1.2 Where the claim has narrowed</w:t>
      </w:r>
    </w:p>
    <w:p>
      <w:pPr>
        <w:pStyle w:val="ListBullet"/>
        <w:spacing w:after="120"/>
        <w:jc w:val="both"/>
      </w:pPr>
      <w:r>
        <w:rPr>
          <w:b/>
        </w:rPr>
        <w:t>The phenomenon now has a name in the wider literature.</w:t>
      </w:r>
      <w:r>
        <w:t xml:space="preserve">  Recent work on long-horizon agents describes “behavioral state decay,” in which instructions remain within the context window yet cease to exert reliable control over behavior. Mandate Salience Decay should therefore be positioned as a precise, objectively measurable instance of a recognized failure family in a domain that admits a falsifiable ground truth, rather than as an entirely new observation.</w:t>
      </w:r>
    </w:p>
    <w:p>
      <w:pPr>
        <w:pStyle w:val="ListBullet"/>
        <w:spacing w:after="120"/>
        <w:jc w:val="both"/>
      </w:pPr>
      <w:r>
        <w:rPr>
          <w:b/>
        </w:rPr>
        <w:t>The mechanistic account has been partially anticipated.</w:t>
      </w:r>
      <w:r>
        <w:t xml:space="preserve">  Attention to system-prompt goal tokens has now been shown to decline monotonically across multi-turn interaction, verified by causal ablation and accompanied by a published metric. Our mechanistic section must engage this work directly and differentiate on horizon length, economic grounding, and the presence of a re-grounding intervention arm.</w:t>
      </w:r>
    </w:p>
    <w:p>
      <w:pPr>
        <w:pStyle w:val="ListBullet"/>
        <w:spacing w:after="120"/>
        <w:jc w:val="both"/>
      </w:pPr>
      <w:r>
        <w:rPr>
          <w:b/>
        </w:rPr>
        <w:t>The prescriptive finding has been independently corroborated.</w:t>
      </w:r>
      <w:r>
        <w:t xml:space="preserve">  That unconditional re-injection is not universally beneficial has now been shown in a non-financial agentic setting, which raises the credibility of our result while removing its exclusivity.</w:t>
      </w:r>
    </w:p>
    <w:tbl>
      <w:tblPr>
        <w:tblStyle w:val="TableGrid"/>
        <w:tblW w:type="auto" w:w="0"/>
        <w:tblLook w:firstColumn="1" w:firstRow="1" w:lastColumn="0" w:lastRow="0" w:noHBand="0" w:noVBand="1" w:val="04A0"/>
      </w:tblPr>
      <w:tblGrid>
        <w:gridCol w:w="9360"/>
      </w:tblGrid>
      <w:tr>
        <w:tc>
          <w:tcPr>
            <w:tcW w:type="dxa" w:w="9360"/>
            <w:shd w:val="clear" w:color="auto" w:fill="EFF4FB"/>
          </w:tcPr>
          <w:p>
            <w:pPr>
              <w:spacing w:before="80" w:after="80"/>
              <w:jc w:val="both"/>
            </w:pPr>
            <w:r>
              <w:rPr>
                <w:b/>
                <w:color w:val="1F3864"/>
              </w:rPr>
              <w:t xml:space="preserve">Assessment.  </w:t>
            </w:r>
            <w:r>
              <w:t>The core idea is strong and still differentiated, but the window is narrowing. What remains distinctly ours is the falsifiable synthetic ground truth, the longitudinal measurement of mandate adherence, and the bidirectional profile–regime interaction in which re-grounding suppresses drift for aligned profiles while amplifying it for misaligned profiles in the same market. Priority should go to consolidating these elements and completing the mechanistic and controller work before the surrounding literature closes the remaining gap.</w:t>
            </w:r>
          </w:p>
        </w:tc>
      </w:tr>
    </w:tbl>
    <w:p>
      <w:pPr>
        <w:spacing w:after="40"/>
      </w:pPr>
    </w:p>
    <w:p>
      <w:pPr>
        <w:pStyle w:val="Heading1"/>
      </w:pPr>
      <w:r>
        <w:rPr>
          <w:rFonts w:ascii="Calibri" w:hAnsi="Calibri"/>
          <w:color w:val="1F3864"/>
        </w:rPr>
        <w:t>2. Contributions</w:t>
      </w:r>
    </w:p>
    <w:p>
      <w:pPr>
        <w:pStyle w:val="Heading2"/>
      </w:pPr>
      <w:r>
        <w:rPr>
          <w:rFonts w:ascii="Calibri" w:hAnsi="Calibri"/>
          <w:color w:val="2E5496"/>
        </w:rPr>
        <w:t>2.1 Established contributions</w:t>
      </w:r>
    </w:p>
    <w:p>
      <w:pPr>
        <w:pStyle w:val="ListBullet"/>
        <w:spacing w:after="120"/>
        <w:jc w:val="both"/>
      </w:pPr>
      <w:r>
        <w:rPr>
          <w:b/>
        </w:rPr>
        <w:t>Formalization of the failure mode.</w:t>
      </w:r>
      <w:r>
        <w:t xml:space="preserve">  Mandate Salience Decay is defined as a behavioral failure distinct from reasoning error: agents violate their assigned mandates while continuing to produce locally coherent and often profitable decisions.</w:t>
      </w:r>
    </w:p>
    <w:p>
      <w:pPr>
        <w:pStyle w:val="ListBullet"/>
        <w:spacing w:after="120"/>
        <w:jc w:val="both"/>
      </w:pPr>
      <w:r>
        <w:rPr>
          <w:b/>
        </w:rPr>
        <w:t>A benchmark with objective ground truth.</w:t>
      </w:r>
      <w:r>
        <w:t xml:space="preserve">  A synthetic market engine decouples observable price from hidden fundamental value, enabling falsifiable, contamination-free measurement of behavioral drift across three market regimes — low-signal, crash, and speculative bubble — and three behavioral profiles spanning capital preservation to aggressive growth.</w:t>
      </w:r>
    </w:p>
    <w:p>
      <w:pPr>
        <w:pStyle w:val="ListBullet"/>
        <w:spacing w:after="120"/>
        <w:jc w:val="both"/>
      </w:pPr>
      <w:r>
        <w:rPr>
          <w:b/>
        </w:rPr>
        <w:t>Evidence that decay compounds.</w:t>
      </w:r>
      <w:r>
        <w:t xml:space="preserve">  Across eighteen frontier and open-source models, mandate decay accumulates with context rather than presenting as a fixed offset: the gap between static and re-grounded agents in the crash regime grows by a factor of 4.4 from the first to the final quarter of the simulation.</w:t>
      </w:r>
    </w:p>
    <w:p>
      <w:pPr>
        <w:pStyle w:val="ListBullet"/>
        <w:spacing w:after="120"/>
        <w:jc w:val="both"/>
      </w:pPr>
      <w:r>
        <w:rPr>
          <w:b/>
        </w:rPr>
        <w:t>The profile–regime alignment principle.</w:t>
      </w:r>
      <w:r>
        <w:t xml:space="preserve">  The effect of mandate re-grounding is bidirectional and determined by the fit between behavioral profile and market regime, making re-grounding a diagnostic instrument rather than a universal remedy.</w:t>
      </w:r>
    </w:p>
    <w:p>
      <w:pPr>
        <w:pStyle w:val="ListBullet"/>
        <w:spacing w:after="120"/>
        <w:jc w:val="both"/>
      </w:pPr>
      <w:r>
        <w:rPr>
          <w:b/>
        </w:rPr>
        <w:t>Three supporting diagnostics.</w:t>
      </w:r>
      <w:r>
        <w:t xml:space="preserve">  A length- and position-matched placebo control indicating that re-grounding acts through mandate semantics rather than positional recency; a Big Five replication with a numerical-only ablation indicating that the alignment finding is not an artifact of the persona vocabulary; and an injection frequency ablation characterizing profile-specific re-grounding schedules.</w:t>
      </w:r>
    </w:p>
    <w:p>
      <w:pPr>
        <w:pStyle w:val="Heading2"/>
      </w:pPr>
      <w:r>
        <w:rPr>
          <w:rFonts w:ascii="Calibri" w:hAnsi="Calibri"/>
          <w:color w:val="2E5496"/>
        </w:rPr>
        <w:t>2.2 Planned contributions</w:t>
      </w:r>
    </w:p>
    <w:p>
      <w:pPr>
        <w:pStyle w:val="ListBullet"/>
        <w:spacing w:after="120"/>
        <w:jc w:val="both"/>
      </w:pPr>
      <w:r>
        <w:rPr>
          <w:b/>
        </w:rPr>
        <w:t>A mechanistic account of mandate decay.</w:t>
      </w:r>
      <w:r>
        <w:t xml:space="preserve">  Tracking the attention allocated to the mandate token span across the rollout, extracting a linear mandate-adherence direction from internal activations, and establishing causality by ablating and restoring that direction while holding the prompt fixed.</w:t>
      </w:r>
    </w:p>
    <w:p>
      <w:pPr>
        <w:pStyle w:val="ListBullet"/>
        <w:spacing w:after="120"/>
        <w:jc w:val="both"/>
      </w:pPr>
      <w:r>
        <w:rPr>
          <w:b/>
        </w:rPr>
        <w:t>An adaptive re-grounding controller.</w:t>
      </w:r>
      <w:r>
        <w:t xml:space="preserve">  A closed-loop mechanism that triggers mandate re-injection from a continuous internal drift signal rather than applying it unconditionally, converting the profile–regime alignment principle from an observation into a deployable method.</w:t>
      </w:r>
    </w:p>
    <w:p>
      <w:pPr>
        <w:pStyle w:val="ListBullet"/>
        <w:spacing w:after="120"/>
        <w:jc w:val="both"/>
      </w:pPr>
      <w:r>
        <w:rPr>
          <w:b/>
        </w:rPr>
        <w:t>A redesigned rationality metric.</w:t>
      </w:r>
      <w:r>
        <w:t xml:space="preserve">  Mandate-conditional regret, measuring deviation from the best action permitted by the agent's own mandate rather than from the absolute value-optimal action, which removes the cross-profile comparability problem in the current formulation.</w:t>
      </w:r>
    </w:p>
    <w:p>
      <w:pPr>
        <w:pStyle w:val="ListBullet"/>
        <w:spacing w:after="120"/>
        <w:jc w:val="both"/>
      </w:pPr>
      <w:r>
        <w:rPr>
          <w:b/>
        </w:rPr>
        <w:t>Independently grounded allocation targets.</w:t>
      </w:r>
      <w:r>
        <w:t xml:space="preserve">  Target allocations derived from published relationships between personality traits and equity share, removing the circularity of author-specified targets.</w:t>
      </w:r>
    </w:p>
    <w:p>
      <w:pPr>
        <w:pStyle w:val="ListBullet"/>
        <w:spacing w:after="120"/>
        <w:jc w:val="both"/>
      </w:pPr>
      <w:r>
        <w:rPr>
          <w:b/>
        </w:rPr>
        <w:t>Full-grid extension of the diagnostics.</w:t>
      </w:r>
      <w:r>
        <w:t xml:space="preserve">  The Big Five replication, placebo control, and frequency ablation extended across the full model and scenario grid, together with complete behavioral coverage of open-weight models, including the dissociation case in which re-injection restores persona-consistent language without correcting trading behavior.</w:t>
      </w:r>
    </w:p>
    <w:p>
      <w:pPr>
        <w:pStyle w:val="ListBullet"/>
        <w:spacing w:after="120"/>
        <w:jc w:val="both"/>
      </w:pPr>
      <w:r>
        <w:rPr>
          <w:b/>
        </w:rPr>
        <w:t>A revised statistical treatment.</w:t>
      </w:r>
      <w:r>
        <w:t xml:space="preserve">  A linear mixed-effects model with random effects for model, profile, and seed, together with correction for multiple comparisons, replacing the pooled paired test.</w:t>
      </w:r>
    </w:p>
    <w:p>
      <w:pPr>
        <w:pStyle w:val="ListBullet"/>
        <w:spacing w:after="120"/>
        <w:jc w:val="both"/>
      </w:pPr>
      <w:r>
        <w:rPr>
          <w:b/>
        </w:rPr>
        <w:t>Greater environmental realism without loss of ground truth.</w:t>
      </w:r>
      <w:r>
        <w:t xml:space="preserve">  An order-book market driven by an exogenous fundamental process, with generator parameters grounded in the empirical literature on asset-return behavior.</w:t>
      </w:r>
    </w:p>
    <w:p>
      <w:pPr>
        <w:pStyle w:val="Heading1"/>
      </w:pPr>
      <w:r>
        <w:rPr>
          <w:rFonts w:ascii="Calibri" w:hAnsi="Calibri"/>
          <w:color w:val="1F3864"/>
        </w:rPr>
        <w:t>3. Synthesis of the Most Closely Related New Work</w:t>
      </w:r>
    </w:p>
    <w:p>
      <w:pPr>
        <w:spacing w:after="160"/>
        <w:jc w:val="both"/>
      </w:pPr>
      <w:r>
        <w:rPr>
          <w:i w:val="0"/>
        </w:rPr>
        <w:t>Five papers from this search bear directly on our positioning. The closest neighbor overall studies goal drift in a simulated stock-trading environment and reports that frontier models resist direct adversarial pressure yet inherit and continue drift when conditioned on a weaker agent's drifted trajectory, and that models frequently identify the correct objective in their reasoning while failing to act on it. This independently corroborates the reasoning–action gap at the heart of Mandate Salience Decay, but treats drift as discrete goal abandonment between competing objectives rather than as the graded erosion of a standing risk mandate measured against a hidden fundamental. A second paper supplies the mechanistic account we had planned: it shows that attention from generated tokens to system-prompt goal tokens declines monotonically across every architecture tested, verifies the effect causally by closing the attention channel, and demonstrates that goal information remains linearly decodable from the residual stream even after attention access has decayed — that is, retaining text is not equivalent to preserving instruction control. Our mechanistic work must now be framed as extending this account to substantially longer horizons in an economically grounded setting with an explicit intervention arm.</w:t>
      </w:r>
    </w:p>
    <w:p>
      <w:pPr>
        <w:spacing w:after="160"/>
        <w:jc w:val="both"/>
      </w:pPr>
      <w:r>
        <w:rPr>
          <w:i w:val="0"/>
        </w:rPr>
        <w:t>A third paper provides the strongest published counter-position. It formalizes multi-turn drift as a stochastic recurrence, finds that divergence settles into bounded equilibria rather than growing without limit, and reports that periodic goal reminders reliably reduce it. Our compounding trajectory and our finding that re-grounding can be actively harmful complicate this picture, and the difference plausibly reflects horizon and pressure: their setting spans roughly ten conversational turns without sustained directional pressure, whereas ours spans two hundred decision steps under a coherent and accumulating market narrative. This contrast should be argued explicitly rather than left implicit. A fourth paper, from an industrial laboratory, names the general failure mode as behavioral state decay and demonstrates that a memory agent which decides when to intervene outperforms both passive context exposure and unconditional injection at every step, with unnecessary injections proving harmful rather than merely redundant. This is convergent evidence for our alignment principle and the closest precedent for our planned controller, which differs in triggering from an interpretable internal signal rather than a learned policy.</w:t>
      </w:r>
    </w:p>
    <w:p>
      <w:pPr>
        <w:spacing w:after="160"/>
        <w:jc w:val="both"/>
      </w:pPr>
      <w:r>
        <w:rPr>
          <w:i w:val="0"/>
        </w:rPr>
        <w:t>A fifth paper is the closest neighbor within financial agent evaluation: it scores portfolio agents on a per-round consistency measure that includes explicit mandate alignment and style drift terms, and reports that agents' allocations systematically fail to follow their own stated analyses, with the best-performing configuration by risk-adjusted return also exhibiting the poorest reasoning coherence. It differs from our work in that consistency is enforced during the run by an external reconciler and evaluation rests on historical and live market data, whereas we measure uncorrected decay against synthetic ground truth. Beyond these five, two psychometric studies materially strengthen our defense of the persona framing by showing that persona prompting reliably shifts what models report about themselves without bringing behavior into alignment, and that the apparent stability of questionnaire responses is an artifact of the lexical transparency of questionnaire items. Both findings independently explain our observation that mandate re-injection can restore persona-consistent language while leaving trading behavior uncorrected, and both support the decision to measure adherence behaviorally rather than by self-report.</w:t>
      </w:r>
    </w:p>
    <w:p>
      <w:pPr>
        <w:pStyle w:val="Heading1"/>
      </w:pPr>
      <w:r>
        <w:rPr>
          <w:rFonts w:ascii="Calibri" w:hAnsi="Calibri"/>
          <w:color w:val="1F3864"/>
        </w:rPr>
        <w:t>4. Papers Reviewed</w:t>
      </w:r>
    </w:p>
    <w:p>
      <w:pPr>
        <w:spacing w:after="160"/>
        <w:jc w:val="both"/>
      </w:pPr>
      <w:r>
        <w:rPr>
          <w:i/>
        </w:rPr>
        <w:t>Papers are grouped thematically. Each entry gives the full title, the complete author list, the arXiv reference, and a description of the work's scope and its relationship to FinPersona-Bench.</w:t>
      </w:r>
    </w:p>
    <w:p>
      <w:pPr>
        <w:pStyle w:val="Heading2"/>
      </w:pPr>
      <w:r>
        <w:rPr>
          <w:rFonts w:ascii="Calibri" w:hAnsi="Calibri"/>
          <w:color w:val="2E5496"/>
        </w:rPr>
        <w:t>4.1 Long-Horizon Behavioral Drift and Instruction Decay</w:t>
      </w:r>
    </w:p>
    <w:p>
      <w:pPr>
        <w:spacing w:before="240" w:after="40"/>
      </w:pPr>
      <w:r>
        <w:rPr>
          <w:b/>
          <w:sz w:val="23"/>
        </w:rPr>
        <w:t>LLMs Get Lost in Multi-Turn Conversation</w:t>
      </w:r>
    </w:p>
    <w:p>
      <w:pPr>
        <w:spacing w:after="40"/>
      </w:pPr>
      <w:r>
        <w:rPr>
          <w:b/>
        </w:rPr>
        <w:t>Philippe Laban, Hiroaki Hayashi, Yingbo Zhou, Jennifer Neville</w:t>
      </w:r>
    </w:p>
    <w:p>
      <w:pPr>
        <w:spacing w:after="80"/>
      </w:pPr>
      <w:hyperlink r:id="rId9">
        <w:r>
          <w:rPr>
            <w:color w:val="0563C1"/>
            <w:u w:val="single"/>
          </w:rPr>
          <w:t>https://arxiv.org/abs/2505.06120</w:t>
        </w:r>
      </w:hyperlink>
    </w:p>
    <w:p>
      <w:pPr>
        <w:spacing w:after="200"/>
        <w:jc w:val="both"/>
      </w:pPr>
      <w:r>
        <w:t>This study compares model performance when an instruction is given in full at once against the same instruction revealed gradually across a conversation, using more than two hundred thousand simulated exchanges across fifteen models and six generation tasks. Performance falls from roughly ninety percent to sixty-five percent, an average degradation of thirty-nine percent, and the authors decompose this into a modest loss of aptitude and a large increase in unreliability, showing that models which take a wrong turn early do not recover. Its scope is general-purpose conversational tasks rather than agentic decision-making, and it measures task success rather than adherence to a standing behavioral constraint. It is the canonical demonstration that accumulating context alone degrades instruction-following, and its finding that restating prior information at every turn recovers only a fraction of the loss anticipates our re-injection condition, which we extend by showing that the benefit of restatement is regime-dependent and can reverse in sign.</w:t>
      </w:r>
    </w:p>
    <w:p>
      <w:pPr>
        <w:spacing w:before="240" w:after="40"/>
      </w:pPr>
      <w:r>
        <w:rPr>
          <w:b/>
          <w:sz w:val="23"/>
        </w:rPr>
        <w:t>Inherited Goal Drift: Contextual Pressure Can Undermine Agentic Goals</w:t>
      </w:r>
    </w:p>
    <w:p>
      <w:pPr>
        <w:spacing w:after="40"/>
      </w:pPr>
      <w:r>
        <w:rPr>
          <w:b/>
        </w:rPr>
        <w:t>Achyutha Menon, Magnus Saebo, Tyler Crosse, Spencer Gibson, Eyon Jang, Diogo Cruz</w:t>
      </w:r>
    </w:p>
    <w:p>
      <w:pPr>
        <w:spacing w:after="80"/>
      </w:pPr>
      <w:hyperlink r:id="rId10">
        <w:r>
          <w:rPr>
            <w:color w:val="0563C1"/>
            <w:u w:val="single"/>
          </w:rPr>
          <w:t>https://arxiv.org/abs/2603.03258</w:t>
        </w:r>
      </w:hyperlink>
      <w:r>
        <w:rPr>
          <w:i/>
          <w:sz w:val="20"/>
        </w:rPr>
        <w:t xml:space="preserve">  —  Lifelong Agents Workshop, ICLR 2026</w:t>
      </w:r>
    </w:p>
    <w:p>
      <w:pPr>
        <w:spacing w:after="200"/>
        <w:jc w:val="both"/>
      </w:pPr>
      <w:r>
        <w:t>This paper characterizes goal drift in current frontier models within a simulated stock-trading environment in which an agent holds a system-prompt objective under sustained contextual pressure, and extends the setting with a conditioning paradigm in which an agent inherits the trajectory of a weaker, already-drifted agent. Recent models resist thirty steps of direct pressure almost entirely, yet several previously robust models inherit and continue drift when conditioned on a drifted trajectory, with only the strongest model recovering consistently; the authors also observe that models often name the correct objective in their reasoning while failing to act on it, and that longer contexts produce more drift. This is the nearest neighbor to our work in both domain and phenomenon. It differs in treating drift as discrete abandonment of one objective in favor of a competing one, measured by a state-based indicator, whereas we measure graded erosion of a risk mandate against a hidden fundamental value, with an explicit profile-by-regime interaction and a re-grounding intervention that the conditioning paradigm does not contain.</w:t>
      </w:r>
    </w:p>
    <w:p>
      <w:pPr>
        <w:spacing w:before="240" w:after="40"/>
      </w:pPr>
      <w:r>
        <w:rPr>
          <w:b/>
          <w:sz w:val="23"/>
        </w:rPr>
        <w:t>Drift No More? Context Equilibria in Multi-Turn LLM Interactions</w:t>
      </w:r>
    </w:p>
    <w:p>
      <w:pPr>
        <w:spacing w:after="40"/>
      </w:pPr>
      <w:r>
        <w:rPr>
          <w:b/>
        </w:rPr>
        <w:t>Vardhan Dongre, Ryan A. Rossi, Viet Dac Lai, David Seunghyun Yoon, Dilek Hakkani-Tur, Trung Bui</w:t>
      </w:r>
    </w:p>
    <w:p>
      <w:pPr>
        <w:spacing w:after="80"/>
      </w:pPr>
      <w:hyperlink r:id="rId11">
        <w:r>
          <w:rPr>
            <w:color w:val="0563C1"/>
            <w:u w:val="single"/>
          </w:rPr>
          <w:t>https://arxiv.org/abs/2510.07777</w:t>
        </w:r>
      </w:hyperlink>
      <w:r>
        <w:rPr>
          <w:i/>
          <w:sz w:val="20"/>
        </w:rPr>
        <w:t xml:space="preserve">  —  AAAI 2026 Workshop on Personalization in the Era of Large Foundation Models</w:t>
      </w:r>
    </w:p>
    <w:p>
      <w:pPr>
        <w:spacing w:after="200"/>
        <w:jc w:val="both"/>
      </w:pPr>
      <w:r>
        <w:t>This paper formalizes context drift as the turn-wise divergence between a model's predictive distribution and a goal-consistent reference policy, and models its evolution as a stochastic recurrence admitting stable fixed points. Across a synthetic constrained-rewriting task and two task-oriented dialogue domains, divergence fluctuates around finite, model-specific equilibria rather than growing monotonically, and goal reminders injected at fixed turns reduce divergence by between six and twelve percent while improving judged alignment by sixteen to twenty-seven percent. Its scope is conversational interaction over approximately ten turns without sustained directional pressure. This is the strongest published counter-position to our compounding account and to our finding that re-grounding can harm, and we should engage it directly: the equilibrium view may hold at short horizons while breaking down over two hundred decision steps under an accumulating market narrative. Its recurrence formalism also offers useful vocabulary for expressing re-injection as an intervention term whose sign we show can be negative.</w:t>
      </w:r>
    </w:p>
    <w:p>
      <w:pPr>
        <w:spacing w:before="240" w:after="40"/>
      </w:pPr>
      <w:r>
        <w:rPr>
          <w:b/>
          <w:sz w:val="23"/>
        </w:rPr>
        <w:t>When Attention Closes: How LLMs Lose the Thread in Multi-Turn Interaction</w:t>
      </w:r>
    </w:p>
    <w:p>
      <w:pPr>
        <w:spacing w:after="40"/>
      </w:pPr>
      <w:r>
        <w:rPr>
          <w:b/>
        </w:rPr>
        <w:t>Vardhan Dongre, Joseph Hsieh, Viet Dac Lai, Seunghyun Yoon, Trung Bui, Dilek Hakkani-Tur</w:t>
      </w:r>
    </w:p>
    <w:p>
      <w:pPr>
        <w:spacing w:after="80"/>
      </w:pPr>
      <w:hyperlink r:id="rId12">
        <w:r>
          <w:rPr>
            <w:color w:val="0563C1"/>
            <w:u w:val="single"/>
          </w:rPr>
          <w:t>https://arxiv.org/abs/2605.12922</w:t>
        </w:r>
      </w:hyperlink>
    </w:p>
    <w:p>
      <w:pPr>
        <w:spacing w:after="200"/>
        <w:jc w:val="both"/>
      </w:pPr>
      <w:r>
        <w:t>This paper provides a mechanistic explanation for the gradual loss of instructions, personas, and rules across multi-turn interaction. The authors introduce a measure of the attention mass directed from generated tokens to the tokens defining the goal, show that it declines monotonically in every architecture tested and falls by between twenty-seven and forty-eight percent of its initial value over fifty turns, and establish causality by structurally closing the attention channel, which collapses factual recall and raises persona violations above the level produced by adversarial user pressure. They further show that goal information remains linearly decodable from residual activations after attention access has decayed, concluding that retaining text is not equivalent to preserving goal information. This is the most consequential paper in the search for our planned mechanistic section: it supplies both a candidate mechanism for mandate decay and an explanation for why re-injection restores adherence. Our contribution must be positioned as extending this account to a four-fold longer horizon, to an economically grounded task with objective outcome measures, and to a setting containing an explicit intervention arm.</w:t>
      </w:r>
    </w:p>
    <w:p>
      <w:pPr>
        <w:spacing w:before="240" w:after="40"/>
      </w:pPr>
      <w:r>
        <w:rPr>
          <w:b/>
          <w:sz w:val="23"/>
        </w:rPr>
        <w:t>Attractor States Emerge in Multi-Turn LLM Conversations</w:t>
      </w:r>
    </w:p>
    <w:p>
      <w:pPr>
        <w:spacing w:after="40"/>
      </w:pPr>
      <w:r>
        <w:rPr>
          <w:b/>
        </w:rPr>
        <w:t>Ting-Wen Ko, Jonas Geiping</w:t>
      </w:r>
    </w:p>
    <w:p>
      <w:pPr>
        <w:spacing w:after="80"/>
      </w:pPr>
      <w:hyperlink r:id="rId13">
        <w:r>
          <w:rPr>
            <w:color w:val="0563C1"/>
            <w:u w:val="single"/>
          </w:rPr>
          <w:t>https://arxiv.org/abs/2606.30571</w:t>
        </w:r>
      </w:hyperlink>
    </w:p>
    <w:p>
      <w:pPr>
        <w:spacing w:after="200"/>
        <w:jc w:val="both"/>
      </w:pPr>
      <w:r>
        <w:t>This study examines the long-run dynamics of extended model-to-model interaction, running twenty-turn dyadic debates across seven models and twenty topics and tracking trajectories in representation space alongside discourse traits and stated positions. Conversations settle into reproducible, model-specific behavioral basins that persist across role and seed variation, assigned positions soften or reverse in a model-dependent manner, and cross-model influence is markedly asymmetric. Its scope is open-ended multi-agent dialogue rather than constrained decision-making, and it measures discursive convergence rather than compliance with an assigned mandate. It is nonetheless useful supporting evidence that long-horizon behavior gravitates toward model-intrinsic defaults that override assigned roles, which is the conversational analogue of our model-dependent decay profiles and supports our interpretation of accumulating market context as a force pulling agents toward default rather than mandated behavior.</w:t>
      </w:r>
    </w:p>
    <w:p>
      <w:pPr>
        <w:pStyle w:val="Heading2"/>
      </w:pPr>
      <w:r>
        <w:rPr>
          <w:rFonts w:ascii="Calibri" w:hAnsi="Calibri"/>
          <w:color w:val="2E5496"/>
        </w:rPr>
        <w:t>4.2 Persona Stability and Psychometric Validity</w:t>
      </w:r>
    </w:p>
    <w:p>
      <w:pPr>
        <w:spacing w:before="240" w:after="40"/>
      </w:pPr>
      <w:r>
        <w:rPr>
          <w:b/>
          <w:sz w:val="23"/>
        </w:rPr>
        <w:t>Persistent Instability in LLM’s Personality Measurements: Effects of Scale, Reasoning, and Conversation History</w:t>
      </w:r>
    </w:p>
    <w:p>
      <w:pPr>
        <w:spacing w:after="40"/>
      </w:pPr>
      <w:r>
        <w:rPr>
          <w:b/>
        </w:rPr>
        <w:t>Tommaso Tosato, Saskia Helbling, Yorguin-Jose Mantilla-Ramos, Mahmood Hegazy, Alberto Tosato, David John Lemay, Irina Rish, Guillaume Dumas</w:t>
      </w:r>
    </w:p>
    <w:p>
      <w:pPr>
        <w:spacing w:after="80"/>
      </w:pPr>
      <w:hyperlink r:id="rId14">
        <w:r>
          <w:rPr>
            <w:color w:val="0563C1"/>
            <w:u w:val="single"/>
          </w:rPr>
          <w:t>https://arxiv.org/abs/2508.04826</w:t>
        </w:r>
      </w:hyperlink>
      <w:r>
        <w:rPr>
          <w:i/>
          <w:sz w:val="20"/>
        </w:rPr>
        <w:t xml:space="preserve">  —  AAAI 2026, AI Alignment Track</w:t>
      </w:r>
    </w:p>
    <w:p>
      <w:pPr>
        <w:spacing w:after="200"/>
        <w:jc w:val="both"/>
      </w:pPr>
      <w:r>
        <w:t>This paper presents a large-scale evaluation of the stability of personality expression in language models, covering twenty-five open models from one billion to six hundred and eighty-five billion parameters and more than two million responses, while systematically varying question order, paraphrasing, assigned persona, reasoning mode, and conversation history. Reordering questions alone shifts measured traits substantially, scale yields only limited stability gains, explicit reasoning increases rather than decreases variability, and conversation history significantly increases instability for smaller models. Instruments adapted specifically for language models prove no more stable than human-derived ones, ruling out item wording as the explanation. Its scope is questionnaire-based trait measurement rather than behavior in a task environment. It supports our framing by establishing that the behavioral dispositions our mandates instantiate are intrinsically unstable under trivial context perturbation before any market pressure is applied, and the authors explicitly identify financial services as an at-risk deployment domain.</w:t>
      </w:r>
    </w:p>
    <w:p>
      <w:pPr>
        <w:spacing w:before="240" w:after="40"/>
      </w:pPr>
      <w:r>
        <w:rPr>
          <w:b/>
          <w:sz w:val="23"/>
        </w:rPr>
        <w:t>Rethinking Psychometric Evaluation of LLMs: When and Why Self-Reports Predict Behavior</w:t>
      </w:r>
    </w:p>
    <w:p>
      <w:pPr>
        <w:spacing w:after="40"/>
      </w:pPr>
      <w:r>
        <w:rPr>
          <w:b/>
        </w:rPr>
        <w:t>Rafal Kocielnik, Pengrui Han, Peiyang Song, Myrl G. Marmarelis, Ramit Debnath, Dean Mobbs, Anima Anandkumar, R. Michael Alvarez</w:t>
      </w:r>
    </w:p>
    <w:p>
      <w:pPr>
        <w:spacing w:after="80"/>
      </w:pPr>
      <w:hyperlink r:id="rId15">
        <w:r>
          <w:rPr>
            <w:color w:val="0563C1"/>
            <w:u w:val="single"/>
          </w:rPr>
          <w:t>https://arxiv.org/abs/2606.12730</w:t>
        </w:r>
      </w:hyperlink>
    </w:p>
    <w:p>
      <w:pPr>
        <w:spacing w:after="200"/>
        <w:jc w:val="both"/>
      </w:pPr>
      <w:r>
        <w:t>This study asks when self-reported psychometric profiles predict actual model behavior, contrasting broad trait inventories with task-anchored behavioral frameworks across eleven frontier models and four behavioral tasks including risk-taking. Broad trait self-reports are essentially non-predictive of behavior, whereas task-anchored measures reach human-level coherence within a single session; coherence collapses for most models once measurement and behavior are separated into different sessions, indicating that apparent coherence largely reflects context priming. Most relevant to us, persona prompting makes self-reports more stable and more distinct without bringing behavior into corresponding alignment. This is direct independent support for our dissociation finding and provides a principled answer to reviewer concerns about the persona vocabulary: coarse trait language has weak behavioral predictive validity by construction, which is precisely why adherence must be measured through decisions rather than through self-report.</w:t>
      </w:r>
    </w:p>
    <w:p>
      <w:pPr>
        <w:spacing w:before="240" w:after="40"/>
      </w:pPr>
      <w:r>
        <w:rPr>
          <w:b/>
          <w:sz w:val="23"/>
        </w:rPr>
        <w:t>Human Psychometric Questionnaires Mischaracterize LLM Behavior</w:t>
      </w:r>
    </w:p>
    <w:p>
      <w:pPr>
        <w:spacing w:after="40"/>
      </w:pPr>
      <w:r>
        <w:rPr>
          <w:b/>
        </w:rPr>
        <w:t>Woojung Song, Dongmin Choi, Yoonah Park, Jongwook Han, Eun-Ju Lee, Yohan Jo</w:t>
      </w:r>
    </w:p>
    <w:p>
      <w:pPr>
        <w:spacing w:after="80"/>
      </w:pPr>
      <w:hyperlink r:id="rId16">
        <w:r>
          <w:rPr>
            <w:color w:val="0563C1"/>
            <w:u w:val="single"/>
          </w:rPr>
          <w:t>https://arxiv.org/abs/2509.10078</w:t>
        </w:r>
      </w:hyperlink>
    </w:p>
    <w:p>
      <w:pPr>
        <w:spacing w:after="200"/>
        <w:jc w:val="both"/>
      </w:pPr>
      <w:r>
        <w:t>This paper compares value and personality profiles derived from standard questionnaires against profiles derived from generation probabilities over realistic user queries, across eight open models. The two diverge substantially, and the within-construct consistency frequently cited as evidence of stable dispositions disappears entirely once behavior is measured through generation. The authors attribute this to the lexical transparency of questionnaire items, which allows models to recognize the construct being measured and respond in a socially desirable and internally consistent manner, whereas realistic queries offer no such cues; demographic persona prompts shift questionnaire scores toward human patterns while producing directionally incoherent shifts in generation behavior. Its scope is measurement methodology rather than agentic deployment. It supplies a mechanism for our dissociation result: persona-consistent language can be restored because surface persona cues are easy to match, while behavior, which carries no such cues, does not follow.</w:t>
      </w:r>
    </w:p>
    <w:p>
      <w:pPr>
        <w:spacing w:before="240" w:after="40"/>
      </w:pPr>
      <w:r>
        <w:rPr>
          <w:b/>
          <w:sz w:val="23"/>
        </w:rPr>
        <w:t>Deflanderization for Game Dialogue: Balancing Character Authenticity with Task Execution in LLM-based NPCs</w:t>
      </w:r>
    </w:p>
    <w:p>
      <w:pPr>
        <w:spacing w:after="40"/>
      </w:pPr>
      <w:r>
        <w:rPr>
          <w:b/>
        </w:rPr>
        <w:t>Pasin Buakhaw, Kun Kerdthaisong, Phuree Phenhiran, Pitikorn Khlaisamniang, Supasate Vorathammathorn, Piyalitt Ittichaiwong, Nutchanon Yongsatianchot</w:t>
      </w:r>
    </w:p>
    <w:p>
      <w:pPr>
        <w:spacing w:after="80"/>
      </w:pPr>
      <w:hyperlink r:id="rId17">
        <w:r>
          <w:rPr>
            <w:color w:val="0563C1"/>
            <w:u w:val="single"/>
          </w:rPr>
          <w:t>https://arxiv.org/abs/2510.13586</w:t>
        </w:r>
      </w:hyperlink>
      <w:r>
        <w:rPr>
          <w:i/>
          <w:sz w:val="20"/>
        </w:rPr>
        <w:t xml:space="preserve">  —  Commonsense Persona-Grounded Dialogue Challenge 2025</w:t>
      </w:r>
    </w:p>
    <w:p>
      <w:pPr>
        <w:spacing w:after="200"/>
        <w:jc w:val="both"/>
      </w:pPr>
      <w:r>
        <w:t>This system report addresses the tension between persona fidelity and task execution in language-model-driven non-player characters, and names the failure mode of progressive simplification of a character into a caricature defined by a single exaggerated trait. The authors show that instructing models to suppress exaggerated role-play improves functional task accuracy substantially, and document a persistent trade-off in which methods that improve persona expression can degrade functional correctness. Its scope is a shared-task submission in game dialogue rather than a full research study, and it should be weighted accordingly. It is nonetheless a useful precedent when introducing our caricature measure, since it establishes that surface-trait exaggeration at the expense of substantive function has been observed and named in an entirely different domain, and that prompt-level mitigation exists — while our results show that such mitigation is regime-dependent rather than uniformly beneficial.</w:t>
      </w:r>
    </w:p>
    <w:p>
      <w:pPr>
        <w:pStyle w:val="Heading2"/>
      </w:pPr>
      <w:r>
        <w:rPr>
          <w:rFonts w:ascii="Calibri" w:hAnsi="Calibri"/>
          <w:color w:val="2E5496"/>
        </w:rPr>
        <w:t>4.3 Financial Agent Benchmarks and Market Simulation</w:t>
      </w:r>
    </w:p>
    <w:p>
      <w:pPr>
        <w:spacing w:before="240" w:after="40"/>
      </w:pPr>
      <w:r>
        <w:rPr>
          <w:b/>
          <w:sz w:val="23"/>
        </w:rPr>
        <w:t>From Knowing to Doing: A Memory-Controlled Benchmark for LLM Trading Agents on Stock Markets</w:t>
      </w:r>
    </w:p>
    <w:p>
      <w:pPr>
        <w:spacing w:after="40"/>
      </w:pPr>
      <w:r>
        <w:rPr>
          <w:b/>
        </w:rPr>
        <w:t>Taojie Zhu, Wentao Zhao, Rui Sun, Beidi Luan, Jiacheng Lu, Sinuo Wang, Jing Li, Daxin Jiang, Yonghong He, Zuo Bai</w:t>
      </w:r>
    </w:p>
    <w:p>
      <w:pPr>
        <w:spacing w:after="80"/>
      </w:pPr>
      <w:hyperlink r:id="rId18">
        <w:r>
          <w:rPr>
            <w:color w:val="0563C1"/>
            <w:u w:val="single"/>
          </w:rPr>
          <w:t>https://arxiv.org/abs/2605.28359</w:t>
        </w:r>
      </w:hyperlink>
    </w:p>
    <w:p>
      <w:pPr>
        <w:spacing w:after="200"/>
        <w:jc w:val="both"/>
      </w:pPr>
      <w:r>
        <w:t>This benchmark addresses two failure modes in end-to-end trading evaluation: overlap between long backtests and model knowledge cutoffs, which allows memorized tickers and dates to substitute for reasoning, and the use of raw returns as a proxy for skill. It introduces a data-side masking protocol that anonymizes identifiers and calendar information consistently across prompts and tool responses, certified by an independent de-anonymization probe, together with a factor attribution that decomposes returns into market, style, and selection components. Ticker visibility alone is shown to drive active trading, and nine of ten frontier agents exhibit negative selection alpha despite substantial headline returns. Its scope remains outcome evaluation on historical data with no behavioral mandate and no persona axis. It is valuable supporting evidence for our contamination argument, and a natural companion citation: masking and synthetic generation are two distinct escapes from the same problem, and the paper's demonstration that pretraining priors rather than presented information drive trading strengthens the case for a fully synthetic environment.</w:t>
      </w:r>
    </w:p>
    <w:p>
      <w:pPr>
        <w:spacing w:before="240" w:after="40"/>
      </w:pPr>
      <w:r>
        <w:rPr>
          <w:b/>
          <w:sz w:val="23"/>
        </w:rPr>
        <w:t>AI-Trader: Benchmarking Autonomous Agents in Real-Time Financial Markets</w:t>
      </w:r>
    </w:p>
    <w:p>
      <w:pPr>
        <w:spacing w:after="40"/>
      </w:pPr>
      <w:r>
        <w:rPr>
          <w:b/>
        </w:rPr>
        <w:t>Tianyu Fan, Yuhao Yang, Yangqin Jiang, Yifei Zhang, Yuxuan Chen, Chao Huang</w:t>
      </w:r>
    </w:p>
    <w:p>
      <w:pPr>
        <w:spacing w:after="80"/>
      </w:pPr>
      <w:hyperlink r:id="rId19">
        <w:r>
          <w:rPr>
            <w:color w:val="0563C1"/>
            <w:u w:val="single"/>
          </w:rPr>
          <w:t>https://arxiv.org/abs/2512.10971</w:t>
        </w:r>
      </w:hyperlink>
    </w:p>
    <w:p>
      <w:pPr>
        <w:spacing w:after="200"/>
        <w:jc w:val="both"/>
      </w:pPr>
      <w:r>
        <w:t>This benchmark evaluates autonomous agents trading live in three markets — United States equities, Chinese A-shares, and cryptocurrencies — under a minimal-information protocol in which agents receive only holdings and prices and must retrieve and verify information themselves through tools. Because trading occurs after model training cutoffs, contamination is eliminated by construction. General capability is found not to transfer to trading competence, with the strongest general model underperforming a passive index and no agent beating the Chinese market benchmark, while risk control rather than return-seeking determines robustness. The evaluation horizon spans roughly five to six weeks and the outcome measures are returns and risk-adjusted ratios. It is the state-of-the-art live and uncontaminated benchmark, and precisely illustrates the point-in-time paradigm we distinguish ourselves from: no behavioral mandate is imposed, no longitudinal consistency is measured, and the horizon is far too short for mandate decay to be observable.</w:t>
      </w:r>
    </w:p>
    <w:p>
      <w:pPr>
        <w:spacing w:before="240" w:after="40"/>
      </w:pPr>
      <w:r>
        <w:rPr>
          <w:b/>
          <w:sz w:val="23"/>
        </w:rPr>
        <w:t>CLQT: A Closed-Loop, Cost-Aware, Strategy-Consistent Benchmark for Diagnostic Evaluation of LLM Portfolio-Management Agents</w:t>
      </w:r>
    </w:p>
    <w:p>
      <w:pPr>
        <w:spacing w:after="40"/>
      </w:pPr>
      <w:r>
        <w:rPr>
          <w:b/>
        </w:rPr>
        <w:t>Bo Qu, Mingguang Chen</w:t>
      </w:r>
    </w:p>
    <w:p>
      <w:pPr>
        <w:spacing w:after="80"/>
      </w:pPr>
      <w:hyperlink r:id="rId20">
        <w:r>
          <w:rPr>
            <w:color w:val="0563C1"/>
            <w:u w:val="single"/>
          </w:rPr>
          <w:t>https://arxiv.org/abs/2606.29771</w:t>
        </w:r>
      </w:hyperlink>
    </w:p>
    <w:p>
      <w:pPr>
        <w:spacing w:after="200"/>
        <w:jc w:val="both"/>
      </w:pPr>
      <w:r>
        <w:t>This benchmark argues that return leaderboards certify neither sound reasoning nor strategic consistency, and reframes closed-loop trading evaluation as diagnosis of where the decision process breaks. It contributes a leakage-preventing time gate, calibrated cost models, a per-round consistency score containing explicit style drift and mandate alignment terms, and a five-axis capability scorecard assessed partly by a held-out judge. Across a year-long backtest, an ablation grid, and a live track, the authors find that the nominal risk-adjusted-return leader is a reliability artifact, that agents' allocations systematically fail to follow their own stated analyses, and that no architectural ablation moves returns beyond run-to-run noise while the capability axes register clear differences. This is the closest neighbor to our work within financial agent evaluation and the only one to treat mandate alignment as a first-class quantity. It differs in that consistency is enforced during the run through an injected warning and correction mechanism, and evaluation rests on historical and live data, whereas we observe uncorrected decay against a synthetic ground truth and characterize how adherence evolves as context accumulates.</w:t>
      </w:r>
    </w:p>
    <w:p>
      <w:pPr>
        <w:spacing w:before="240" w:after="40"/>
      </w:pPr>
      <w:r>
        <w:rPr>
          <w:b/>
          <w:sz w:val="23"/>
        </w:rPr>
        <w:t>Fin-Bias: Comprehensive Evaluation for LLM Decision-Making under Human Bias in Finance Domain</w:t>
      </w:r>
    </w:p>
    <w:p>
      <w:pPr>
        <w:spacing w:after="40"/>
      </w:pPr>
      <w:r>
        <w:rPr>
          <w:b/>
        </w:rPr>
        <w:t>Xiaoyu Hu, Jinman Zhao</w:t>
      </w:r>
    </w:p>
    <w:p>
      <w:pPr>
        <w:spacing w:after="80"/>
      </w:pPr>
      <w:hyperlink r:id="rId21">
        <w:r>
          <w:rPr>
            <w:color w:val="0563C1"/>
            <w:u w:val="single"/>
          </w:rPr>
          <w:t>https://arxiv.org/abs/2605.09106</w:t>
        </w:r>
      </w:hyperlink>
    </w:p>
    <w:p>
      <w:pPr>
        <w:spacing w:after="200"/>
        <w:jc w:val="both"/>
      </w:pPr>
      <w:r>
        <w:t>This benchmark evaluates whether models herd toward human opinions embedded in financial context, using close to nine thousand long-form analyst reports across nine sectors, each opening with an explicit rating, and testing eighteen models under conditions in which the rating is present, removed, or replaced with a contradictory one. Including the rating raises alignment with the analyst above ninety-four percent for frontier models, models adopt arbitrary contradictory ratings roughly thirty percent of the time, and susceptibility is uncorrelated with model scale. Its scope is single-decision judgment with no sequential trading, no assigned mandate, and no temporal dimension. It provides mechanism-level support for our account by demonstrating that contextual opinion systematically dominates independent judgment in financial settings and that this does not diminish with capability, which is the pressure that erodes a standing mandate over a long horizon; it also exemplifies the point-in-time category from which we differentiate.</w:t>
      </w:r>
    </w:p>
    <w:p>
      <w:pPr>
        <w:spacing w:before="240" w:after="40"/>
      </w:pPr>
      <w:r>
        <w:rPr>
          <w:b/>
          <w:sz w:val="23"/>
        </w:rPr>
        <w:t>Agent-Based Simulation of a Financial Market with Large Language Models</w:t>
      </w:r>
    </w:p>
    <w:p>
      <w:pPr>
        <w:spacing w:after="40"/>
      </w:pPr>
      <w:r>
        <w:rPr>
          <w:b/>
        </w:rPr>
        <w:t>Ryuji Hashimoto, Takehiro Takayanagi, Masahiro Suzuki, Kiyoshi Izumi</w:t>
      </w:r>
    </w:p>
    <w:p>
      <w:pPr>
        <w:spacing w:after="80"/>
      </w:pPr>
      <w:hyperlink r:id="rId22">
        <w:r>
          <w:rPr>
            <w:color w:val="0563C1"/>
            <w:u w:val="single"/>
          </w:rPr>
          <w:t>https://arxiv.org/abs/2510.12189</w:t>
        </w:r>
      </w:hyperlink>
    </w:p>
    <w:p>
      <w:pPr>
        <w:spacing w:after="200"/>
        <w:jc w:val="both"/>
      </w:pPr>
      <w:r>
        <w:t>This paper investigates whether language-model agents can introduce context-dependent behavioral biases into agent-based market simulation, reproducing path-dependent price anomalies that rule-based agents cannot. The authors construct hybrid agents in which a model determines trade direction from a textual description of portfolio state and price history while order price and volume follow conventional rules, and run limit-order-book simulations of one thousand agents over five hundred simulated days against a synthetic fundamental price. Replacing as few as one to five rule-based agents reproduces the empirical anomaly of price declines near historical highs within the range observed in real data, while preserving standard stylized facts, and the agents display disposition-effect behavior with reference points that shift with context. Methodologically this is our closest ally, validating the use of a synthetic fundamental process decoupled from traded price. The framing is inverted, however: context-dependent behavioral drift is the desired realism in their design and the failure mode in ours, and their evaluation is single-decision rather than tracking a standing mandate over time.</w:t>
      </w:r>
    </w:p>
    <w:p>
      <w:pPr>
        <w:spacing w:before="240" w:after="40"/>
      </w:pPr>
      <w:r>
        <w:rPr>
          <w:b/>
          <w:sz w:val="23"/>
        </w:rPr>
        <w:t>Agentic Trading: When LLM Agents Meet Financial Markets</w:t>
      </w:r>
    </w:p>
    <w:p>
      <w:pPr>
        <w:spacing w:after="40"/>
      </w:pPr>
      <w:r>
        <w:rPr>
          <w:b/>
        </w:rPr>
        <w:t>Yihan Xia, Panpan You, Taotao Wang, Fang Liu, Han Qi, Xiaoxiao Wu, Shengli Zhang</w:t>
      </w:r>
    </w:p>
    <w:p>
      <w:pPr>
        <w:spacing w:after="80"/>
      </w:pPr>
      <w:hyperlink r:id="rId23">
        <w:r>
          <w:rPr>
            <w:color w:val="0563C1"/>
            <w:u w:val="single"/>
          </w:rPr>
          <w:t>https://arxiv.org/abs/2605.19337</w:t>
        </w:r>
      </w:hyperlink>
    </w:p>
    <w:p>
      <w:pPr>
        <w:spacing w:after="200"/>
        <w:jc w:val="both"/>
      </w:pPr>
      <w:r>
        <w:t>This survey reframes language-model trading agents as expert-system decision pipelines and presents an audit-oriented evidence map of seventy-seven studies screened to March 2026, of which nineteen satisfy a minimum standard of emitting tradable actions and evaluating them in a closed loop. The central finding is protocol incomparability: within that subset only two report time-consistent data splits, one reports an explicit transaction-cost model, and none reach the highest reproducibility tier, so cross-paper performance claims are treated as preliminary. The survey also cautions that human-readable rationales emitted by trading agents are not guaranteed to be faithful to the underlying decision process. It is valuable for positioning: it establishes that controlled, protocol-explicit closed-loop evaluation is the field's principal bottleneck, which is what our benchmark supplies, and its faithfulness caveat is independent domain-specific support for our finding that agent language can diverge from agent behavior.</w:t>
      </w:r>
    </w:p>
    <w:p>
      <w:pPr>
        <w:pStyle w:val="Heading2"/>
      </w:pPr>
      <w:r>
        <w:rPr>
          <w:rFonts w:ascii="Calibri" w:hAnsi="Calibri"/>
          <w:color w:val="2E5496"/>
        </w:rPr>
        <w:t>4.4 Memory Mechanisms and Persistent-State Agents</w:t>
      </w:r>
    </w:p>
    <w:p>
      <w:pPr>
        <w:spacing w:before="240" w:after="40"/>
      </w:pPr>
      <w:r>
        <w:rPr>
          <w:b/>
          <w:sz w:val="23"/>
        </w:rPr>
        <w:t>Remember When It Matters: Proactive Memory Agent for Long-Horizon Agents</w:t>
      </w:r>
    </w:p>
    <w:p>
      <w:pPr>
        <w:spacing w:after="40"/>
      </w:pPr>
      <w:r>
        <w:rPr>
          <w:b/>
        </w:rPr>
        <w:t>Yifan Wu, Lizhu Zhang, Yuhang Zhou, Mingyi Wang, Bo Peng, Serena Li, Xiangjun Fan, Zhuokai Zhao</w:t>
      </w:r>
    </w:p>
    <w:p>
      <w:pPr>
        <w:spacing w:after="80"/>
      </w:pPr>
      <w:hyperlink r:id="rId24">
        <w:r>
          <w:rPr>
            <w:color w:val="0563C1"/>
            <w:u w:val="single"/>
          </w:rPr>
          <w:t>https://arxiv.org/abs/2607.08716</w:t>
        </w:r>
      </w:hyperlink>
    </w:p>
    <w:p>
      <w:pPr>
        <w:spacing w:after="200"/>
        <w:jc w:val="both"/>
      </w:pPr>
      <w:r>
        <w:t>This paper identifies behavioral state decay as a central failure mode of long-horizon agents, defined as decision-relevant information remaining within the context window yet ceasing to exert reliable control over behavior, and treats memory as an active intervention policy rather than passive retrieval. A separate memory agent maintains a structured memory bank alongside an unmodified action agent and decides at each step whether to inject a targeted reminder or remain silent, with silence an explicit action. The approach yields substantial gains on two agentic benchmarks, and the ablations are the critical result: selective intervention outperforms passive exposure to the full memory bank, forced injection at every step, and retrieval baselines, with unnecessary injections proving harmful rather than merely redundant. This names the general failure family of which Mandate Salience Decay is a financial instance, and independently establishes that unconditional re-injection is suboptimal, corroborating our alignment principle. It is the closest precedent for our planned adaptive controller, from which we differ by triggering re-injection on an interpretable internal drift signal rather than a learned intervention policy.</w:t>
      </w:r>
    </w:p>
    <w:p>
      <w:pPr>
        <w:spacing w:before="240" w:after="40"/>
      </w:pPr>
      <w:r>
        <w:rPr>
          <w:b/>
          <w:sz w:val="23"/>
        </w:rPr>
        <w:t>Always-On Agents: A Survey of Persistent Memory, State, and Governance in LLM Agents</w:t>
      </w:r>
    </w:p>
    <w:p>
      <w:pPr>
        <w:spacing w:after="40"/>
      </w:pPr>
      <w:r>
        <w:rPr>
          <w:b/>
        </w:rPr>
        <w:t>Tianyu Ding, Aditya Nannapaneni, Bingfan Liu, Ling Zhang</w:t>
      </w:r>
    </w:p>
    <w:p>
      <w:pPr>
        <w:spacing w:after="80"/>
      </w:pPr>
      <w:hyperlink r:id="rId25">
        <w:r>
          <w:rPr>
            <w:color w:val="0563C1"/>
            <w:u w:val="single"/>
          </w:rPr>
          <w:t>https://arxiv.org/abs/2606.30306</w:t>
        </w:r>
      </w:hyperlink>
    </w:p>
    <w:p>
      <w:pPr>
        <w:spacing w:after="200"/>
        <w:jc w:val="both"/>
      </w:pPr>
      <w:r>
        <w:t>This survey defines always-on agents as persistent-state systems whose future behavior depends on durable state accumulated across earlier interactions, and argues that this breaks the episodic assumption under which single-session safety reasoning is sufficient. Coding a corpus of four hundred and thirty-five works along diagnostic axes covering authority, scope, mutability, provenance, recoverability, and actionability, the authors document a structural asymmetry in which the literature extensively studies accumulating and retrieving state while rarely addressing governing, revoking, or repairing it, and argue that larger context windows address a reading problem rather than a governance problem. Its scope is a taxonomy and evaluation protocol rather than empirical measurement. It provides survey-level justification for our positioning: long-horizon failures arising from accumulated state constitute a class that episodic evaluation is not constructed to detect, and a benchmark that scores behavior over accumulated context rather than per-episode correctness is precisely the instrument the survey argues is missing.</w:t>
      </w:r>
    </w:p>
    <w:p>
      <w:pPr>
        <w:pStyle w:val="Heading2"/>
      </w:pPr>
      <w:r>
        <w:rPr>
          <w:rFonts w:ascii="Calibri" w:hAnsi="Calibri"/>
          <w:color w:val="2E5496"/>
        </w:rPr>
        <w:t>4.5 Mechanistic Interpretability</w:t>
      </w:r>
    </w:p>
    <w:p>
      <w:pPr>
        <w:spacing w:before="240" w:after="40"/>
      </w:pPr>
      <w:r>
        <w:rPr>
          <w:b/>
          <w:sz w:val="23"/>
        </w:rPr>
        <w:t>Tracing Persona Vectors Through LLM Pretraining</w:t>
      </w:r>
    </w:p>
    <w:p>
      <w:pPr>
        <w:spacing w:after="40"/>
      </w:pPr>
      <w:r>
        <w:rPr>
          <w:b/>
        </w:rPr>
        <w:t>Viktor Moskvoretskii, Dominik Glandorf, Jorge Medina Moreira, Tanja Kaser, Robert West</w:t>
      </w:r>
    </w:p>
    <w:p>
      <w:pPr>
        <w:spacing w:after="80"/>
      </w:pPr>
      <w:hyperlink r:id="rId26">
        <w:r>
          <w:rPr>
            <w:color w:val="0563C1"/>
            <w:u w:val="single"/>
          </w:rPr>
          <w:t>https://arxiv.org/abs/2605.13329</w:t>
        </w:r>
      </w:hyperlink>
    </w:p>
    <w:p>
      <w:pPr>
        <w:spacing w:after="200"/>
        <w:jc w:val="both"/>
      </w:pPr>
      <w:r>
        <w:t>This paper traces the formation of linear activation directions encoding behavioral traits across the pretraining trajectory of open models, adapting difference-of-means extraction to base checkpoints and introducing a norm-rescaled steering formulation that makes intervention strengths comparable across checkpoints. Trait directions form extremely early in pretraining and directions extracted from these early checkpoints still steer the fully post-trained instruction model; each trait has a distinct onset and saturation point, and alignment training reshapes how strongly a trait is expressed without erasing the underlying direction. Its scope is training dynamics rather than deployment behavior. It validates the methodological premise of our planned representational analysis, namely that a behavioral adherence direction is a robust and transferable object, and it suggests a specific hypothesis worth testing: that mandate decay is a failure of elicitation, in which the prompt loses its grip on a direction that remains present, rather than a loss of the representation itself.</w:t>
      </w:r>
    </w:p>
    <w:p>
      <w:pPr>
        <w:spacing w:before="240" w:after="40"/>
      </w:pPr>
      <w:r>
        <w:rPr>
          <w:b/>
          <w:sz w:val="23"/>
        </w:rPr>
        <w:t>What Drives Representation Steering? A Mechanistic Case Study on Steering Refusal</w:t>
      </w:r>
    </w:p>
    <w:p>
      <w:pPr>
        <w:spacing w:after="40"/>
      </w:pPr>
      <w:r>
        <w:rPr>
          <w:b/>
        </w:rPr>
        <w:t>Stephen Cheng, Sarah Wiegreffe, Dinesh Manocha</w:t>
      </w:r>
    </w:p>
    <w:p>
      <w:pPr>
        <w:spacing w:after="80"/>
      </w:pPr>
      <w:hyperlink r:id="rId27">
        <w:r>
          <w:rPr>
            <w:color w:val="0563C1"/>
            <w:u w:val="single"/>
          </w:rPr>
          <w:t>https://arxiv.org/abs/2604.08524</w:t>
        </w:r>
      </w:hyperlink>
    </w:p>
    <w:p>
      <w:pPr>
        <w:spacing w:after="200"/>
        <w:jc w:val="both"/>
      </w:pPr>
      <w:r>
        <w:t>This paper investigates the internal mechanisms through which steering vectors act, using refusal as a case study and introducing a multi-token activation patching framework that extends circuit discovery from single-token prediction to open-ended steered generation. Steering is found to be highly localized, with approximately a tenth of model edges recovering most of the steered behavior; vectors obtained by three different extraction methods engage functionally interchangeable circuits despite low similarity between the raw vectors; and steering acts predominantly through the value-output pathway of attention rather than through the attention pattern itself. Its scope is safety behavior in small open models. It is the closest methodological precedent for the causal and attribution components of our planned analysis, and it carries an important caveat for our design: if mandate decay manifests as reallocation of attention while the adherence direction operates through a different pathway, then attention tracking and direction interventions probe partially separable mechanisms, which should be stated explicitly rather than assumed away.</w:t>
      </w:r>
    </w:p>
    <w:p>
      <w:pPr>
        <w:spacing w:before="240" w:after="40"/>
      </w:pPr>
      <w:r>
        <w:rPr>
          <w:b/>
          <w:sz w:val="23"/>
        </w:rPr>
        <w:t>Locate, Steer, and Improve: A Practical Survey of Actionable Mechanistic Interpretability in Large Language Models</w:t>
      </w:r>
    </w:p>
    <w:p>
      <w:pPr>
        <w:spacing w:after="40"/>
      </w:pPr>
      <w:r>
        <w:rPr>
          <w:b/>
        </w:rPr>
        <w:t>Hengyuan Zhang, Zhihao Zhang, Mingyang Wang, Zunhai Su, Yiwei Wang, Qianli Wang, Shuzhou Yuan, Ercong Nie, Xufeng Duan, Feijiang Han, Qibo Xue, Zeping Yu, Chenming Shang, Xiao Liang, Jing Xiong, Hui Shen, Chaofan Tao, Zhengwu Liu, Senjie Jin, Zhiheng Xi, Dongdong Zhang, Sophia Ananiadou, Tao Gui, Ruobing Xie, Hayden Kwok-Hay So, Hinrich Schutze, Xuanjing Huang, Qi Zhang, Ngai Wong</w:t>
      </w:r>
    </w:p>
    <w:p>
      <w:pPr>
        <w:spacing w:after="80"/>
      </w:pPr>
      <w:hyperlink r:id="rId28">
        <w:r>
          <w:rPr>
            <w:color w:val="0563C1"/>
            <w:u w:val="single"/>
          </w:rPr>
          <w:t>https://arxiv.org/abs/2601.14004</w:t>
        </w:r>
      </w:hyperlink>
    </w:p>
    <w:p>
      <w:pPr>
        <w:spacing w:after="200"/>
        <w:jc w:val="both"/>
      </w:pPr>
      <w:r>
        <w:t>This survey reframes mechanistic interpretability from an observational discipline into an intervention methodology, organized around a pipeline of localizing a mechanism, steering it, and improving model behavior. It formally separates diagnostic methods — magnitude analysis, causal attribution and patching, probing, vocabulary projection, and circuit discovery — from intervention methods including amplitude manipulation, targeted weight editing, and vector arithmetic, and organizes applications across alignment, capability, and efficiency. It also documents key limitations: fine-grained causal localization does not scale to the largest models, and interventions frequently produce collateral effects, leading the authors to propose that primary metrics always be paired with mandatory side-effect checks. For us it serves as the framing reference that situates our planned analysis within an established protocol, and its evaluation requirement supports scoring our interventions on both restored mandate adherence and any collateral degradation of trading competence.</w:t>
      </w:r>
    </w:p>
    <w:p>
      <w:pPr>
        <w:spacing w:before="240" w:after="40"/>
      </w:pPr>
      <w:r>
        <w:rPr>
          <w:b/>
          <w:sz w:val="23"/>
        </w:rPr>
        <w:t>Bridging Mechanistic Interpretability and Prompt Engineering with Gradient Ascent for Interpretable Persona Control</w:t>
      </w:r>
    </w:p>
    <w:p>
      <w:pPr>
        <w:spacing w:after="40"/>
      </w:pPr>
      <w:r>
        <w:rPr>
          <w:b/>
        </w:rPr>
        <w:t>Harshvardhan Saini, Yiming Tang, Dianbo Liu</w:t>
      </w:r>
    </w:p>
    <w:p>
      <w:pPr>
        <w:spacing w:after="80"/>
      </w:pPr>
      <w:hyperlink r:id="rId29">
        <w:r>
          <w:rPr>
            <w:color w:val="0563C1"/>
            <w:u w:val="single"/>
          </w:rPr>
          <w:t>https://arxiv.org/abs/2601.02896</w:t>
        </w:r>
      </w:hyperlink>
      <w:r>
        <w:rPr>
          <w:i/>
          <w:sz w:val="20"/>
        </w:rPr>
        <w:t xml:space="preserve">  —  Transactions on Machine Learning Research, June 2026</w:t>
      </w:r>
    </w:p>
    <w:p>
      <w:pPr>
        <w:spacing w:after="200"/>
        <w:jc w:val="both"/>
      </w:pPr>
      <w:r>
        <w:t>This paper proposes discovering persona-steering prompts automatically by optimizing them against mechanistically identified behavioral directions, constructing the target direction either from a difference-of-means computation in the residual stream or from contrastive sparse-autoencoder features, then applying fluency-constrained gradient ascent. The methods outperform manual prompting, direct activation steering, and black-box prompt optimization across three behavioral targets on three open models. The mechanistic analysis is the most useful part for us: direct injection of a dense steering vector pushes activations off the natural manifold, tripling the number of active sparse features, whereas prompt-space interventions grounded in the same direction preserve baseline sparsity. Its scope is safety-relevant behaviors rather than financial decision-making, though its short-horizon reward persona is the closest existing analogue to the tension between immediate market pressure and long-term mandate discipline. It provides a concrete design caution for our causal work — activation-level interventions require monitoring for off-manifold artifacts — and suggests prompt-space re-grounding as an alternative intervention channel.</w:t>
      </w:r>
    </w:p>
    <w:p>
      <w:pPr>
        <w:pStyle w:val="Heading2"/>
      </w:pPr>
      <w:r>
        <w:rPr>
          <w:rFonts w:ascii="Calibri" w:hAnsi="Calibri"/>
          <w:color w:val="2E5496"/>
        </w:rPr>
        <w:t>4.6 Deployment and Regulatory Context</w:t>
      </w:r>
    </w:p>
    <w:p>
      <w:pPr>
        <w:spacing w:before="240" w:after="40"/>
      </w:pPr>
      <w:r>
        <w:rPr>
          <w:b/>
          <w:sz w:val="23"/>
        </w:rPr>
        <w:t>Agent Security Meets Regulatory Reality: A Practitioner Systematization of Autonomous-Agent Threats and Controls in Regulated Financial Systems</w:t>
      </w:r>
    </w:p>
    <w:p>
      <w:pPr>
        <w:spacing w:after="40"/>
      </w:pPr>
      <w:r>
        <w:rPr>
          <w:b/>
        </w:rPr>
        <w:t>Krishna Mohan Guda Nagavenkata Srinivasa</w:t>
      </w:r>
    </w:p>
    <w:p>
      <w:pPr>
        <w:spacing w:after="80"/>
      </w:pPr>
      <w:hyperlink r:id="rId30">
        <w:r>
          <w:rPr>
            <w:color w:val="0563C1"/>
            <w:u w:val="single"/>
          </w:rPr>
          <w:t>https://arxiv.org/abs/2606.29142</w:t>
        </w:r>
      </w:hyperlink>
    </w:p>
    <w:p>
      <w:pPr>
        <w:spacing w:after="200"/>
        <w:jc w:val="both"/>
      </w:pPr>
      <w:r>
        <w:t>This practitioner systematization maps established agentic threat categories onto the control obligations imposed by United States and European financial regulation, drawing on a production deployment supporting a consumer credit product. It argues that legal accountability amplifies each threat, since an agent whose actual decision basis diverges from its stated reasons creates a per-decision compliance exposure, and it documents that recent regulatory guidance holds firms responsible for decisions influenced by generative systems regardless of the degree of autonomy while current model-risk guidance excludes such systems from scope. Notably, the most consequential failure observed in production was not an attack but the agent silently continuing to operate under a superseded policy, detected only by internal audit. This is a single-author practitioner contribution rather than peer-reviewed research and should be weighted accordingly, but it is useful motivation: it establishes that divergence between an agent's stated mandate and its actual behavior is an operational and legally actionable failure class, and that compliance expressed in language is not sufficient evidence of compliance in behavior.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505.06120" TargetMode="External"/><Relationship Id="rId10" Type="http://schemas.openxmlformats.org/officeDocument/2006/relationships/hyperlink" Target="https://arxiv.org/abs/2603.03258" TargetMode="External"/><Relationship Id="rId11" Type="http://schemas.openxmlformats.org/officeDocument/2006/relationships/hyperlink" Target="https://arxiv.org/abs/2510.07777" TargetMode="External"/><Relationship Id="rId12" Type="http://schemas.openxmlformats.org/officeDocument/2006/relationships/hyperlink" Target="https://arxiv.org/abs/2605.12922" TargetMode="External"/><Relationship Id="rId13" Type="http://schemas.openxmlformats.org/officeDocument/2006/relationships/hyperlink" Target="https://arxiv.org/abs/2606.30571" TargetMode="External"/><Relationship Id="rId14" Type="http://schemas.openxmlformats.org/officeDocument/2006/relationships/hyperlink" Target="https://arxiv.org/abs/2508.04826" TargetMode="External"/><Relationship Id="rId15" Type="http://schemas.openxmlformats.org/officeDocument/2006/relationships/hyperlink" Target="https://arxiv.org/abs/2606.12730" TargetMode="External"/><Relationship Id="rId16" Type="http://schemas.openxmlformats.org/officeDocument/2006/relationships/hyperlink" Target="https://arxiv.org/abs/2509.10078" TargetMode="External"/><Relationship Id="rId17" Type="http://schemas.openxmlformats.org/officeDocument/2006/relationships/hyperlink" Target="https://arxiv.org/abs/2510.13586" TargetMode="External"/><Relationship Id="rId18" Type="http://schemas.openxmlformats.org/officeDocument/2006/relationships/hyperlink" Target="https://arxiv.org/abs/2605.28359" TargetMode="External"/><Relationship Id="rId19" Type="http://schemas.openxmlformats.org/officeDocument/2006/relationships/hyperlink" Target="https://arxiv.org/abs/2512.10971" TargetMode="External"/><Relationship Id="rId20" Type="http://schemas.openxmlformats.org/officeDocument/2006/relationships/hyperlink" Target="https://arxiv.org/abs/2606.29771" TargetMode="External"/><Relationship Id="rId21" Type="http://schemas.openxmlformats.org/officeDocument/2006/relationships/hyperlink" Target="https://arxiv.org/abs/2605.09106" TargetMode="External"/><Relationship Id="rId22" Type="http://schemas.openxmlformats.org/officeDocument/2006/relationships/hyperlink" Target="https://arxiv.org/abs/2510.12189" TargetMode="External"/><Relationship Id="rId23" Type="http://schemas.openxmlformats.org/officeDocument/2006/relationships/hyperlink" Target="https://arxiv.org/abs/2605.19337" TargetMode="External"/><Relationship Id="rId24" Type="http://schemas.openxmlformats.org/officeDocument/2006/relationships/hyperlink" Target="https://arxiv.org/abs/2607.08716" TargetMode="External"/><Relationship Id="rId25" Type="http://schemas.openxmlformats.org/officeDocument/2006/relationships/hyperlink" Target="https://arxiv.org/abs/2606.30306" TargetMode="External"/><Relationship Id="rId26" Type="http://schemas.openxmlformats.org/officeDocument/2006/relationships/hyperlink" Target="https://arxiv.org/abs/2605.13329" TargetMode="External"/><Relationship Id="rId27" Type="http://schemas.openxmlformats.org/officeDocument/2006/relationships/hyperlink" Target="https://arxiv.org/abs/2604.08524" TargetMode="External"/><Relationship Id="rId28" Type="http://schemas.openxmlformats.org/officeDocument/2006/relationships/hyperlink" Target="https://arxiv.org/abs/2601.14004" TargetMode="External"/><Relationship Id="rId29" Type="http://schemas.openxmlformats.org/officeDocument/2006/relationships/hyperlink" Target="https://arxiv.org/abs/2601.02896" TargetMode="External"/><Relationship Id="rId30" Type="http://schemas.openxmlformats.org/officeDocument/2006/relationships/hyperlink" Target="https://arxiv.org/abs/2606.29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