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C54B" w14:textId="77777777" w:rsidR="006A15E6" w:rsidRPr="006A15E6" w:rsidRDefault="006A15E6" w:rsidP="006A15E6">
      <w:pPr>
        <w:rPr>
          <w:rFonts w:ascii="Garamond" w:hAnsi="Garamond"/>
          <w:b/>
          <w:bCs/>
        </w:rPr>
      </w:pPr>
      <w:r w:rsidRPr="006A15E6">
        <w:rPr>
          <w:rFonts w:ascii="Garamond" w:hAnsi="Garamond"/>
          <w:b/>
          <w:bCs/>
        </w:rPr>
        <w:t>Exercise 1: The Pipeline Prioritization</w:t>
      </w:r>
    </w:p>
    <w:p w14:paraId="478F0399" w14:textId="1867A6A8" w:rsidR="006A15E6" w:rsidRPr="00573444" w:rsidRDefault="006A15E6" w:rsidP="006A15E6">
      <w:pPr>
        <w:rPr>
          <w:rFonts w:ascii="Garamond" w:hAnsi="Garamond"/>
        </w:rPr>
      </w:pPr>
      <w:r w:rsidRPr="00573444">
        <w:rPr>
          <w:rFonts w:ascii="Garamond" w:hAnsi="Garamond"/>
        </w:rPr>
        <w:br/>
      </w:r>
      <w:r w:rsidRPr="00573444">
        <w:rPr>
          <w:rFonts w:ascii="Garamond" w:hAnsi="Garamond"/>
          <w:b/>
          <w:bCs/>
          <w:u w:val="single"/>
        </w:rPr>
        <w:t>PRIORITIZED FUNDING OPTIONS</w:t>
      </w:r>
      <w:r w:rsidRPr="00573444">
        <w:rPr>
          <w:rFonts w:ascii="Garamond" w:hAnsi="Garamond"/>
          <w:b/>
          <w:bCs/>
        </w:rPr>
        <w:br/>
      </w:r>
      <w:r w:rsidRPr="00573444">
        <w:rPr>
          <w:rFonts w:ascii="Garamond" w:hAnsi="Garamond"/>
          <w:b/>
          <w:bCs/>
        </w:rPr>
        <w:br/>
      </w:r>
      <w:r w:rsidRPr="00573444">
        <w:rPr>
          <w:rFonts w:ascii="Garamond" w:hAnsi="Garamond"/>
          <w:b/>
          <w:bCs/>
        </w:rPr>
        <w:t>Funder D — European Government Development Agency (Rank 1)</w:t>
      </w:r>
    </w:p>
    <w:p w14:paraId="5489DFD8" w14:textId="2922481F" w:rsidR="006A15E6" w:rsidRPr="00573444" w:rsidRDefault="006A15E6" w:rsidP="006A15E6">
      <w:pPr>
        <w:rPr>
          <w:rFonts w:ascii="Garamond" w:hAnsi="Garamond"/>
        </w:rPr>
      </w:pPr>
      <w:r w:rsidRPr="006A15E6">
        <w:rPr>
          <w:rFonts w:ascii="Garamond" w:hAnsi="Garamond"/>
        </w:rPr>
        <w:t xml:space="preserve">This is the highest-priority engagement because the timing is structural, a country </w:t>
      </w:r>
      <w:proofErr w:type="spellStart"/>
      <w:r w:rsidRPr="006A15E6">
        <w:rPr>
          <w:rFonts w:ascii="Garamond" w:hAnsi="Garamond"/>
        </w:rPr>
        <w:t>prioritisation</w:t>
      </w:r>
      <w:proofErr w:type="spellEnd"/>
      <w:r w:rsidRPr="006A15E6">
        <w:rPr>
          <w:rFonts w:ascii="Garamond" w:hAnsi="Garamond"/>
        </w:rPr>
        <w:t xml:space="preserve"> announcement plus an open-invitation roundtable is </w:t>
      </w:r>
      <w:r w:rsidRPr="00573444">
        <w:rPr>
          <w:rFonts w:ascii="Garamond" w:hAnsi="Garamond"/>
        </w:rPr>
        <w:t xml:space="preserve">a golden </w:t>
      </w:r>
      <w:proofErr w:type="spellStart"/>
      <w:r w:rsidRPr="00573444">
        <w:rPr>
          <w:rFonts w:ascii="Garamond" w:hAnsi="Garamond"/>
        </w:rPr>
        <w:t>oppurtunity</w:t>
      </w:r>
      <w:proofErr w:type="spellEnd"/>
      <w:r w:rsidRPr="006A15E6">
        <w:rPr>
          <w:rFonts w:ascii="Garamond" w:hAnsi="Garamond"/>
        </w:rPr>
        <w:t>. The roundtable is not a pitch opportunity; it's an intelligence-gathering and relationship-entry moment. In week one, I research the agency's existing education portfolio in Pakistan and comparable markets, identify which implementing partners they've worked through before, and prepare a tight one-pager</w:t>
      </w:r>
      <w:r w:rsidRPr="00573444">
        <w:rPr>
          <w:rFonts w:ascii="Garamond" w:hAnsi="Garamond"/>
        </w:rPr>
        <w:t xml:space="preserve">, </w:t>
      </w:r>
      <w:r w:rsidRPr="006A15E6">
        <w:rPr>
          <w:rFonts w:ascii="Garamond" w:hAnsi="Garamond"/>
        </w:rPr>
        <w:t xml:space="preserve">not a proposal, just a positioning document that frames </w:t>
      </w:r>
      <w:proofErr w:type="spellStart"/>
      <w:r w:rsidRPr="006A15E6">
        <w:rPr>
          <w:rFonts w:ascii="Garamond" w:hAnsi="Garamond"/>
        </w:rPr>
        <w:t>Taleemabad</w:t>
      </w:r>
      <w:proofErr w:type="spellEnd"/>
      <w:r w:rsidRPr="006A15E6">
        <w:rPr>
          <w:rFonts w:ascii="Garamond" w:hAnsi="Garamond"/>
        </w:rPr>
        <w:t xml:space="preserve"> as the most credible local EdTech partner operating at the intersection of AI, teacher development, and public-school systems. At the roundtable, my objective is not to present but to be visible, contribute meaningfully to the discussion on learning outcomes and instructional quality, and have two or three substantive conversations with </w:t>
      </w:r>
      <w:proofErr w:type="spellStart"/>
      <w:r w:rsidRPr="006A15E6">
        <w:rPr>
          <w:rFonts w:ascii="Garamond" w:hAnsi="Garamond"/>
        </w:rPr>
        <w:t>programme</w:t>
      </w:r>
      <w:proofErr w:type="spellEnd"/>
      <w:r w:rsidRPr="006A15E6">
        <w:rPr>
          <w:rFonts w:ascii="Garamond" w:hAnsi="Garamond"/>
        </w:rPr>
        <w:t xml:space="preserve"> staff ideally leaving with a name and a reason to follow up. In week two, I follow up with those contacts directly, reference a specific exchange from the roundtable, and propose a focused discovery meeting</w:t>
      </w:r>
      <w:r w:rsidRPr="00573444">
        <w:rPr>
          <w:rFonts w:ascii="Garamond" w:hAnsi="Garamond"/>
        </w:rPr>
        <w:t xml:space="preserve">, </w:t>
      </w:r>
      <w:r w:rsidRPr="006A15E6">
        <w:rPr>
          <w:rFonts w:ascii="Garamond" w:hAnsi="Garamond"/>
        </w:rPr>
        <w:t xml:space="preserve">framed not as a funding conversation but as an opportunity to understand how </w:t>
      </w:r>
      <w:proofErr w:type="spellStart"/>
      <w:r w:rsidRPr="006A15E6">
        <w:rPr>
          <w:rFonts w:ascii="Garamond" w:hAnsi="Garamond"/>
        </w:rPr>
        <w:t>Taleemabad's</w:t>
      </w:r>
      <w:proofErr w:type="spellEnd"/>
      <w:r w:rsidRPr="006A15E6">
        <w:rPr>
          <w:rFonts w:ascii="Garamond" w:hAnsi="Garamond"/>
        </w:rPr>
        <w:t xml:space="preserve"> model maps onto their 2026–2028 priorities. A live Rumi demo in an active classroom, if logistics allow, becomes the anchor for that meeting. </w:t>
      </w:r>
    </w:p>
    <w:p w14:paraId="5B94EAE9" w14:textId="77777777" w:rsidR="006A15E6" w:rsidRPr="00573444" w:rsidRDefault="006A15E6" w:rsidP="006A15E6">
      <w:pPr>
        <w:rPr>
          <w:rFonts w:ascii="Garamond" w:hAnsi="Garamond"/>
        </w:rPr>
      </w:pPr>
    </w:p>
    <w:p w14:paraId="03004CB5" w14:textId="5C043FC1" w:rsidR="006A15E6" w:rsidRPr="006A15E6" w:rsidRDefault="006A15E6" w:rsidP="006A15E6">
      <w:pPr>
        <w:rPr>
          <w:rFonts w:ascii="Garamond" w:hAnsi="Garamond"/>
        </w:rPr>
      </w:pPr>
      <w:r w:rsidRPr="006A15E6">
        <w:rPr>
          <w:rFonts w:ascii="Garamond" w:hAnsi="Garamond"/>
          <w:b/>
          <w:bCs/>
        </w:rPr>
        <w:t xml:space="preserve">Funder F — Telecom CSR Arm (Rank </w:t>
      </w:r>
      <w:r w:rsidRPr="00573444">
        <w:rPr>
          <w:rFonts w:ascii="Garamond" w:hAnsi="Garamond"/>
          <w:b/>
          <w:bCs/>
        </w:rPr>
        <w:t>2</w:t>
      </w:r>
      <w:r w:rsidRPr="006A15E6">
        <w:rPr>
          <w:rFonts w:ascii="Garamond" w:hAnsi="Garamond"/>
          <w:b/>
          <w:bCs/>
        </w:rPr>
        <w:t>)</w:t>
      </w:r>
    </w:p>
    <w:p w14:paraId="7C30E65A" w14:textId="4867E543" w:rsidR="006A15E6" w:rsidRPr="00573444" w:rsidRDefault="006A15E6" w:rsidP="006A15E6">
      <w:pPr>
        <w:rPr>
          <w:rFonts w:ascii="Garamond" w:hAnsi="Garamond"/>
        </w:rPr>
      </w:pPr>
      <w:r w:rsidRPr="006A15E6">
        <w:rPr>
          <w:rFonts w:ascii="Garamond" w:hAnsi="Garamond"/>
        </w:rPr>
        <w:t>Three weeks to a decision means there is no time for relationship-building in the conventional sense</w:t>
      </w:r>
      <w:r w:rsidRPr="00573444">
        <w:rPr>
          <w:rFonts w:ascii="Garamond" w:hAnsi="Garamond"/>
        </w:rPr>
        <w:t>,</w:t>
      </w:r>
      <w:r w:rsidRPr="006A15E6">
        <w:rPr>
          <w:rFonts w:ascii="Garamond" w:hAnsi="Garamond"/>
        </w:rPr>
        <w:t xml:space="preserve"> the entire engagement </w:t>
      </w:r>
      <w:proofErr w:type="gramStart"/>
      <w:r w:rsidRPr="006A15E6">
        <w:rPr>
          <w:rFonts w:ascii="Garamond" w:hAnsi="Garamond"/>
        </w:rPr>
        <w:t>has to</w:t>
      </w:r>
      <w:proofErr w:type="gramEnd"/>
      <w:r w:rsidRPr="006A15E6">
        <w:rPr>
          <w:rFonts w:ascii="Garamond" w:hAnsi="Garamond"/>
        </w:rPr>
        <w:t xml:space="preserve"> be engineered for speed and visual payoff. In week one, I put together a concise slide deck built around their brand logic, not ours: Rumi as a connectivity layer between teacher and student, delivered through the same mobile infrastructure their network enables. The framing does real work here</w:t>
      </w:r>
      <w:r w:rsidRPr="00573444">
        <w:rPr>
          <w:rFonts w:ascii="Garamond" w:hAnsi="Garamond"/>
        </w:rPr>
        <w:t xml:space="preserve">, </w:t>
      </w:r>
      <w:r w:rsidRPr="006A15E6">
        <w:rPr>
          <w:rFonts w:ascii="Garamond" w:hAnsi="Garamond"/>
        </w:rPr>
        <w:t>it lets them tell a coherent story in their annual report without requiring them to understand the pedagogy. I identify the specific CSR decision-maker, not the communications team, and request a 20-minute meeting with a clear agenda: show them what $100K looks like in terms of teachers reached, schools activated, and reportable impact metrics. In week two, I follow up with a one-page impact brief that includes projected reach, a sample photo narrative from existing deployments, and a co-branding proposal. I'd also plant the seed</w:t>
      </w:r>
      <w:r w:rsidRPr="00573444">
        <w:rPr>
          <w:rFonts w:ascii="Garamond" w:hAnsi="Garamond"/>
        </w:rPr>
        <w:t xml:space="preserve">, </w:t>
      </w:r>
      <w:r w:rsidRPr="006A15E6">
        <w:rPr>
          <w:rFonts w:ascii="Garamond" w:hAnsi="Garamond"/>
        </w:rPr>
        <w:t>briefly without overloading that this CSR entry point has a natural upgrade path into a larger commercial or public-sector integration story, so the relationship has a trajectory beyond a single grant cycle.</w:t>
      </w:r>
      <w:r w:rsidRPr="00573444">
        <w:rPr>
          <w:rFonts w:ascii="Garamond" w:hAnsi="Garamond"/>
        </w:rPr>
        <w:br/>
      </w:r>
      <w:r w:rsidRPr="00573444">
        <w:rPr>
          <w:rFonts w:ascii="Garamond" w:hAnsi="Garamond"/>
        </w:rPr>
        <w:br/>
      </w:r>
      <w:r w:rsidRPr="00573444">
        <w:rPr>
          <w:rFonts w:ascii="Garamond" w:hAnsi="Garamond"/>
          <w:b/>
          <w:bCs/>
        </w:rPr>
        <w:t xml:space="preserve">Funder B — AI for Social Good Foundation (Rank </w:t>
      </w:r>
      <w:r w:rsidRPr="00573444">
        <w:rPr>
          <w:rFonts w:ascii="Garamond" w:hAnsi="Garamond"/>
          <w:b/>
          <w:bCs/>
        </w:rPr>
        <w:t>3</w:t>
      </w:r>
      <w:r w:rsidRPr="00573444">
        <w:rPr>
          <w:rFonts w:ascii="Garamond" w:hAnsi="Garamond"/>
          <w:b/>
          <w:bCs/>
        </w:rPr>
        <w:t>)</w:t>
      </w:r>
    </w:p>
    <w:p w14:paraId="7B01F4B7" w14:textId="3C9D3CA9" w:rsidR="006A15E6" w:rsidRPr="006A15E6" w:rsidRDefault="006A15E6" w:rsidP="006A15E6">
      <w:pPr>
        <w:rPr>
          <w:rFonts w:ascii="Garamond" w:hAnsi="Garamond"/>
        </w:rPr>
      </w:pPr>
      <w:r w:rsidRPr="006A15E6">
        <w:rPr>
          <w:rFonts w:ascii="Garamond" w:hAnsi="Garamond"/>
        </w:rPr>
        <w:t xml:space="preserve">The program officer already engaged with our content, which means the door is cracked — the first move is to walk through it before the moment cools. In week one, I reach out directly, not with a pitch but with a brief, </w:t>
      </w:r>
      <w:proofErr w:type="spellStart"/>
      <w:r w:rsidRPr="006A15E6">
        <w:rPr>
          <w:rFonts w:ascii="Garamond" w:hAnsi="Garamond"/>
        </w:rPr>
        <w:t>personalised</w:t>
      </w:r>
      <w:proofErr w:type="spellEnd"/>
      <w:r w:rsidRPr="006A15E6">
        <w:rPr>
          <w:rFonts w:ascii="Garamond" w:hAnsi="Garamond"/>
        </w:rPr>
        <w:t xml:space="preserve"> note acknowledging their India portfolio and flagging a specific point of alignment: Rumi's RCT-validated outcomes sit in the same evidence tier they've already backed. I spend that same week mapping the two </w:t>
      </w:r>
      <w:proofErr w:type="spellStart"/>
      <w:r w:rsidRPr="006A15E6">
        <w:rPr>
          <w:rFonts w:ascii="Garamond" w:hAnsi="Garamond"/>
        </w:rPr>
        <w:lastRenderedPageBreak/>
        <w:t>organisations</w:t>
      </w:r>
      <w:proofErr w:type="spellEnd"/>
      <w:r w:rsidRPr="006A15E6">
        <w:rPr>
          <w:rFonts w:ascii="Garamond" w:hAnsi="Garamond"/>
        </w:rPr>
        <w:t xml:space="preserve"> they funded understanding their theory of change, what those grants were structured around, and where Rumi either extends that thesis or offers something their portfolio is missing. By the end of week one I want a 30-minute call scheduled, not a formal presentation. In week two, that conversation is about listening first understanding what the program officer considers an evidence threshold, what their board's current appetite is for Pakistan, and whether there's a strategic gap we fill. The goal leaving that call is a concept note request, not because I've pushed for one but because I've framed Rumi as the answer to a question they're already asking. I'll have a phased, results-linked funding structure ready to reference if they raise the question of </w:t>
      </w:r>
      <w:proofErr w:type="gramStart"/>
      <w:r w:rsidRPr="006A15E6">
        <w:rPr>
          <w:rFonts w:ascii="Garamond" w:hAnsi="Garamond"/>
        </w:rPr>
        <w:t>accountability</w:t>
      </w:r>
      <w:proofErr w:type="gramEnd"/>
      <w:r w:rsidRPr="006A15E6">
        <w:rPr>
          <w:rFonts w:ascii="Garamond" w:hAnsi="Garamond"/>
        </w:rPr>
        <w:t xml:space="preserve"> it signals maturity without front-loading the ask.</w:t>
      </w:r>
    </w:p>
    <w:p w14:paraId="3D8B65B7" w14:textId="15161196" w:rsidR="006A15E6" w:rsidRPr="006A15E6" w:rsidRDefault="006A15E6" w:rsidP="006A15E6">
      <w:pPr>
        <w:rPr>
          <w:rFonts w:ascii="Garamond" w:hAnsi="Garamond"/>
        </w:rPr>
      </w:pPr>
    </w:p>
    <w:p w14:paraId="02EE8153" w14:textId="6474CFB3" w:rsidR="006A15E6" w:rsidRPr="00573444" w:rsidRDefault="006A15E6" w:rsidP="006A15E6">
      <w:pPr>
        <w:rPr>
          <w:rFonts w:ascii="Garamond" w:hAnsi="Garamond"/>
          <w:b/>
          <w:bCs/>
          <w:u w:val="single"/>
        </w:rPr>
      </w:pPr>
      <w:r w:rsidRPr="00573444">
        <w:rPr>
          <w:rFonts w:ascii="Garamond" w:hAnsi="Garamond"/>
          <w:b/>
          <w:bCs/>
          <w:u w:val="single"/>
        </w:rPr>
        <w:t>DEPRIOTIZED OPTIONS</w:t>
      </w:r>
    </w:p>
    <w:p w14:paraId="6E85C152" w14:textId="77777777" w:rsidR="006A15E6" w:rsidRPr="006A15E6" w:rsidRDefault="006A15E6" w:rsidP="006A15E6">
      <w:pPr>
        <w:rPr>
          <w:rFonts w:ascii="Garamond" w:hAnsi="Garamond"/>
          <w:b/>
          <w:bCs/>
          <w:u w:val="single"/>
        </w:rPr>
      </w:pPr>
    </w:p>
    <w:p w14:paraId="475C0314" w14:textId="3E193C11" w:rsidR="006A15E6" w:rsidRPr="00573444" w:rsidRDefault="006A15E6" w:rsidP="006A15E6">
      <w:pPr>
        <w:rPr>
          <w:rFonts w:ascii="Garamond" w:hAnsi="Garamond"/>
        </w:rPr>
      </w:pPr>
      <w:r w:rsidRPr="006A15E6">
        <w:rPr>
          <w:rFonts w:ascii="Garamond" w:hAnsi="Garamond"/>
          <w:b/>
          <w:bCs/>
        </w:rPr>
        <w:t>Funder A:</w:t>
      </w:r>
      <w:r w:rsidRPr="006A15E6">
        <w:rPr>
          <w:rFonts w:ascii="Garamond" w:hAnsi="Garamond"/>
        </w:rPr>
        <w:t xml:space="preserve"> </w:t>
      </w:r>
      <w:r w:rsidRPr="00573444">
        <w:rPr>
          <w:rFonts w:ascii="Garamond" w:hAnsi="Garamond"/>
          <w:b/>
          <w:bCs/>
        </w:rPr>
        <w:t>L</w:t>
      </w:r>
      <w:r w:rsidRPr="006A15E6">
        <w:rPr>
          <w:rFonts w:ascii="Garamond" w:hAnsi="Garamond"/>
          <w:b/>
          <w:bCs/>
        </w:rPr>
        <w:t xml:space="preserve">arge bilateral donor (think USAID-scale) </w:t>
      </w:r>
    </w:p>
    <w:p w14:paraId="36B792AE" w14:textId="2A08989A" w:rsidR="006A15E6" w:rsidRPr="006A15E6" w:rsidRDefault="006A15E6" w:rsidP="006A15E6">
      <w:pPr>
        <w:rPr>
          <w:rFonts w:ascii="Garamond" w:hAnsi="Garamond"/>
        </w:rPr>
      </w:pPr>
      <w:r w:rsidRPr="00573444">
        <w:rPr>
          <w:rFonts w:ascii="Garamond" w:hAnsi="Garamond"/>
        </w:rPr>
        <w:t>We don’t have any active leads, also past grants are focused on Sub-Saharan African region, which requires further mobilization hence can’t be achieved as a priority option.</w:t>
      </w:r>
    </w:p>
    <w:p w14:paraId="2FEEE7F0" w14:textId="77777777" w:rsidR="006A15E6" w:rsidRPr="006A15E6" w:rsidRDefault="006A15E6" w:rsidP="006A15E6">
      <w:pPr>
        <w:rPr>
          <w:rFonts w:ascii="Garamond" w:hAnsi="Garamond"/>
        </w:rPr>
      </w:pPr>
    </w:p>
    <w:p w14:paraId="16DCEAFE" w14:textId="77777777" w:rsidR="006A15E6" w:rsidRPr="006A15E6" w:rsidRDefault="006A15E6" w:rsidP="006A15E6">
      <w:pPr>
        <w:rPr>
          <w:rFonts w:ascii="Garamond" w:hAnsi="Garamond"/>
        </w:rPr>
      </w:pPr>
    </w:p>
    <w:p w14:paraId="342FDE07" w14:textId="37C13C14" w:rsidR="006A15E6" w:rsidRPr="00573444" w:rsidRDefault="006A15E6" w:rsidP="006A15E6">
      <w:pPr>
        <w:rPr>
          <w:rFonts w:ascii="Garamond" w:hAnsi="Garamond"/>
        </w:rPr>
      </w:pPr>
      <w:r w:rsidRPr="006A15E6">
        <w:rPr>
          <w:rFonts w:ascii="Garamond" w:hAnsi="Garamond"/>
          <w:b/>
          <w:bCs/>
        </w:rPr>
        <w:t>Funder C:</w:t>
      </w:r>
      <w:r w:rsidRPr="006A15E6">
        <w:rPr>
          <w:rFonts w:ascii="Garamond" w:hAnsi="Garamond"/>
        </w:rPr>
        <w:t xml:space="preserve"> </w:t>
      </w:r>
      <w:r w:rsidRPr="006A15E6">
        <w:rPr>
          <w:rFonts w:ascii="Garamond" w:hAnsi="Garamond"/>
          <w:b/>
          <w:bCs/>
        </w:rPr>
        <w:t xml:space="preserve">Pakistani-origin tech executive in Silicon Valley </w:t>
      </w:r>
    </w:p>
    <w:p w14:paraId="0B609896" w14:textId="229E5293" w:rsidR="006A15E6" w:rsidRPr="006A15E6" w:rsidRDefault="006A15E6" w:rsidP="006A15E6">
      <w:pPr>
        <w:rPr>
          <w:rFonts w:ascii="Garamond" w:hAnsi="Garamond"/>
        </w:rPr>
      </w:pPr>
      <w:r w:rsidRPr="00573444">
        <w:rPr>
          <w:rFonts w:ascii="Garamond" w:hAnsi="Garamond"/>
        </w:rPr>
        <w:t xml:space="preserve">The board member knows him socially, also the executive is someone with whom </w:t>
      </w:r>
      <w:proofErr w:type="spellStart"/>
      <w:r w:rsidRPr="00573444">
        <w:rPr>
          <w:rFonts w:ascii="Garamond" w:hAnsi="Garamond"/>
        </w:rPr>
        <w:t>Taleemabad</w:t>
      </w:r>
      <w:proofErr w:type="spellEnd"/>
      <w:r w:rsidRPr="00573444">
        <w:rPr>
          <w:rFonts w:ascii="Garamond" w:hAnsi="Garamond"/>
        </w:rPr>
        <w:t xml:space="preserve"> can have long-term relationship, hence I’ll want to </w:t>
      </w:r>
      <w:proofErr w:type="spellStart"/>
      <w:proofErr w:type="gramStart"/>
      <w:r w:rsidRPr="00573444">
        <w:rPr>
          <w:rFonts w:ascii="Garamond" w:hAnsi="Garamond"/>
        </w:rPr>
        <w:t>built</w:t>
      </w:r>
      <w:proofErr w:type="spellEnd"/>
      <w:proofErr w:type="gramEnd"/>
      <w:r w:rsidRPr="00573444">
        <w:rPr>
          <w:rFonts w:ascii="Garamond" w:hAnsi="Garamond"/>
        </w:rPr>
        <w:t xml:space="preserve"> up connection organically.</w:t>
      </w:r>
    </w:p>
    <w:p w14:paraId="576F9A0C" w14:textId="77777777" w:rsidR="006A15E6" w:rsidRPr="006A15E6" w:rsidRDefault="006A15E6" w:rsidP="006A15E6">
      <w:pPr>
        <w:rPr>
          <w:rFonts w:ascii="Garamond" w:hAnsi="Garamond"/>
        </w:rPr>
      </w:pPr>
    </w:p>
    <w:p w14:paraId="6F759400" w14:textId="7D2B1E10" w:rsidR="006A15E6" w:rsidRPr="00573444" w:rsidRDefault="006A15E6" w:rsidP="006A15E6">
      <w:pPr>
        <w:rPr>
          <w:rFonts w:ascii="Garamond" w:hAnsi="Garamond"/>
          <w:b/>
          <w:bCs/>
        </w:rPr>
      </w:pPr>
      <w:r w:rsidRPr="006A15E6">
        <w:rPr>
          <w:rFonts w:ascii="Garamond" w:hAnsi="Garamond"/>
          <w:b/>
          <w:bCs/>
        </w:rPr>
        <w:t>Funder E:</w:t>
      </w:r>
      <w:r w:rsidRPr="006A15E6">
        <w:rPr>
          <w:rFonts w:ascii="Garamond" w:hAnsi="Garamond"/>
        </w:rPr>
        <w:t xml:space="preserve"> </w:t>
      </w:r>
      <w:r w:rsidRPr="00573444">
        <w:rPr>
          <w:rFonts w:ascii="Garamond" w:hAnsi="Garamond"/>
          <w:b/>
          <w:bCs/>
        </w:rPr>
        <w:t>W</w:t>
      </w:r>
      <w:r w:rsidRPr="006A15E6">
        <w:rPr>
          <w:rFonts w:ascii="Garamond" w:hAnsi="Garamond"/>
          <w:b/>
          <w:bCs/>
        </w:rPr>
        <w:t xml:space="preserve">ell-known US foundation (think Hewlett or MacArthur-scale) </w:t>
      </w:r>
    </w:p>
    <w:p w14:paraId="11CA0843" w14:textId="4BD53709" w:rsidR="006A15E6" w:rsidRPr="006A15E6" w:rsidRDefault="006A15E6" w:rsidP="006A15E6">
      <w:pPr>
        <w:rPr>
          <w:rFonts w:ascii="Garamond" w:hAnsi="Garamond"/>
        </w:rPr>
      </w:pPr>
      <w:r w:rsidRPr="00573444">
        <w:rPr>
          <w:rFonts w:ascii="Garamond" w:hAnsi="Garamond"/>
        </w:rPr>
        <w:t xml:space="preserve">This isn’t time-bound among other </w:t>
      </w:r>
      <w:proofErr w:type="gramStart"/>
      <w:r w:rsidRPr="00573444">
        <w:rPr>
          <w:rFonts w:ascii="Garamond" w:hAnsi="Garamond"/>
        </w:rPr>
        <w:t>options,</w:t>
      </w:r>
      <w:proofErr w:type="gramEnd"/>
      <w:r w:rsidRPr="00573444">
        <w:rPr>
          <w:rFonts w:ascii="Garamond" w:hAnsi="Garamond"/>
        </w:rPr>
        <w:t xml:space="preserve"> however it is a great opportunity. We will resend the application first thing after closing the priority funders.</w:t>
      </w:r>
    </w:p>
    <w:p w14:paraId="0CBBB572" w14:textId="77777777" w:rsidR="006A15E6" w:rsidRPr="006A15E6" w:rsidRDefault="006A15E6" w:rsidP="006A15E6">
      <w:pPr>
        <w:rPr>
          <w:rFonts w:ascii="Garamond" w:hAnsi="Garamond"/>
        </w:rPr>
      </w:pPr>
    </w:p>
    <w:p w14:paraId="6442F8AB" w14:textId="6F24765D" w:rsidR="006A15E6" w:rsidRPr="00573444" w:rsidRDefault="006A15E6" w:rsidP="006A15E6">
      <w:pPr>
        <w:rPr>
          <w:rFonts w:ascii="Garamond" w:hAnsi="Garamond"/>
        </w:rPr>
      </w:pPr>
      <w:r w:rsidRPr="006A15E6">
        <w:rPr>
          <w:rFonts w:ascii="Garamond" w:hAnsi="Garamond"/>
          <w:b/>
          <w:bCs/>
        </w:rPr>
        <w:t>Funder G:</w:t>
      </w:r>
      <w:r w:rsidRPr="006A15E6">
        <w:rPr>
          <w:rFonts w:ascii="Garamond" w:hAnsi="Garamond"/>
        </w:rPr>
        <w:t xml:space="preserve"> </w:t>
      </w:r>
      <w:r w:rsidRPr="00573444">
        <w:rPr>
          <w:rFonts w:ascii="Garamond" w:hAnsi="Garamond"/>
          <w:b/>
          <w:bCs/>
        </w:rPr>
        <w:t>I</w:t>
      </w:r>
      <w:r w:rsidRPr="006A15E6">
        <w:rPr>
          <w:rFonts w:ascii="Garamond" w:hAnsi="Garamond"/>
          <w:b/>
          <w:bCs/>
        </w:rPr>
        <w:t>mpact investor</w:t>
      </w:r>
      <w:r w:rsidRPr="006A15E6">
        <w:rPr>
          <w:rFonts w:ascii="Garamond" w:hAnsi="Garamond"/>
        </w:rPr>
        <w:t xml:space="preserve"> </w:t>
      </w:r>
    </w:p>
    <w:p w14:paraId="08E58D4E" w14:textId="331A6D19" w:rsidR="006A15E6" w:rsidRPr="006A15E6" w:rsidRDefault="006A15E6" w:rsidP="006A15E6">
      <w:pPr>
        <w:rPr>
          <w:rFonts w:ascii="Garamond" w:hAnsi="Garamond"/>
        </w:rPr>
      </w:pPr>
      <w:r w:rsidRPr="00573444">
        <w:rPr>
          <w:rFonts w:ascii="Garamond" w:hAnsi="Garamond"/>
        </w:rPr>
        <w:t xml:space="preserve">Right </w:t>
      </w:r>
      <w:proofErr w:type="gramStart"/>
      <w:r w:rsidRPr="00573444">
        <w:rPr>
          <w:rFonts w:ascii="Garamond" w:hAnsi="Garamond"/>
        </w:rPr>
        <w:t>now</w:t>
      </w:r>
      <w:proofErr w:type="gramEnd"/>
      <w:r w:rsidRPr="00573444">
        <w:rPr>
          <w:rFonts w:ascii="Garamond" w:hAnsi="Garamond"/>
        </w:rPr>
        <w:t xml:space="preserve"> the scale of our product isn’t that big. I’ll retain a good connection here for the time, organization decides to invest into larger operations.</w:t>
      </w:r>
    </w:p>
    <w:p w14:paraId="5741C67B" w14:textId="2201F645" w:rsidR="004B6220" w:rsidRPr="00573444" w:rsidRDefault="006A15E6" w:rsidP="006A15E6">
      <w:pPr>
        <w:rPr>
          <w:rFonts w:ascii="Garamond" w:hAnsi="Garamond"/>
          <w:b/>
          <w:bCs/>
        </w:rPr>
      </w:pPr>
      <w:r w:rsidRPr="00573444">
        <w:rPr>
          <w:rFonts w:ascii="Garamond" w:hAnsi="Garamond"/>
        </w:rPr>
        <w:br/>
      </w:r>
      <w:r w:rsidRPr="00573444">
        <w:rPr>
          <w:rFonts w:ascii="Garamond" w:hAnsi="Garamond"/>
          <w:b/>
          <w:bCs/>
        </w:rPr>
        <w:t xml:space="preserve">Funder H: A small family foundation </w:t>
      </w:r>
    </w:p>
    <w:p w14:paraId="3CF14036" w14:textId="7D5F2C72" w:rsidR="006A15E6" w:rsidRPr="00573444" w:rsidRDefault="006A15E6" w:rsidP="006A15E6">
      <w:pPr>
        <w:rPr>
          <w:rFonts w:ascii="Garamond" w:hAnsi="Garamond"/>
        </w:rPr>
      </w:pPr>
      <w:r w:rsidRPr="00573444">
        <w:rPr>
          <w:rFonts w:ascii="Garamond" w:hAnsi="Garamond"/>
        </w:rPr>
        <w:t xml:space="preserve">This will take </w:t>
      </w:r>
      <w:proofErr w:type="spellStart"/>
      <w:r w:rsidRPr="00573444">
        <w:rPr>
          <w:rFonts w:ascii="Garamond" w:hAnsi="Garamond"/>
        </w:rPr>
        <w:t>atleast</w:t>
      </w:r>
      <w:proofErr w:type="spellEnd"/>
      <w:r w:rsidRPr="00573444">
        <w:rPr>
          <w:rFonts w:ascii="Garamond" w:hAnsi="Garamond"/>
        </w:rPr>
        <w:t xml:space="preserve"> </w:t>
      </w:r>
      <w:proofErr w:type="spellStart"/>
      <w:r w:rsidRPr="00573444">
        <w:rPr>
          <w:rFonts w:ascii="Garamond" w:hAnsi="Garamond"/>
        </w:rPr>
        <w:t>an</w:t>
      </w:r>
      <w:proofErr w:type="spellEnd"/>
      <w:r w:rsidRPr="00573444">
        <w:rPr>
          <w:rFonts w:ascii="Garamond" w:hAnsi="Garamond"/>
        </w:rPr>
        <w:t xml:space="preserve"> year to cultivate, thus it should be treated as a long-term opportunity rather than a proactive one.</w:t>
      </w:r>
    </w:p>
    <w:sectPr w:rsidR="006A15E6" w:rsidRPr="005734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5E6"/>
    <w:rsid w:val="00020802"/>
    <w:rsid w:val="00221614"/>
    <w:rsid w:val="004B6220"/>
    <w:rsid w:val="00573444"/>
    <w:rsid w:val="0060164D"/>
    <w:rsid w:val="006A15E6"/>
    <w:rsid w:val="00B46012"/>
    <w:rsid w:val="00FB72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F40C5"/>
  <w15:chartTrackingRefBased/>
  <w15:docId w15:val="{97D3A7A2-DAEC-CE42-BCC3-50528F9E7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1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5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5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5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5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1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5E6"/>
    <w:rPr>
      <w:rFonts w:eastAsiaTheme="majorEastAsia" w:cstheme="majorBidi"/>
      <w:color w:val="272727" w:themeColor="text1" w:themeTint="D8"/>
    </w:rPr>
  </w:style>
  <w:style w:type="paragraph" w:styleId="Title">
    <w:name w:val="Title"/>
    <w:basedOn w:val="Normal"/>
    <w:next w:val="Normal"/>
    <w:link w:val="TitleChar"/>
    <w:uiPriority w:val="10"/>
    <w:qFormat/>
    <w:rsid w:val="006A15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5E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5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15E6"/>
    <w:rPr>
      <w:i/>
      <w:iCs/>
      <w:color w:val="404040" w:themeColor="text1" w:themeTint="BF"/>
    </w:rPr>
  </w:style>
  <w:style w:type="paragraph" w:styleId="ListParagraph">
    <w:name w:val="List Paragraph"/>
    <w:basedOn w:val="Normal"/>
    <w:uiPriority w:val="34"/>
    <w:qFormat/>
    <w:rsid w:val="006A15E6"/>
    <w:pPr>
      <w:ind w:left="720"/>
      <w:contextualSpacing/>
    </w:pPr>
  </w:style>
  <w:style w:type="character" w:styleId="IntenseEmphasis">
    <w:name w:val="Intense Emphasis"/>
    <w:basedOn w:val="DefaultParagraphFont"/>
    <w:uiPriority w:val="21"/>
    <w:qFormat/>
    <w:rsid w:val="006A15E6"/>
    <w:rPr>
      <w:i/>
      <w:iCs/>
      <w:color w:val="0F4761" w:themeColor="accent1" w:themeShade="BF"/>
    </w:rPr>
  </w:style>
  <w:style w:type="paragraph" w:styleId="IntenseQuote">
    <w:name w:val="Intense Quote"/>
    <w:basedOn w:val="Normal"/>
    <w:next w:val="Normal"/>
    <w:link w:val="IntenseQuoteChar"/>
    <w:uiPriority w:val="30"/>
    <w:qFormat/>
    <w:rsid w:val="006A1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5E6"/>
    <w:rPr>
      <w:i/>
      <w:iCs/>
      <w:color w:val="0F4761" w:themeColor="accent1" w:themeShade="BF"/>
    </w:rPr>
  </w:style>
  <w:style w:type="character" w:styleId="IntenseReference">
    <w:name w:val="Intense Reference"/>
    <w:basedOn w:val="DefaultParagraphFont"/>
    <w:uiPriority w:val="32"/>
    <w:qFormat/>
    <w:rsid w:val="006A15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71473">
      <w:bodyDiv w:val="1"/>
      <w:marLeft w:val="0"/>
      <w:marRight w:val="0"/>
      <w:marTop w:val="0"/>
      <w:marBottom w:val="0"/>
      <w:divBdr>
        <w:top w:val="none" w:sz="0" w:space="0" w:color="auto"/>
        <w:left w:val="none" w:sz="0" w:space="0" w:color="auto"/>
        <w:bottom w:val="none" w:sz="0" w:space="0" w:color="auto"/>
        <w:right w:val="none" w:sz="0" w:space="0" w:color="auto"/>
      </w:divBdr>
    </w:div>
    <w:div w:id="312758100">
      <w:bodyDiv w:val="1"/>
      <w:marLeft w:val="0"/>
      <w:marRight w:val="0"/>
      <w:marTop w:val="0"/>
      <w:marBottom w:val="0"/>
      <w:divBdr>
        <w:top w:val="none" w:sz="0" w:space="0" w:color="auto"/>
        <w:left w:val="none" w:sz="0" w:space="0" w:color="auto"/>
        <w:bottom w:val="none" w:sz="0" w:space="0" w:color="auto"/>
        <w:right w:val="none" w:sz="0" w:space="0" w:color="auto"/>
      </w:divBdr>
    </w:div>
    <w:div w:id="663357288">
      <w:bodyDiv w:val="1"/>
      <w:marLeft w:val="0"/>
      <w:marRight w:val="0"/>
      <w:marTop w:val="0"/>
      <w:marBottom w:val="0"/>
      <w:divBdr>
        <w:top w:val="none" w:sz="0" w:space="0" w:color="auto"/>
        <w:left w:val="none" w:sz="0" w:space="0" w:color="auto"/>
        <w:bottom w:val="none" w:sz="0" w:space="0" w:color="auto"/>
        <w:right w:val="none" w:sz="0" w:space="0" w:color="auto"/>
      </w:divBdr>
    </w:div>
    <w:div w:id="1010372794">
      <w:bodyDiv w:val="1"/>
      <w:marLeft w:val="0"/>
      <w:marRight w:val="0"/>
      <w:marTop w:val="0"/>
      <w:marBottom w:val="0"/>
      <w:divBdr>
        <w:top w:val="none" w:sz="0" w:space="0" w:color="auto"/>
        <w:left w:val="none" w:sz="0" w:space="0" w:color="auto"/>
        <w:bottom w:val="none" w:sz="0" w:space="0" w:color="auto"/>
        <w:right w:val="none" w:sz="0" w:space="0" w:color="auto"/>
      </w:divBdr>
    </w:div>
    <w:div w:id="1148474934">
      <w:bodyDiv w:val="1"/>
      <w:marLeft w:val="0"/>
      <w:marRight w:val="0"/>
      <w:marTop w:val="0"/>
      <w:marBottom w:val="0"/>
      <w:divBdr>
        <w:top w:val="none" w:sz="0" w:space="0" w:color="auto"/>
        <w:left w:val="none" w:sz="0" w:space="0" w:color="auto"/>
        <w:bottom w:val="none" w:sz="0" w:space="0" w:color="auto"/>
        <w:right w:val="none" w:sz="0" w:space="0" w:color="auto"/>
      </w:divBdr>
    </w:div>
    <w:div w:id="1209562087">
      <w:bodyDiv w:val="1"/>
      <w:marLeft w:val="0"/>
      <w:marRight w:val="0"/>
      <w:marTop w:val="0"/>
      <w:marBottom w:val="0"/>
      <w:divBdr>
        <w:top w:val="none" w:sz="0" w:space="0" w:color="auto"/>
        <w:left w:val="none" w:sz="0" w:space="0" w:color="auto"/>
        <w:bottom w:val="none" w:sz="0" w:space="0" w:color="auto"/>
        <w:right w:val="none" w:sz="0" w:space="0" w:color="auto"/>
      </w:divBdr>
    </w:div>
    <w:div w:id="1868323631">
      <w:bodyDiv w:val="1"/>
      <w:marLeft w:val="0"/>
      <w:marRight w:val="0"/>
      <w:marTop w:val="0"/>
      <w:marBottom w:val="0"/>
      <w:divBdr>
        <w:top w:val="none" w:sz="0" w:space="0" w:color="auto"/>
        <w:left w:val="none" w:sz="0" w:space="0" w:color="auto"/>
        <w:bottom w:val="none" w:sz="0" w:space="0" w:color="auto"/>
        <w:right w:val="none" w:sz="0" w:space="0" w:color="auto"/>
      </w:divBdr>
    </w:div>
    <w:div w:id="1892187008">
      <w:bodyDiv w:val="1"/>
      <w:marLeft w:val="0"/>
      <w:marRight w:val="0"/>
      <w:marTop w:val="0"/>
      <w:marBottom w:val="0"/>
      <w:divBdr>
        <w:top w:val="none" w:sz="0" w:space="0" w:color="auto"/>
        <w:left w:val="none" w:sz="0" w:space="0" w:color="auto"/>
        <w:bottom w:val="none" w:sz="0" w:space="0" w:color="auto"/>
        <w:right w:val="none" w:sz="0" w:space="0" w:color="auto"/>
      </w:divBdr>
    </w:div>
    <w:div w:id="2063601818">
      <w:bodyDiv w:val="1"/>
      <w:marLeft w:val="0"/>
      <w:marRight w:val="0"/>
      <w:marTop w:val="0"/>
      <w:marBottom w:val="0"/>
      <w:divBdr>
        <w:top w:val="none" w:sz="0" w:space="0" w:color="auto"/>
        <w:left w:val="none" w:sz="0" w:space="0" w:color="auto"/>
        <w:bottom w:val="none" w:sz="0" w:space="0" w:color="auto"/>
        <w:right w:val="none" w:sz="0" w:space="0" w:color="auto"/>
      </w:divBdr>
    </w:div>
    <w:div w:id="209291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HAMDAN AHMAD</dc:creator>
  <cp:keywords/>
  <dc:description/>
  <cp:lastModifiedBy>HAMDAN AHMAD</cp:lastModifiedBy>
  <cp:revision>3</cp:revision>
  <cp:lastPrinted>2026-03-16T03:36:00Z</cp:lastPrinted>
  <dcterms:created xsi:type="dcterms:W3CDTF">2026-03-16T03:36:00Z</dcterms:created>
  <dcterms:modified xsi:type="dcterms:W3CDTF">2026-03-16T03:56:00Z</dcterms:modified>
</cp:coreProperties>
</file>