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Top 5 Supporting Papers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Shortlisted to back the specific additions in the FYP proposal: the Safety-Critic, local inference, and hallucination handling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These five were selected out of the broader literature search on one test: does the paper make a specific piece of the proposal harder to argue against? Each entry explains exactly what claim it backs and why it's stronger than the alternatives that were left out.</w:t>
      </w:r>
    </w:p>
    <w:p>
      <w:pPr>
        <w:spacing w:after="20" w:before="2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TrustAgent: Towards Safe and Trustworthy LLM-based Agents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Wang et al. - ICML / EMNLP Findings 2024 - arXiv:2402.01586</w:t>
      </w:r>
    </w:p>
    <w:p>
      <w:pPr>
        <w:spacing w:after="100"/>
      </w:pPr>
      <w:hyperlink w:history="1" r:id="rIdnz43xhcpz4e57xdufkyui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https://arxiv.org/abs/2402.01586</w:t>
        </w:r>
      </w:hyperlink>
    </w:p>
    <w:p>
      <w:pPr>
        <w:spacing w:after="12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Backs: </w:t>
      </w:r>
      <w:r>
        <w:rPr>
          <w:rFonts w:ascii="Calibri" w:cs="Calibri" w:eastAsia="Calibri" w:hAnsi="Calibri"/>
          <w:sz w:val="21"/>
          <w:szCs w:val="21"/>
        </w:rPr>
        <w:t xml:space="preserve">the case that a Safety-Critic is a real, unsolved gap - not something already done elsewhere.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How: </w:t>
      </w:r>
      <w:r>
        <w:rPr>
          <w:rFonts w:ascii="Calibri" w:cs="Calibri" w:eastAsia="Calibri" w:hAnsi="Calibri"/>
          <w:sz w:val="21"/>
          <w:szCs w:val="21"/>
        </w:rPr>
        <w:t xml:space="preserve">TrustAgent is the closest existing system to the proposed Safety-Critic - it checks an agent's plan against safety rules before execution. The critical weak point to point out: its "safety inspector" is itself another LLM (GPT-4), so it can fail the same way the agent it's checking can fail. This lets the proposal say, accurately, that even the best existing safety-checking system for LLM agents is not deterministic - which is exactly the gap the AST Safety-Critic closes.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Why it beats the alternatives: </w:t>
      </w:r>
      <w:r>
        <w:rPr>
          <w:rFonts w:ascii="Calibri" w:cs="Calibri" w:eastAsia="Calibri" w:hAnsi="Calibri"/>
          <w:sz w:val="21"/>
          <w:szCs w:val="21"/>
        </w:rPr>
        <w:t xml:space="preserve">it's the single most-cited, most directly comparable prior system - a supervisor familiar with the space is likely to ask "hasn't someone already done a safety layer for agents?" and this is the correct, specific answer, with a clear technical distinction ready.</w:t>
      </w:r>
    </w:p>
    <w:p>
      <w:pPr>
        <w:spacing w:after="20" w:before="2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VESTA: A Fully Automated Scenario Generation and Safety Evaluation Framework for LLM Agents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arXiv:2606.08531, June 2026</w:t>
      </w:r>
    </w:p>
    <w:p>
      <w:pPr>
        <w:spacing w:after="100"/>
      </w:pPr>
      <w:hyperlink w:history="1" r:id="rIdur8-rpxz5vqxawqm_swha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https://arxiv.org/html/2606.08531</w:t>
        </w:r>
      </w:hyperlink>
    </w:p>
    <w:p>
      <w:pPr>
        <w:spacing w:after="12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Backs: </w:t>
      </w:r>
      <w:r>
        <w:rPr>
          <w:rFonts w:ascii="Calibri" w:cs="Calibri" w:eastAsia="Calibri" w:hAnsi="Calibri"/>
          <w:sz w:val="21"/>
          <w:szCs w:val="21"/>
        </w:rPr>
        <w:t xml:space="preserve">the claim that current LLM agents are not safe to run unsupervised - the core justification for requiring a mandatory pre-execution check at all.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How: </w:t>
      </w:r>
      <w:r>
        <w:rPr>
          <w:rFonts w:ascii="Calibri" w:cs="Calibri" w:eastAsia="Calibri" w:hAnsi="Calibri"/>
          <w:sz w:val="21"/>
          <w:szCs w:val="21"/>
        </w:rPr>
        <w:t xml:space="preserve">across 1,072 tested scenarios and 12 different LLM agents, it measures an average unsafe-action rate of 47.1%, with some models exceeding 70%. That is a hard, recent, quantified number - not an assumption - for "agents misbehave often enough that letting them act unchecked is a real risk," which is the entire premise of the project.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Why it beats the alternatives: </w:t>
      </w:r>
      <w:r>
        <w:rPr>
          <w:rFonts w:ascii="Calibri" w:cs="Calibri" w:eastAsia="Calibri" w:hAnsi="Calibri"/>
          <w:sz w:val="21"/>
          <w:szCs w:val="21"/>
        </w:rPr>
        <w:t xml:space="preserve">most safety papers argue this qualitatively; VESTA is one of the few (and the most recent, 2026) that puts a measured percentage on it, which is far harder to dismiss in a defense.</w:t>
      </w:r>
    </w:p>
    <w:p>
      <w:pPr>
        <w:spacing w:after="20" w:before="2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 Hallucination-Resistant Security Planning with a Large Language Model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Hammar, Alpcan &amp; Lupu - NDSS 2026 - arXiv:2602.05279</w:t>
      </w:r>
    </w:p>
    <w:p>
      <w:pPr>
        <w:spacing w:after="100"/>
      </w:pPr>
      <w:hyperlink w:history="1" r:id="rIdptx41yvvxyqxf2th-6hkn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https://arxiv.org/pdf/2602.05279</w:t>
        </w:r>
      </w:hyperlink>
    </w:p>
    <w:p>
      <w:pPr>
        <w:spacing w:after="12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Backs: </w:t>
      </w:r>
      <w:r>
        <w:rPr>
          <w:rFonts w:ascii="Calibri" w:cs="Calibri" w:eastAsia="Calibri" w:hAnsi="Calibri"/>
          <w:sz w:val="21"/>
          <w:szCs w:val="21"/>
        </w:rPr>
        <w:t xml:space="preserve">two claims at once - that hallucination in security tasks can be formally measured and reduced, and that a smaller local model can outperform commercial frontier models when properly constrained.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How: </w:t>
      </w:r>
      <w:r>
        <w:rPr>
          <w:rFonts w:ascii="Calibri" w:cs="Calibri" w:eastAsia="Calibri" w:hAnsi="Calibri"/>
          <w:sz w:val="21"/>
          <w:szCs w:val="21"/>
        </w:rPr>
        <w:t xml:space="preserve">published at NDSS, one of the top venues in computer security, this paper defines hallucination mathematically for a security-planning task and shows their locally-run 14-billion-parameter model beats DeepSeek-R1 (671B), Gemini 2.5 Pro, and OpenAI o3 on recovery time and hallucination rate. That directly rebuts the assumption that a bigger commercial model is automatically the safer or better choice - a point the proposal needs to defend when it argues for local inference.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Why it beats the alternatives: </w:t>
      </w:r>
      <w:r>
        <w:rPr>
          <w:rFonts w:ascii="Calibri" w:cs="Calibri" w:eastAsia="Calibri" w:hAnsi="Calibri"/>
          <w:sz w:val="21"/>
          <w:szCs w:val="21"/>
        </w:rPr>
        <w:t xml:space="preserve">it's peer-reviewed at a top-tier security venue (not just an arXiv preprint), and it's the only source in the search that proves - not just claims - that a smaller local model can be more reliable, not merely cheaper.</w:t>
      </w:r>
    </w:p>
    <w:p>
      <w:pPr>
        <w:spacing w:after="20" w:before="2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 Auditing MCP Servers for Over-Privileged Tool Capabilities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arXiv:2603.21641</w:t>
      </w:r>
    </w:p>
    <w:p>
      <w:pPr>
        <w:spacing w:after="100"/>
      </w:pPr>
      <w:hyperlink w:history="1" r:id="rIdmbfgr5yx3ykddmzkmnezb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https://arxiv.org/pdf/2603.21641</w:t>
        </w:r>
      </w:hyperlink>
    </w:p>
    <w:p>
      <w:pPr>
        <w:spacing w:after="12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Backs: </w:t>
      </w:r>
      <w:r>
        <w:rPr>
          <w:rFonts w:ascii="Calibri" w:cs="Calibri" w:eastAsia="Calibri" w:hAnsi="Calibri"/>
          <w:sz w:val="21"/>
          <w:szCs w:val="21"/>
        </w:rPr>
        <w:t xml:space="preserve">the technical feasibility of the AST Safety-Critic itself - proof that this kind of static, pre-execution check is a working, fast, real technique, not a novel and untested idea.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How: </w:t>
      </w:r>
      <w:r>
        <w:rPr>
          <w:rFonts w:ascii="Calibri" w:cs="Calibri" w:eastAsia="Calibri" w:hAnsi="Calibri"/>
          <w:sz w:val="21"/>
          <w:szCs w:val="21"/>
        </w:rPr>
        <w:t xml:space="preserve">this system statically analyzes a tool's capabilities (command execution, file access, network calls) before it is ever invoked by an agent, returning a risk score in under two seconds without needing a sandbox. This is functionally the same move as the proposed AST Safety-Critic, just applied to a different kind of tool call. It gives the project a working precedent to point to when asked "has static, pre-execution checking of agent actions been done before, and does it work fast enough?"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Why it beats the alternatives: </w:t>
      </w:r>
      <w:r>
        <w:rPr>
          <w:rFonts w:ascii="Calibri" w:cs="Calibri" w:eastAsia="Calibri" w:hAnsi="Calibri"/>
          <w:sz w:val="21"/>
          <w:szCs w:val="21"/>
        </w:rPr>
        <w:t xml:space="preserve">it's the only source found that performs deterministic, non-AI, pre-execution risk analysis on agent-generated actions specifically - the exact mechanism being proposed, not just something adjacent to it.</w:t>
      </w:r>
    </w:p>
    <w:p>
      <w:pPr>
        <w:spacing w:after="20" w:before="2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 Private LLM Inference on Consumer Blackwell GPUs: A Practical Guide for Cost-Effective Local Deployment in SMEs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Knoop &amp; Holtmann - arXiv:2601.09527</w:t>
      </w:r>
    </w:p>
    <w:p>
      <w:pPr>
        <w:spacing w:after="100"/>
      </w:pPr>
      <w:hyperlink w:history="1" r:id="rIdnmda6spgqsm7ah7uvw4dj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https://arxiv.org/pdf/2601.09527</w:t>
        </w:r>
      </w:hyperlink>
    </w:p>
    <w:p>
      <w:pPr>
        <w:spacing w:after="12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Backs: </w:t>
      </w:r>
      <w:r>
        <w:rPr>
          <w:rFonts w:ascii="Calibri" w:cs="Calibri" w:eastAsia="Calibri" w:hAnsi="Calibri"/>
          <w:sz w:val="21"/>
          <w:szCs w:val="21"/>
        </w:rPr>
        <w:t xml:space="preserve">the cost-optimization half of the project's name - turning "local inference is cheaper" from a general claim into a specific, defensible number.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How: </w:t>
      </w:r>
      <w:r>
        <w:rPr>
          <w:rFonts w:ascii="Calibri" w:cs="Calibri" w:eastAsia="Calibri" w:hAnsi="Calibri"/>
          <w:sz w:val="21"/>
          <w:szCs w:val="21"/>
        </w:rPr>
        <w:t xml:space="preserve">benchmarking real consumer GPUs across 79 configurations, it reports self-hosted inference costing \$0.001-0.04 per million tokens (electricity only) - 40 to 200 times cheaper than budget-tier cloud APIs - with hardware paying for itself in under four months at moderate usage. This replaces "$0 per scan" with a properly sourced, current (2026) figure that can survive a follow-up question about where the number came from.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Why it beats the alternatives: </w:t>
      </w:r>
      <w:r>
        <w:rPr>
          <w:rFonts w:ascii="Calibri" w:cs="Calibri" w:eastAsia="Calibri" w:hAnsi="Calibri"/>
          <w:sz w:val="21"/>
          <w:szCs w:val="21"/>
        </w:rPr>
        <w:t xml:space="preserve">most local-inference sources found were vendor blog posts with marketing framing; this one is a benchmarked, arXiv-published study with reproducible numbers across real hardware configurations.</w:t>
      </w:r>
    </w:p>
    <w:p>
      <w:pPr>
        <w:spacing w:before="3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How these five work together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Read in order, they form a single argument: agents are measurably unsafe without a check (#2) → the best existing check is still AI-based, not deterministic (#1) → a deterministic, pre-execution check of this kind has already been shown to work fast (#4) → running the model locally instead of on a commercial API is not just cheaper, it can be more reliable (#3) → and the cost saving from going local is a real, benchmarked number, not a guess (#5). That is the whole spine of the proposal, each link backed by a separate, checkable source.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8"/>
        <w:szCs w:val="18"/>
      </w:rPr>
      <w:t xml:space="preserve">Page </w:t>
    </w:r>
    <w:r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FYP Top 5 Supporting Papers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nz43xhcpz4e57xdufkyui" Type="http://schemas.openxmlformats.org/officeDocument/2006/relationships/hyperlink" Target="https://arxiv.org/abs/2402.01586" TargetMode="External"/><Relationship Id="rIdur8-rpxz5vqxawqm_swha" Type="http://schemas.openxmlformats.org/officeDocument/2006/relationships/hyperlink" Target="https://arxiv.org/html/2606.08531" TargetMode="External"/><Relationship Id="rIdptx41yvvxyqxf2th-6hkn" Type="http://schemas.openxmlformats.org/officeDocument/2006/relationships/hyperlink" Target="https://arxiv.org/pdf/2602.05279" TargetMode="External"/><Relationship Id="rIdmbfgr5yx3ykddmzkmnezb" Type="http://schemas.openxmlformats.org/officeDocument/2006/relationships/hyperlink" Target="https://arxiv.org/pdf/2603.21641" TargetMode="External"/><Relationship Id="rIdnmda6spgqsm7ah7uvw4dj" Type="http://schemas.openxmlformats.org/officeDocument/2006/relationships/hyperlink" Target="https://arxiv.org/pdf/2601.09527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2026-09-03T06:55:18.875Z</dcterms:created>
  <dcterms:modified xsi:type="dcterms:W3CDTF">2026-09-03T06:55:18.886Z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