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75B6"/>
          <w:sz w:val="26"/>
          <w:szCs w:val="26"/>
        </w:rPr>
        <w:t xml:space="preserve">WellMind Data Solutions</w:t>
      </w:r>
    </w:p>
    <w:p>
      <w:pPr>
        <w:spacing w:after="200" w:before="200"/>
        <w:jc w:val="center"/>
      </w:pPr>
      <w:r>
        <w:rPr>
          <w:b/>
          <w:bCs/>
          <w:color w:val="1F3864"/>
          <w:sz w:val="44"/>
          <w:szCs w:val="44"/>
        </w:rPr>
        <w:t xml:space="preserve">AR Prioritization &amp; Underpayment Recovery Engine</w:t>
      </w:r>
    </w:p>
    <w:p>
      <w:pPr>
        <w:jc w:val="center"/>
      </w:pPr>
      <w:r>
        <w:rPr>
          <w:color w:val="555555"/>
          <w:sz w:val="28"/>
          <w:szCs w:val="28"/>
        </w:rPr>
        <w:t xml:space="preserve">Project 02 — Technical Summary Report</w:t>
      </w:r>
    </w:p>
    <w:p>
      <w:pPr>
        <w:spacing w:before="800"/>
        <w:jc w:val="center"/>
      </w:pPr>
      <w:r>
        <w:rPr>
          <w:sz w:val="24"/>
          <w:szCs w:val="24"/>
        </w:rPr>
        <w:t xml:space="preserve">Prepared by: Ayesha Zahid</w:t>
      </w:r>
    </w:p>
    <w:p>
      <w:pPr>
        <w:jc w:val="center"/>
      </w:pPr>
      <w:r>
        <w:rPr>
          <w:color w:val="555555"/>
          <w:sz w:val="22"/>
          <w:szCs w:val="22"/>
        </w:rPr>
        <w:t xml:space="preserve">Software Engineering, Riphah International University, Faisalabad</w:t>
      </w:r>
    </w:p>
    <w:p>
      <w:pPr>
        <w:spacing w:before="100"/>
        <w:jc w:val="center"/>
      </w:pPr>
      <w:r>
        <w:rPr>
          <w:color w:val="555555"/>
          <w:sz w:val="22"/>
          <w:szCs w:val="22"/>
        </w:rPr>
        <w:t xml:space="preserve">June 2026</w:t>
      </w:r>
    </w:p>
    <w:p>
      <w:pPr>
        <w:spacing w:before="1200"/>
        <w:jc w:val="center"/>
      </w:pPr>
      <w:r>
        <w:rPr>
          <w:i/>
          <w:iCs/>
          <w:color w:val="888888"/>
          <w:sz w:val="18"/>
          <w:szCs w:val="18"/>
        </w:rPr>
        <w:t xml:space="preserve">Data sources: CMS Physician Fee Schedule Relative Value File (RVU23A) and the CMS Medicare Physician &amp; Other Practitioners by Provider and Service Public Use File (2023).</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report summarizes the design, build, and results of Project 02: an end-to-end Medicare Accounts Receivable (AR) prioritization and underpayment recovery pipeline. The system compares 9.78 million real Medicare claim-service rows against an official CMS Physician Fee Schedule benchmark, identifies underpaid claims, ranks them by estimated dollar recovery and model confidence, and surfaces the results through a trained machine-learning model, a REST API, and an interactive dashboard.</w:t>
      </w:r>
    </w:p>
    <w:p>
      <w:pPr>
        <w:spacing w:after="160"/>
      </w:pPr>
      <w:r>
        <w:t xml:space="preserve">The final pipeline processes the data through 13 documented steps — from raw CMS file parsing through model deployment — with every cleaning, exclusion, and proxy decision explicitly recorded rather than applied silently. The trained LightGBM model achieves a PR-AUC of 0.875 and ROC-AUC of 0.886 on a held-out test set of 1.5 million claims, and the resulting AR Priority Queue surfaces an estimated $14.99 billion in potential recovery across 6.06 million underpaid claim rows.</w:t>
      </w:r>
    </w:p>
    <w:p>
      <w:pPr>
        <w:pStyle w:val="Heading1"/>
      </w:pPr>
      <w:r>
        <w:t xml:space="preserve">2. Project Objective</w:t>
      </w:r>
    </w:p>
    <w:p>
      <w:pPr>
        <w:spacing w:after="160"/>
      </w:pPr>
      <w:r>
        <w:t xml:space="preserve">Healthcare providers routinely receive Medicare payments that differ from what the CMS Physician Fee Schedule formula says they should receive. Manually identifying which underpaid claims are worth investigating — out of millions of rows — is impractical without automation. This project builds that automation end-to-end:</w:t>
      </w:r>
    </w:p>
    <w:p>
      <w:pPr>
        <w:pStyle w:val="ListParagraph"/>
        <w:numPr>
          <w:ilvl w:val="0"/>
          <w:numId w:val="2"/>
        </w:numPr>
        <w:spacing w:after="80"/>
      </w:pPr>
      <w:r>
        <w:t xml:space="preserve">Calculate what each claim should have been paid, using the official CMS formula.</w:t>
      </w:r>
    </w:p>
    <w:p>
      <w:pPr>
        <w:pStyle w:val="ListParagraph"/>
        <w:numPr>
          <w:ilvl w:val="0"/>
          <w:numId w:val="2"/>
        </w:numPr>
        <w:spacing w:after="80"/>
      </w:pPr>
      <w:r>
        <w:t xml:space="preserve">Compare that benchmark against what was actually paid, and quantify the gap.</w:t>
      </w:r>
    </w:p>
    <w:p>
      <w:pPr>
        <w:pStyle w:val="ListParagraph"/>
        <w:numPr>
          <w:ilvl w:val="0"/>
          <w:numId w:val="2"/>
        </w:numPr>
        <w:spacing w:after="80"/>
      </w:pPr>
      <w:r>
        <w:t xml:space="preserve">Train a model that predicts which underpaid claims are the highest priority to review.</w:t>
      </w:r>
    </w:p>
    <w:p>
      <w:pPr>
        <w:pStyle w:val="ListParagraph"/>
        <w:numPr>
          <w:ilvl w:val="0"/>
          <w:numId w:val="2"/>
        </w:numPr>
        <w:spacing w:after="80"/>
      </w:pPr>
      <w:r>
        <w:t xml:space="preserve">Rank and surface those claims in a usable, business-facing format (queue, report, API, dashboard).</w:t>
      </w:r>
    </w:p>
    <w:p>
      <w:pPr>
        <w:pStyle w:val="Heading1"/>
      </w:pPr>
      <w:r>
        <w:t xml:space="preserve">3. Data Sources</w:t>
      </w:r>
    </w:p>
    <w:p>
      <w:pPr>
        <w:spacing w:after="160"/>
      </w:pPr>
      <w:r>
        <w:t xml:space="preserve">All data used in this project is public CMS data; no synthetic or simulated claim records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Rows × Columns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Purpose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PPRRVU23_JAN.csv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18,011 × 31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Relative Value Units (RVU) per HCPCS procedure code</w:t>
            </w:r>
          </w:p>
        </w:tc>
      </w:tr>
      <w:tr>
        <w:tc>
          <w:tcPr>
            <w:tcW w:type="dxa" w:w="3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GPCI2023.csv</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117 × 7</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Geographic Practice Cost Index, by Medicare locality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23LOCCO.csv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115 × 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Locality-to-state/county crosswalk</w:t>
            </w:r>
          </w:p>
        </w:tc>
      </w:tr>
      <w:tr>
        <w:tc>
          <w:tcPr>
            <w:tcW w:type="dxa" w:w="3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Medicare Physician &amp; Other
Practitioners PUF (2023)</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9,781,673 × 28</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Actual Medicare claim payments, by provider and service</w:t>
            </w:r>
          </w:p>
        </w:tc>
      </w:tr>
    </w:tbl>
    <w:p>
      <w:pPr>
        <w:pStyle w:val="Heading1"/>
      </w:pPr>
      <w:r>
        <w:t xml:space="preserve">4. Pipeline Overview</w:t>
      </w:r>
    </w:p>
    <w:p>
      <w:pPr>
        <w:spacing w:after="160"/>
      </w:pPr>
      <w:r>
        <w:t xml:space="preserve">The table below summarizes every script in the pipeline, in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60"/>
        <w:gridCol w:w="28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Step</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Script(s)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Key 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step_01_eda.py
step01b_reload_headers.py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Explore and correctly parse the three raw CMS fee-schedule files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Confirmed column structure for all 3 source files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02</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step02_expected_payment.py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Apply the CMS Physician Fee Schedule formula to every HCPCS code × locality combination</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expected_payment_table.csv (2,107,170 rows)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step03_join_actual_expected.py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Join real CMS payments to the expected-payment benchmark and calculate the variance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claims_with_variance.csv (9,613,174 rows)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04a–04d</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step04a/b/c/d_*.py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Detect nulls and outliers; apply documented cleaning and benchmark-applicability decisions</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claims_cleaned_final.csv (7,678,091 rows)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step05_premodel_eda.py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Pre-modeling exploratory analysis confirming feature relationships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EDA chart set used to inform Step 06</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06</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step06_feature_engineering.py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Build procedure-category, payer-type, severity, and balance-size features</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feature_engineered_dataset.csv (7,678,091 × 33)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step07_target_definition.py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Define the recovery-priority target and run an explicit leakage check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modeling_dataset.csv + leakage_check_audit.csv</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08</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step08_collection_model.py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Compare 5 candidate models, tune the winner, and explain it with SHAP</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best_collection_model.pkl (LightGBM)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step09_ar_priority_queue.py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Rank underpaid claims by estimated recovery × model confidence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ar_priority_queue.csv (6,056,133 rows)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10</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step10_isolation_forest_anomalies.py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Detect systemic underpayment patterns by state / provider / code</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underpayment_anomaly_patterns.csv</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step11_underpayment_report.py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Generate business-ready summaries by HCPCS, state, and provider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 report files (report_outputs/)</w:t>
            </w:r>
          </w:p>
        </w:tc>
      </w:tr>
      <w:tr>
        <w:tc>
          <w:tcPr>
            <w:tcW w:type="dxa" w:w="7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12</w:t>
            </w:r>
          </w:p>
        </w:tc>
        <w:tc>
          <w:tcPr>
            <w:tcW w:type="dxa" w:w="23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step12_fastapi.py</w:t>
            </w:r>
          </w:p>
        </w:tc>
        <w:tc>
          <w:tcPr>
            <w:tcW w:type="dxa" w:w="3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Serve the trained model as a REST API for real-time scoring</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FastAPI inference endpoint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step13_dashboard.py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Interactive demo for checking a single claim's recovery priority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Working Streamlit dashboard</w:t>
            </w:r>
          </w:p>
        </w:tc>
      </w:tr>
    </w:tbl>
    <w:p>
      <w:r>
        <w:br w:type="page"/>
      </w:r>
    </w:p>
    <w:p>
      <w:pPr>
        <w:pStyle w:val="Heading1"/>
      </w:pPr>
      <w:r>
        <w:t xml:space="preserve">5. Methodology Details</w:t>
      </w:r>
    </w:p>
    <w:p>
      <w:pPr>
        <w:pStyle w:val="Heading2"/>
      </w:pPr>
      <w:r>
        <w:t xml:space="preserve">5.1 Expected Payment Calculation</w:t>
      </w:r>
    </w:p>
    <w:p>
      <w:pPr>
        <w:spacing w:after="160"/>
      </w:pPr>
      <w:r>
        <w:t xml:space="preserve">Step 02 applies the official CMS formula for the non-facility and facility settings:</w:t>
      </w:r>
    </w:p>
    <w:p>
      <w:pPr>
        <w:pBdr>
          <w:left w:val="single" w:color="2E75B6" w:sz="12" w:space="8"/>
        </w:pBdr>
        <w:spacing w:after="200"/>
      </w:pPr>
      <w:r>
        <w:rPr>
          <w:i/>
          <w:iCs/>
          <w:color w:val="555555"/>
          <w:sz w:val="20"/>
          <w:szCs w:val="20"/>
        </w:rPr>
        <w:t xml:space="preserve">Expected Payment = [(Work RVU × Work GPCI) + (PE RVU × PE GPCI) + (MP RVU × MP GPCI)] × Conversion Factor</w:t>
      </w:r>
    </w:p>
    <w:p>
      <w:pPr>
        <w:spacing w:after="160"/>
      </w:pPr>
      <w:r>
        <w:t xml:space="preserve">The 2023 Conversion Factor ($33.8872) was read directly from the source file and cross-checked against the documented CMS value rather than hard-coded. The result was a 2,107,170-row table (15,855 HCPCS codes × 50 localities), spot-checked against the official CMS PFS Look-up Tool for HCPCS 99213 across California, Texas, and New York localities before being trusted for the next step.</w:t>
      </w:r>
    </w:p>
    <w:p>
      <w:pPr>
        <w:pStyle w:val="Heading2"/>
      </w:pPr>
      <w:r>
        <w:t xml:space="preserve">5.2 Actual vs. Expected Payment Join</w:t>
      </w:r>
    </w:p>
    <w:p>
      <w:pPr>
        <w:spacing w:after="160"/>
      </w:pPr>
      <w:r>
        <w:t xml:space="preserve">Step 03 joins the CMS PUF actual payments to the Step 02 benchmark by HCPCS code and state. Two methodology decisions were made deliberately:</w:t>
      </w:r>
    </w:p>
    <w:p>
      <w:pPr>
        <w:pStyle w:val="ListParagraph"/>
        <w:numPr>
          <w:ilvl w:val="0"/>
          <w:numId w:val="2"/>
        </w:numPr>
        <w:spacing w:after="80"/>
      </w:pPr>
      <w:r>
        <w:t xml:space="preserve">The CMS-approved Allowed Amount was used as the benchmark comparison, not the 80% Payment Amount — using Payment Amount was tested and found to falsely show 70–75% "underpayment" on nearly every claim, which is a measurement artifact, not a real finding.</w:t>
      </w:r>
    </w:p>
    <w:p>
      <w:pPr>
        <w:pStyle w:val="ListParagraph"/>
        <w:numPr>
          <w:ilvl w:val="0"/>
          <w:numId w:val="2"/>
        </w:numPr>
        <w:spacing w:after="80"/>
      </w:pPr>
      <w:r>
        <w:t xml:space="preserve">The facility vs. non-facility expected-payment benchmark is selected per row based on Place of Service, correcting an earlier bug where every facility-setting claim was being compared against the wrong (higher) benchmark.</w:t>
      </w:r>
    </w:p>
    <w:p>
      <w:pPr>
        <w:spacing w:after="160"/>
      </w:pPr>
      <w:r>
        <w:t xml:space="preserve">The join matched 9,613,174 of 9,781,673 PUF rows (98.28%). The 1.72% that did not match were traced and documented (see Section 5.3), not silently dropped.</w:t>
      </w:r>
    </w:p>
    <w:p>
      <w:pPr>
        <w:pStyle w:val="Heading2"/>
      </w:pPr>
      <w:r>
        <w:t xml:space="preserve">5.3 Data Cleaning &amp; Quality Controls</w:t>
      </w:r>
    </w:p>
    <w:p>
      <w:pPr>
        <w:spacing w:after="160"/>
      </w:pPr>
      <w:r>
        <w:t xml:space="preserve">Cleaning followed a conservative, fully-documented principle: nothing is deleted without a recorded, investigated reason.</w:t>
      </w:r>
    </w:p>
    <w:p>
      <w:pPr>
        <w:pStyle w:val="ListParagraph"/>
        <w:numPr>
          <w:ilvl w:val="0"/>
          <w:numId w:val="2"/>
        </w:numPr>
        <w:spacing w:after="80"/>
      </w:pPr>
      <w:r>
        <w:t xml:space="preserve">Null detection (Step 04a) found the dataset itself was clean; the only flagged issue was infinite Payment_Gap_Pct values caused by a $0 expected-payment benchmark (19.15% of rows).</w:t>
      </w:r>
    </w:p>
    <w:p>
      <w:pPr>
        <w:pStyle w:val="ListParagraph"/>
        <w:numPr>
          <w:ilvl w:val="0"/>
          <w:numId w:val="2"/>
        </w:numPr>
        <w:spacing w:after="80"/>
      </w:pPr>
      <w:r>
        <w:t xml:space="preserve">Outlier detection (Step 04b) compared five methods (IQR, Z-score, Percentile, Modified Z-score, and a CMS domain rule of ±100%/+200%) and adopted the domain rule plus Modified Z-score as the primary review flag — flagged rows were kept, not removed, since a statistically extreme claim is not the same as a factually wrong one.</w:t>
      </w:r>
    </w:p>
    <w:p>
      <w:pPr>
        <w:pStyle w:val="ListParagraph"/>
        <w:numPr>
          <w:ilvl w:val="0"/>
          <w:numId w:val="2"/>
        </w:numPr>
        <w:spacing w:after="80"/>
      </w:pPr>
      <w:r>
        <w:t xml:space="preserve">The 1,841,271 rows with $0 expected payment (Step 04c) were traced to specific CPT/HCPCS ranges priced outside the physician fee schedule entirely — Pathology/Laboratory (37.2%), Anesthesia (10.2%), drug J-codes (12.3%), DME/supplies (4.2%), and other HCPCS Level II codes (35.1% combined) — and excluded with that reason documented.</w:t>
      </w:r>
    </w:p>
    <w:p>
      <w:pPr>
        <w:pStyle w:val="ListParagraph"/>
        <w:numPr>
          <w:ilvl w:val="0"/>
          <w:numId w:val="2"/>
        </w:numPr>
        <w:spacing w:after="80"/>
      </w:pPr>
      <w:r>
        <w:t xml:space="preserve">Three provider types (Ambulatory Surgical Center, Nuclear Medicine, and Independent Diagnostic Testing Facility) were found in Step 04d to be paid under separate CMS pricing systems, not the physician fee schedule, and were flagged as benchmark_applicable = False (93,812 rows, 1.21%) rather than silently included in underpayment totals.</w:t>
      </w:r>
    </w:p>
    <w:p>
      <w:pPr>
        <w:spacing w:after="160"/>
      </w:pPr>
      <w:r>
        <w:t xml:space="preserve">Final cleaned dataset: 7,678,091 rows, carried forward into feature engineering.</w:t>
      </w:r>
    </w:p>
    <w:p>
      <w:pPr>
        <w:pStyle w:val="Heading2"/>
      </w:pPr>
      <w:r>
        <w:t xml:space="preserve">5.4 Feature Engineering</w:t>
      </w:r>
    </w:p>
    <w:p>
      <w:pPr>
        <w:spacing w:after="160"/>
      </w:pPr>
      <w:r>
        <w:t xml:space="preserve">Step 06 builds the features used by the Step 08 model:</w:t>
      </w:r>
    </w:p>
    <w:p>
      <w:pPr>
        <w:pStyle w:val="ListParagraph"/>
        <w:numPr>
          <w:ilvl w:val="0"/>
          <w:numId w:val="2"/>
        </w:numPr>
        <w:spacing w:after="80"/>
      </w:pPr>
      <w:r>
        <w:t xml:space="preserve">procedure_category — derived from official CPT/HCPCS numeric code ranges (e.g. 99201–99499 = Evaluation and Management).</w:t>
      </w:r>
    </w:p>
    <w:p>
      <w:pPr>
        <w:pStyle w:val="ListParagraph"/>
        <w:numPr>
          <w:ilvl w:val="0"/>
          <w:numId w:val="2"/>
        </w:numPr>
        <w:spacing w:after="80"/>
      </w:pPr>
      <w:r>
        <w:t xml:space="preserve">payer_type_proxy — Medicare participation status; documented as a proxy since the PUF contains only Medicare Fee-for-Service claims, with no real multi-payer variation.</w:t>
      </w:r>
    </w:p>
    <w:p>
      <w:pPr>
        <w:pStyle w:val="ListParagraph"/>
        <w:numPr>
          <w:ilvl w:val="0"/>
          <w:numId w:val="2"/>
        </w:numPr>
        <w:spacing w:after="80"/>
      </w:pPr>
      <w:r>
        <w:t xml:space="preserve">claim_severity_proxy — a documented stand-in for claim age/aging risk, since the PUF contains no claim date fields at all.</w:t>
      </w:r>
    </w:p>
    <w:p>
      <w:pPr>
        <w:pStyle w:val="ListParagraph"/>
        <w:numPr>
          <w:ilvl w:val="0"/>
          <w:numId w:val="2"/>
        </w:numPr>
        <w:spacing w:after="80"/>
      </w:pPr>
      <w:r>
        <w:t xml:space="preserve">services_per_beneficiary — a utilization-intensity ratio added after Step 05 found Tot_Benes and Tot_Srvcs correlated at 0.73.</w:t>
      </w:r>
    </w:p>
    <w:p>
      <w:pPr>
        <w:pStyle w:val="ListParagraph"/>
        <w:numPr>
          <w:ilvl w:val="0"/>
          <w:numId w:val="2"/>
        </w:numPr>
        <w:spacing w:after="80"/>
      </w:pPr>
      <w:r>
        <w:t xml:space="preserve">Log-transforms applied to Tot_Srvcs, Tot_Benes, Avg_Sbmtd_Chrg, and Avg_Mdcr_Alowd_Amt to correct heavy right-skew (e.g. Tot_Srvcs skew reduced from 208.8 to 0.85).</w:t>
      </w:r>
    </w:p>
    <w:p>
      <w:pPr>
        <w:pStyle w:val="Heading2"/>
      </w:pPr>
      <w:r>
        <w:t xml:space="preserve">5.5 Target Definition &amp; Leakage Prevention</w:t>
      </w:r>
    </w:p>
    <w:p>
      <w:pPr>
        <w:spacing w:after="160"/>
      </w:pPr>
      <w:r>
        <w:t xml:space="preserve">The project brief calls for a “collection probability” model, but the public CMS PUF contains no real record of whether an underpaid claim was ever appealed or recovered. Step 07 therefore defines an explicit, documented proxy target, high_recovery_priority, set to 1 when a claim's underpayment is both financially material (Total_Dollar_Gap &lt; –$50) and clearly severe (Payment_Gap_Pct &lt; –10%). This is stated plainly as a proxy for “worth an AR team's time to investigate,” not a measured collection outcome.</w:t>
      </w:r>
    </w:p>
    <w:p>
      <w:pPr>
        <w:spacing w:after="160"/>
      </w:pPr>
      <w:r>
        <w:t xml:space="preserve">Because the target is built directly from Total_Dollar_Gap and Payment_Gap_Pct, every column that is mathematically part of, or derived from, that calculation was explicitly excluded from the model's feature set — 11 columns in total across direct, derived, and indirect leakage categories. A post-exclusion correlation check confirmed no remaining feature exceeded |correlation| &gt; 0.5 with the target.</w:t>
      </w:r>
    </w:p>
    <w:p>
      <w:r>
        <w:br w:type="page"/>
      </w:r>
    </w:p>
    <w:p>
      <w:pPr>
        <w:pStyle w:val="Heading1"/>
      </w:pPr>
      <w:r>
        <w:t xml:space="preserve">6. Model Development &amp; Results</w:t>
      </w:r>
    </w:p>
    <w:p>
      <w:pPr>
        <w:pStyle w:val="Heading2"/>
      </w:pPr>
      <w:r>
        <w:t xml:space="preserve">6.1 Model Comparison (5-fold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Mean PR-AUC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Mean ROC-AUC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Mean F1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LightGBM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0.8688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0.8791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0.7479</w:t>
            </w:r>
          </w:p>
        </w:tc>
      </w:tr>
      <w:tr>
        <w:tc>
          <w:tcPr>
            <w:tcW w:type="dxa" w:w="3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Hist Gradient Boosting</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0.8663</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0.8771</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0.7622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0.8561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0.8653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0.7449</w:t>
            </w:r>
          </w:p>
        </w:tc>
      </w:tr>
      <w:tr>
        <w:tc>
          <w:tcPr>
            <w:tcW w:type="dxa" w:w="3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0.8546</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0.8639</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0.7284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Logistic Regression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0.6921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0.7078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0.6060</w:t>
            </w:r>
          </w:p>
        </w:tc>
      </w:tr>
    </w:tbl>
    <w:p>
      <w:pPr>
        <w:spacing w:after="160"/>
      </w:pPr>
      <w:r>
        <w:rPr>
          <w:i w:val="false"/>
          <w:iCs w:val="false"/>
        </w:rPr>
        <w:t xml:space="preserve">LightGBM was selected and hyperparameter-tuned (learning_rate=0.1, max_depth=10, n_estimators=200), improving cross-validated PR-AUC to 0.8734 before final training.</w:t>
      </w:r>
    </w:p>
    <w:p>
      <w:pPr>
        <w:pStyle w:val="Heading2"/>
      </w:pPr>
      <w:r>
        <w:t xml:space="preserve">6.2 Final Model Performance</w:t>
      </w:r>
    </w:p>
    <w:p>
      <w:pPr>
        <w:spacing w:after="160"/>
      </w:pPr>
      <w:r>
        <w:t xml:space="preserve">Retrained on the full 7,678,091-row dataset (6,142,472 training / 1,535,619 held-out test rows):</w:t>
      </w:r>
    </w:p>
    <w:p>
      <w:pPr>
        <w:pStyle w:val="ListParagraph"/>
        <w:numPr>
          <w:ilvl w:val="0"/>
          <w:numId w:val="2"/>
        </w:numPr>
        <w:spacing w:after="80"/>
      </w:pPr>
      <w:r>
        <w:t xml:space="preserve">Test PR-AUC: 0.8754</w:t>
      </w:r>
    </w:p>
    <w:p>
      <w:pPr>
        <w:pStyle w:val="ListParagraph"/>
        <w:numPr>
          <w:ilvl w:val="0"/>
          <w:numId w:val="2"/>
        </w:numPr>
        <w:spacing w:after="80"/>
      </w:pPr>
      <w:r>
        <w:t xml:space="preserve">Test ROC-AUC: 0.8857</w:t>
      </w:r>
    </w:p>
    <w:p>
      <w:pPr>
        <w:pStyle w:val="ListParagraph"/>
        <w:numPr>
          <w:ilvl w:val="0"/>
          <w:numId w:val="2"/>
        </w:numPr>
        <w:spacing w:after="80"/>
      </w:pPr>
      <w:r>
        <w:t xml:space="preserve">Test F1-score: 0.7577</w:t>
      </w:r>
    </w:p>
    <w:p>
      <w:pPr>
        <w:pStyle w:val="ListParagraph"/>
        <w:numPr>
          <w:ilvl w:val="0"/>
          <w:numId w:val="2"/>
        </w:numPr>
        <w:spacing w:after="80"/>
      </w:pPr>
      <w:r>
        <w:t xml:space="preserve">Precision / Recall (positive class): 0.83 / 0.70</w:t>
      </w:r>
    </w:p>
    <w:p>
      <w:pPr>
        <w:pStyle w:val="Heading2"/>
      </w:pPr>
      <w:r>
        <w:t xml:space="preserve">6.3 Explainability (SHAP)</w:t>
      </w:r>
    </w:p>
    <w:p>
      <w:pPr>
        <w:spacing w:after="160"/>
      </w:pPr>
      <w:r>
        <w:t xml:space="preserve">As a tree-based model, LightGBM was explained using SHAP TreeExplainer. The top global drivers of the recovery-priority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Mean |SHAP Value|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Average Medicare payment amount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0.923</w:t>
            </w:r>
          </w:p>
        </w:tc>
      </w:tr>
      <w:tr>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Place of service (Office)</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0.458</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Procedure category: Radiology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0.427</w:t>
            </w:r>
          </w:p>
        </w:tc>
      </w:tr>
      <w:tr>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Average submitted charge</w:t>
            </w:r>
          </w:p>
        </w:tc>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0.277</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Services-per-beneficiary ratio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0.210</w:t>
            </w:r>
          </w:p>
        </w:tc>
      </w:tr>
    </w:tbl>
    <w:p>
      <w:r>
        <w:br w:type="page"/>
      </w:r>
    </w:p>
    <w:p>
      <w:pPr>
        <w:pStyle w:val="Heading1"/>
      </w:pPr>
      <w:r>
        <w:t xml:space="preserve">7. Operational Outputs</w:t>
      </w:r>
    </w:p>
    <w:p>
      <w:pPr>
        <w:pStyle w:val="Heading2"/>
      </w:pPr>
      <w:r>
        <w:t xml:space="preserve">7.1 AR Priority Queue</w:t>
      </w:r>
    </w:p>
    <w:p>
      <w:pPr>
        <w:spacing w:after="160"/>
      </w:pPr>
      <w:r>
        <w:t xml:space="preserve">Step 09 scores every underpaid claim (6,056,133 rows) with the trained model and ranks them by estimated recovery × model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000"/>
        <w:gridCol w:w="5000"/>
      </w:tblGrid>
      <w:tr>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Priority 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Row Count</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b/>
                <w:bCs/>
                <w:color w:val="FFFFFF"/>
                <w:sz w:val="20"/>
                <w:szCs w:val="20"/>
              </w:rPr>
              <w:t xml:space="preserve">Recommended Action</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8,609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Immediate contract variance review</w:t>
            </w:r>
          </w:p>
        </w:tc>
      </w:tr>
      <w:tr>
        <w:tc>
          <w:tcPr>
            <w:tcW w:type="dxa" w:w="2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162,776</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Prioritize reimbursement audit</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1,280,870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Batch review of underpayment pattern</w:t>
            </w:r>
          </w:p>
        </w:tc>
      </w:tr>
      <w:tr>
        <w:tc>
          <w:tcPr>
            <w:tcW w:type="dxa" w:w="2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4,603,878</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b w:val="false"/>
                <w:bCs w:val="false"/>
                <w:color w:val="000000"/>
                <w:sz w:val="20"/>
                <w:szCs w:val="20"/>
              </w:rPr>
              <w:t xml:space="preserve">Monitor / include in batch audit</w:t>
            </w:r>
          </w:p>
        </w:tc>
      </w:tr>
    </w:tbl>
    <w:p>
      <w:pPr>
        <w:spacing w:after="160"/>
      </w:pPr>
      <w:r>
        <w:t xml:space="preserve">Total estimated recovery across the full queue: approximately $14.99 billion — stated explicitly as a portfolio-scale estimate across all providers in the dataset, not a single practice's recoverable amount.</w:t>
      </w:r>
    </w:p>
    <w:p>
      <w:pPr>
        <w:pStyle w:val="Heading2"/>
      </w:pPr>
      <w:r>
        <w:t xml:space="preserve">7.2 Anomaly Detection (Isolation Forest)</w:t>
      </w:r>
    </w:p>
    <w:p>
      <w:pPr>
        <w:spacing w:after="160"/>
      </w:pPr>
      <w:r>
        <w:t xml:space="preserve">Step 10 addresses a different question than row-level outlier detection: it groups claims by State × Provider Type × HCPCS Code × Place of Service (minimum 20 claims per group) and runs an Isolation Forest across group-level statistics — underpaid rate, average gap, total recovery — to surface whole patterns of systemic underpayment, rather than individual extreme claims.</w:t>
      </w:r>
    </w:p>
    <w:p>
      <w:pPr>
        <w:pStyle w:val="Heading2"/>
      </w:pPr>
      <w:r>
        <w:t xml:space="preserve">7.3 Underpayment Report</w:t>
      </w:r>
    </w:p>
    <w:p>
      <w:pPr>
        <w:spacing w:after="160"/>
      </w:pPr>
      <w:r>
        <w:t xml:space="preserve">Step 11 produces the business-facing reporting layer required by the project brief: a top-500 underpayments list, and summary tables by HCPCS code, by state, by provider type, and by payer type (Medicare participation status, the only genuine payer signal available in this Medicare-only dataset), plus an executive summary file.</w:t>
      </w:r>
    </w:p>
    <w:p>
      <w:pPr>
        <w:pStyle w:val="Heading2"/>
      </w:pPr>
      <w:r>
        <w:t xml:space="preserve">7.4 API &amp; Interactive Dashboard</w:t>
      </w:r>
    </w:p>
    <w:p>
      <w:pPr>
        <w:spacing w:after="160"/>
      </w:pPr>
      <w:r>
        <w:t xml:space="preserve">Step 12 exposes the trained model through a FastAPI REST service (/predict/recovery, /predict/batch, /model/info, /health) for programmatic, real-time scoring. Step 13 provides a lightweight Streamlit demo: a user enters a claim's details, and the app returns the predicted recovery-priority probability, a color-coded priority tier, and the top reasons behind that specific prediction, computed live with SHAP rather than a static explanation.</w:t>
      </w:r>
    </w:p>
    <w:p>
      <w:r>
        <w:br w:type="page"/>
      </w:r>
    </w:p>
    <w:p>
      <w:pPr>
        <w:pStyle w:val="Heading1"/>
      </w:pPr>
      <w:r>
        <w:t xml:space="preserve">8. Documented Limitations</w:t>
      </w:r>
    </w:p>
    <w:p>
      <w:pPr>
        <w:spacing w:after="160"/>
      </w:pPr>
      <w:r>
        <w:t xml:space="preserve">Consistent with the honesty-first approach used throughout this pipeline, the following limitations are stated explicitly rather than left implicit:</w:t>
      </w:r>
    </w:p>
    <w:p>
      <w:pPr>
        <w:pStyle w:val="ListParagraph"/>
        <w:numPr>
          <w:ilvl w:val="0"/>
          <w:numId w:val="2"/>
        </w:numPr>
        <w:spacing w:after="80"/>
      </w:pPr>
      <w:r>
        <w:t xml:space="preserve">Expected payment is averaged across all Medicare localities within a state, because the public PUF identifies only the provider's state, not their exact locality — underpayment flags are therefore a reasonable estimate, not an exact locality-level match.</w:t>
      </w:r>
    </w:p>
    <w:p>
      <w:pPr>
        <w:pStyle w:val="ListParagraph"/>
        <w:numPr>
          <w:ilvl w:val="0"/>
          <w:numId w:val="2"/>
        </w:numPr>
        <w:spacing w:after="80"/>
      </w:pPr>
      <w:r>
        <w:t xml:space="preserve">The “collection probability” target is a documented proxy for investigation priority, not a measured real-world collection or appeal outcome — the CMS PUF contains no real AR transaction history.</w:t>
      </w:r>
    </w:p>
    <w:p>
      <w:pPr>
        <w:pStyle w:val="ListParagraph"/>
        <w:numPr>
          <w:ilvl w:val="0"/>
          <w:numId w:val="2"/>
        </w:numPr>
        <w:spacing w:after="80"/>
      </w:pPr>
      <w:r>
        <w:t xml:space="preserve">“Payer type” reflects only Medicare participation status; the dataset contains no commercial, Medicaid, or Medicare Advantage claims.</w:t>
      </w:r>
    </w:p>
    <w:p>
      <w:pPr>
        <w:pStyle w:val="ListParagraph"/>
        <w:numPr>
          <w:ilvl w:val="0"/>
          <w:numId w:val="2"/>
        </w:numPr>
        <w:spacing w:after="80"/>
      </w:pPr>
      <w:r>
        <w:t xml:space="preserve">“Claim severity / age proxy” is an assumption-based stand-in (larger, clearer variances are more likely to remain unresolved), not a measured aging field, since the PUF contains no claim date information.</w:t>
      </w:r>
    </w:p>
    <w:p>
      <w:pPr>
        <w:pStyle w:val="ListParagraph"/>
        <w:numPr>
          <w:ilvl w:val="0"/>
          <w:numId w:val="2"/>
        </w:numPr>
        <w:spacing w:after="80"/>
      </w:pPr>
      <w:r>
        <w:t xml:space="preserve">Ambulatory Surgical Centers, Nuclear Medicine, and Independent Diagnostic Testing Facilities are excluded from underpayment statistics because they are priced under separate CMS systems not modeled in this project.</w:t>
      </w:r>
    </w:p>
    <w:p>
      <w:pPr>
        <w:pStyle w:val="ListParagraph"/>
        <w:numPr>
          <w:ilvl w:val="0"/>
          <w:numId w:val="2"/>
        </w:numPr>
        <w:spacing w:after="80"/>
      </w:pPr>
      <w:r>
        <w:t xml:space="preserve">All dollar totals are portfolio-scale estimates aggregated across every provider and claim in the public dataset, not a single practice's verified recoverable balance.</w:t>
      </w:r>
    </w:p>
    <w:p>
      <w:pPr>
        <w:pStyle w:val="Heading1"/>
      </w:pPr>
      <w:r>
        <w:t xml:space="preserve">9. Conclusion</w:t>
      </w:r>
    </w:p>
    <w:p>
      <w:pPr>
        <w:spacing w:after="160"/>
      </w:pPr>
      <w:r>
        <w:t xml:space="preserve">Project 02 delivers a complete, end-to-end Medicare AR prioritization pipeline: from raw CMS fee-schedule parsing, through a properly leakage-checked machine-learning model (PR-AUC 0.875), to a ranked priority queue, anomaly detector, business report, API, and interactive dashboard. Every cleaning decision, exclusion, and proxy assumption made along the way is documented and auditable, reflecting the same methodological rigor applied throughout the WellMind Data Solutions Medicare RCM portfolio.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WellMind Data Solutions — Project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2026-06-29T04:45:06.037Z</dcterms:created>
  <dcterms:modified xsi:type="dcterms:W3CDTF">2026-06-29T04:45:06.038Z</dcterms:modified>
</cp:coreProperties>
</file>

<file path=docProps/custom.xml><?xml version="1.0" encoding="utf-8"?>
<Properties xmlns="http://schemas.openxmlformats.org/officeDocument/2006/custom-properties" xmlns:vt="http://schemas.openxmlformats.org/officeDocument/2006/docPropsVTypes"/>
</file>