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0552" w14:textId="5E1CF563" w:rsidR="00EF7061" w:rsidRDefault="00D5758D">
      <w:r>
        <w:t xml:space="preserve">NATE </w:t>
      </w:r>
    </w:p>
    <w:p w14:paraId="17FEBAD9" w14:textId="0C2B0B52" w:rsidR="00D5758D" w:rsidRDefault="00D5758D"/>
    <w:p w14:paraId="6A5E0BBC" w14:textId="2C0E0863" w:rsidR="008234D9" w:rsidRPr="008234D9" w:rsidRDefault="008234D9">
      <w:pPr>
        <w:rPr>
          <w:lang w:val="en-US"/>
        </w:rPr>
      </w:pPr>
      <w:r w:rsidRPr="008234D9">
        <w:rPr>
          <w:lang w:val="en-US"/>
        </w:rPr>
        <w:t>RPSA</w:t>
      </w:r>
    </w:p>
    <w:p w14:paraId="31647770" w14:textId="4310DDC4" w:rsidR="008234D9" w:rsidRPr="00775D3E" w:rsidRDefault="008234D9">
      <w:pPr>
        <w:rPr>
          <w:b/>
          <w:bCs/>
          <w:lang w:val="en-US"/>
        </w:rPr>
      </w:pPr>
      <w:r w:rsidRPr="00775D3E">
        <w:rPr>
          <w:b/>
          <w:bCs/>
          <w:lang w:val="en-US"/>
        </w:rPr>
        <w:t>HLA.DRA</w:t>
      </w:r>
    </w:p>
    <w:p w14:paraId="791881D0" w14:textId="016F5739" w:rsidR="008234D9" w:rsidRDefault="006F02EC">
      <w:pPr>
        <w:rPr>
          <w:lang w:val="en-US"/>
        </w:rPr>
      </w:pPr>
      <w:r>
        <w:rPr>
          <w:lang w:val="en-US"/>
        </w:rPr>
        <w:t>TRBV9</w:t>
      </w:r>
    </w:p>
    <w:p w14:paraId="2771E207" w14:textId="254A107A" w:rsidR="006F02EC" w:rsidRPr="003D0BF8" w:rsidRDefault="006F02EC">
      <w:pPr>
        <w:rPr>
          <w:b/>
          <w:bCs/>
          <w:lang w:val="en-US"/>
        </w:rPr>
      </w:pPr>
      <w:r w:rsidRPr="003D0BF8">
        <w:rPr>
          <w:b/>
          <w:bCs/>
          <w:lang w:val="en-US"/>
        </w:rPr>
        <w:t>L</w:t>
      </w:r>
      <w:r w:rsidR="0079579E" w:rsidRPr="003D0BF8">
        <w:rPr>
          <w:b/>
          <w:bCs/>
          <w:lang w:val="en-US"/>
        </w:rPr>
        <w:t>Y</w:t>
      </w:r>
      <w:r w:rsidRPr="003D0BF8">
        <w:rPr>
          <w:b/>
          <w:bCs/>
          <w:lang w:val="en-US"/>
        </w:rPr>
        <w:t>6E</w:t>
      </w:r>
    </w:p>
    <w:p w14:paraId="467A4B4E" w14:textId="5628EB8E" w:rsidR="006F02EC" w:rsidRPr="00EC26E1" w:rsidRDefault="006F02EC">
      <w:pPr>
        <w:rPr>
          <w:b/>
          <w:bCs/>
          <w:lang w:val="en-US"/>
        </w:rPr>
      </w:pPr>
      <w:r w:rsidRPr="00EC26E1">
        <w:rPr>
          <w:b/>
          <w:bCs/>
          <w:lang w:val="en-US"/>
        </w:rPr>
        <w:t>HSP90B1</w:t>
      </w:r>
    </w:p>
    <w:p w14:paraId="7AE181D8" w14:textId="14692D58" w:rsidR="006F02EC" w:rsidRPr="00D86877" w:rsidRDefault="006F02EC">
      <w:pPr>
        <w:rPr>
          <w:b/>
          <w:bCs/>
          <w:color w:val="ED7D31" w:themeColor="accent2"/>
          <w:lang w:val="en-US"/>
        </w:rPr>
      </w:pPr>
      <w:r w:rsidRPr="00D86877">
        <w:rPr>
          <w:b/>
          <w:bCs/>
          <w:color w:val="ED7D31" w:themeColor="accent2"/>
          <w:lang w:val="en-US"/>
        </w:rPr>
        <w:t>IGHD</w:t>
      </w:r>
    </w:p>
    <w:p w14:paraId="21FD3D32" w14:textId="32FA11FD" w:rsidR="006F02EC" w:rsidRPr="00605D2E" w:rsidRDefault="006F02EC">
      <w:pPr>
        <w:rPr>
          <w:b/>
          <w:bCs/>
          <w:lang w:val="en-US"/>
        </w:rPr>
      </w:pPr>
      <w:r w:rsidRPr="00605D2E">
        <w:rPr>
          <w:b/>
          <w:bCs/>
          <w:lang w:val="en-US"/>
        </w:rPr>
        <w:t>SLC7A5</w:t>
      </w:r>
    </w:p>
    <w:p w14:paraId="3E90F219" w14:textId="34088B26" w:rsidR="006F02EC" w:rsidRPr="00246375" w:rsidRDefault="006F02EC">
      <w:pPr>
        <w:rPr>
          <w:b/>
          <w:bCs/>
          <w:lang w:val="en-US"/>
        </w:rPr>
      </w:pPr>
      <w:r w:rsidRPr="00246375">
        <w:rPr>
          <w:b/>
          <w:bCs/>
          <w:lang w:val="en-US"/>
        </w:rPr>
        <w:t>PCNA</w:t>
      </w:r>
    </w:p>
    <w:p w14:paraId="46CEEDB9" w14:textId="77777777" w:rsidR="006F02EC" w:rsidRPr="008234D9" w:rsidRDefault="006F02EC">
      <w:pPr>
        <w:rPr>
          <w:lang w:val="en-US"/>
        </w:rPr>
      </w:pPr>
    </w:p>
    <w:p w14:paraId="2AB4BC04" w14:textId="1CC9EEF1" w:rsidR="00027955" w:rsidRDefault="00027955">
      <w:pPr>
        <w:rPr>
          <w:lang w:val="en-US"/>
        </w:rPr>
      </w:pPr>
      <w:r w:rsidRPr="00027955">
        <w:rPr>
          <w:lang w:val="en-US"/>
        </w:rPr>
        <w:t>HLA-DR in Cytotoxic T Lymphocytes Predicts Breast Cancer Patients' Response to Neoadjuvant Chemotherapy</w:t>
      </w:r>
      <w:r w:rsidR="00775D3E">
        <w:rPr>
          <w:lang w:val="en-US"/>
        </w:rPr>
        <w:t xml:space="preserve">. </w:t>
      </w:r>
      <w:r w:rsidR="00775D3E" w:rsidRPr="0079579E">
        <w:rPr>
          <w:rFonts w:ascii="Segoe UI" w:eastAsia="Times New Roman" w:hAnsi="Segoe UI" w:cs="Segoe UI"/>
          <w:color w:val="212121"/>
          <w:shd w:val="clear" w:color="auto" w:fill="FFFFFF"/>
          <w:lang w:val="en-US" w:eastAsia="it-IT"/>
        </w:rPr>
        <w:t>Prediction of breast cancer response to Neoadjuvant Chemotherapy (NACT) is an urgent need to promptly direct non-responder patients to alternative therapies. Infiltrating T lymphocytes, namely cytotoxic T lymphocytes (CTLs) have been appointed as predictors of response. </w:t>
      </w:r>
      <w:r w:rsidR="0079579E">
        <w:rPr>
          <w:rFonts w:ascii="Times New Roman" w:eastAsia="Times New Roman" w:hAnsi="Times New Roman" w:cs="Times New Roman"/>
          <w:lang w:val="en-US" w:eastAsia="it-IT"/>
        </w:rPr>
        <w:t xml:space="preserve"> </w:t>
      </w:r>
      <w:hyperlink r:id="rId4" w:history="1">
        <w:r w:rsidR="0079579E" w:rsidRPr="006F2A4A">
          <w:rPr>
            <w:rStyle w:val="Collegamentoipertestuale"/>
            <w:lang w:val="en-US"/>
          </w:rPr>
          <w:t>https://pubmed.ncbi.nlm.nih.gov/30555458/</w:t>
        </w:r>
      </w:hyperlink>
      <w:r w:rsidR="0079579E">
        <w:rPr>
          <w:lang w:val="en-US"/>
        </w:rPr>
        <w:t xml:space="preserve"> </w:t>
      </w:r>
    </w:p>
    <w:p w14:paraId="09E044A2" w14:textId="4D1F0853" w:rsidR="0079579E" w:rsidRDefault="0079579E">
      <w:pPr>
        <w:rPr>
          <w:rFonts w:ascii="Times New Roman" w:eastAsia="Times New Roman" w:hAnsi="Times New Roman" w:cs="Times New Roman"/>
          <w:lang w:val="en-US" w:eastAsia="it-IT"/>
        </w:rPr>
      </w:pPr>
    </w:p>
    <w:p w14:paraId="3A8F3836" w14:textId="6371228F" w:rsidR="003D0BF8" w:rsidRDefault="003D0BF8">
      <w:pPr>
        <w:rPr>
          <w:rFonts w:ascii="Times New Roman" w:eastAsia="Times New Roman" w:hAnsi="Times New Roman" w:cs="Times New Roman"/>
          <w:lang w:val="en-US" w:eastAsia="it-IT"/>
        </w:rPr>
      </w:pPr>
      <w:r w:rsidRPr="003D0BF8">
        <w:rPr>
          <w:rFonts w:ascii="Times New Roman" w:eastAsia="Times New Roman" w:hAnsi="Times New Roman" w:cs="Times New Roman"/>
          <w:lang w:val="en-US" w:eastAsia="it-IT"/>
        </w:rPr>
        <w:t>Lymphocyte antigen 6 complex, locus E (LY6E) has been implicated in the malignant progression of various types of cancers; however, the underlying mechanism remains unclear.</w:t>
      </w:r>
      <w:r>
        <w:rPr>
          <w:rFonts w:ascii="Times New Roman" w:eastAsia="Times New Roman" w:hAnsi="Times New Roman" w:cs="Times New Roman"/>
          <w:lang w:val="en-US" w:eastAsia="it-IT"/>
        </w:rPr>
        <w:t xml:space="preserve"> </w:t>
      </w:r>
      <w:r w:rsidR="005143FF" w:rsidRPr="005143FF">
        <w:rPr>
          <w:rFonts w:ascii="Times New Roman" w:eastAsia="Times New Roman" w:hAnsi="Times New Roman" w:cs="Times New Roman"/>
          <w:lang w:val="en-US" w:eastAsia="it-IT"/>
        </w:rPr>
        <w:t xml:space="preserve">LY6E expression levels were significantly higher in human breast cancers than in normal breast </w:t>
      </w:r>
      <w:proofErr w:type="gramStart"/>
      <w:r w:rsidR="005143FF" w:rsidRPr="005143FF">
        <w:rPr>
          <w:rFonts w:ascii="Times New Roman" w:eastAsia="Times New Roman" w:hAnsi="Times New Roman" w:cs="Times New Roman"/>
          <w:lang w:val="en-US" w:eastAsia="it-IT"/>
        </w:rPr>
        <w:t>tissues, and</w:t>
      </w:r>
      <w:proofErr w:type="gramEnd"/>
      <w:r w:rsidR="005143FF" w:rsidRPr="005143FF">
        <w:rPr>
          <w:rFonts w:ascii="Times New Roman" w:eastAsia="Times New Roman" w:hAnsi="Times New Roman" w:cs="Times New Roman"/>
          <w:lang w:val="en-US" w:eastAsia="it-IT"/>
        </w:rPr>
        <w:t xml:space="preserve"> were strongly associated with the poor prognoses of various cancer patients.</w:t>
      </w:r>
    </w:p>
    <w:p w14:paraId="0647AF0E" w14:textId="07135D2B" w:rsidR="00EC26E1" w:rsidRDefault="00EC26E1">
      <w:pPr>
        <w:rPr>
          <w:rFonts w:ascii="Times New Roman" w:eastAsia="Times New Roman" w:hAnsi="Times New Roman" w:cs="Times New Roman"/>
          <w:lang w:val="en-US" w:eastAsia="it-IT"/>
        </w:rPr>
      </w:pPr>
    </w:p>
    <w:p w14:paraId="0CE9ED20" w14:textId="0D301729" w:rsidR="00EC26E1" w:rsidRDefault="00EC26E1">
      <w:pPr>
        <w:rPr>
          <w:rFonts w:ascii="Times New Roman" w:eastAsia="Times New Roman" w:hAnsi="Times New Roman" w:cs="Times New Roman"/>
          <w:lang w:val="en-US" w:eastAsia="it-IT"/>
        </w:rPr>
      </w:pPr>
      <w:r w:rsidRPr="00EC26E1">
        <w:rPr>
          <w:rFonts w:ascii="Times New Roman" w:eastAsia="Times New Roman" w:hAnsi="Times New Roman" w:cs="Times New Roman"/>
          <w:lang w:val="en-US" w:eastAsia="it-IT"/>
        </w:rPr>
        <w:t xml:space="preserve">Proteomic Analyses Reveal High Expression of </w:t>
      </w:r>
      <w:proofErr w:type="spellStart"/>
      <w:r w:rsidRPr="00EC26E1">
        <w:rPr>
          <w:rFonts w:ascii="Times New Roman" w:eastAsia="Times New Roman" w:hAnsi="Times New Roman" w:cs="Times New Roman"/>
          <w:lang w:val="en-US" w:eastAsia="it-IT"/>
        </w:rPr>
        <w:t>Decorin</w:t>
      </w:r>
      <w:proofErr w:type="spellEnd"/>
      <w:r w:rsidRPr="00EC26E1">
        <w:rPr>
          <w:rFonts w:ascii="Times New Roman" w:eastAsia="Times New Roman" w:hAnsi="Times New Roman" w:cs="Times New Roman"/>
          <w:lang w:val="en-US" w:eastAsia="it-IT"/>
        </w:rPr>
        <w:t xml:space="preserve"> and </w:t>
      </w:r>
      <w:proofErr w:type="spellStart"/>
      <w:r w:rsidRPr="00EC26E1">
        <w:rPr>
          <w:rFonts w:ascii="Times New Roman" w:eastAsia="Times New Roman" w:hAnsi="Times New Roman" w:cs="Times New Roman"/>
          <w:lang w:val="en-US" w:eastAsia="it-IT"/>
        </w:rPr>
        <w:t>Endoplasmin</w:t>
      </w:r>
      <w:proofErr w:type="spellEnd"/>
      <w:r w:rsidRPr="00EC26E1">
        <w:rPr>
          <w:rFonts w:ascii="Times New Roman" w:eastAsia="Times New Roman" w:hAnsi="Times New Roman" w:cs="Times New Roman"/>
          <w:lang w:val="en-US" w:eastAsia="it-IT"/>
        </w:rPr>
        <w:t xml:space="preserve"> (HSP90B1) Are Associated with Breast Cancer Metastasis and Decreased Survival</w:t>
      </w:r>
    </w:p>
    <w:p w14:paraId="08F529C8" w14:textId="1A37DE67" w:rsidR="0040238E" w:rsidRDefault="0040238E">
      <w:pPr>
        <w:rPr>
          <w:rFonts w:ascii="Times New Roman" w:eastAsia="Times New Roman" w:hAnsi="Times New Roman" w:cs="Times New Roman"/>
          <w:lang w:val="en-US" w:eastAsia="it-IT"/>
        </w:rPr>
      </w:pPr>
    </w:p>
    <w:p w14:paraId="6C5BDCE6" w14:textId="45D2121A" w:rsidR="0040238E" w:rsidRDefault="0023399E">
      <w:pPr>
        <w:rPr>
          <w:rFonts w:ascii="Times New Roman" w:eastAsia="Times New Roman" w:hAnsi="Times New Roman" w:cs="Times New Roman"/>
          <w:lang w:val="en-US" w:eastAsia="it-IT"/>
        </w:rPr>
      </w:pPr>
      <w:r w:rsidRPr="0023399E">
        <w:rPr>
          <w:rFonts w:ascii="Times New Roman" w:eastAsia="Times New Roman" w:hAnsi="Times New Roman" w:cs="Times New Roman"/>
          <w:lang w:val="en-US" w:eastAsia="it-IT"/>
        </w:rPr>
        <w:t xml:space="preserve">A prospective study revealing the role of an immune-related </w:t>
      </w:r>
      <w:proofErr w:type="spellStart"/>
      <w:r w:rsidRPr="0023399E">
        <w:rPr>
          <w:rFonts w:ascii="Times New Roman" w:eastAsia="Times New Roman" w:hAnsi="Times New Roman" w:cs="Times New Roman"/>
          <w:lang w:val="en-US" w:eastAsia="it-IT"/>
        </w:rPr>
        <w:t>eRNA</w:t>
      </w:r>
      <w:proofErr w:type="spellEnd"/>
      <w:r w:rsidRPr="0023399E">
        <w:rPr>
          <w:rFonts w:ascii="Times New Roman" w:eastAsia="Times New Roman" w:hAnsi="Times New Roman" w:cs="Times New Roman"/>
          <w:lang w:val="en-US" w:eastAsia="it-IT"/>
        </w:rPr>
        <w:t>, WAKMAR2, in breast cancer</w:t>
      </w:r>
    </w:p>
    <w:p w14:paraId="70F31375" w14:textId="3841D80A" w:rsidR="0040238E" w:rsidRDefault="0040238E">
      <w:pPr>
        <w:rPr>
          <w:rFonts w:ascii="Times New Roman" w:eastAsia="Times New Roman" w:hAnsi="Times New Roman" w:cs="Times New Roman"/>
          <w:lang w:val="en-US" w:eastAsia="it-IT"/>
        </w:rPr>
      </w:pPr>
      <w:r w:rsidRPr="0040238E">
        <w:rPr>
          <w:rFonts w:ascii="Times New Roman" w:eastAsia="Times New Roman" w:hAnsi="Times New Roman" w:cs="Times New Roman"/>
          <w:lang w:val="en-US" w:eastAsia="it-IT"/>
        </w:rPr>
        <w:t>The immunoglobulin-related genes IGHA1 and IGHD have been reported to inhibit the recurrence of breast cancer30, which is consistent with the results of this study.</w:t>
      </w:r>
    </w:p>
    <w:p w14:paraId="5109DAC3" w14:textId="4AB2BC9D" w:rsidR="00B62828" w:rsidRDefault="00802C55">
      <w:pPr>
        <w:rPr>
          <w:rFonts w:ascii="Times New Roman" w:eastAsia="Times New Roman" w:hAnsi="Times New Roman" w:cs="Times New Roman"/>
          <w:lang w:val="en-US" w:eastAsia="it-IT"/>
        </w:rPr>
      </w:pPr>
      <w:hyperlink r:id="rId5" w:history="1">
        <w:r w:rsidRPr="006F2A4A">
          <w:rPr>
            <w:rStyle w:val="Collegamentoipertestuale"/>
            <w:rFonts w:ascii="Times New Roman" w:eastAsia="Times New Roman" w:hAnsi="Times New Roman" w:cs="Times New Roman"/>
            <w:lang w:val="en-US" w:eastAsia="it-IT"/>
          </w:rPr>
          <w:t>https://www.nature.com/articles/s41598-021-94784-3</w:t>
        </w:r>
      </w:hyperlink>
      <w:r>
        <w:rPr>
          <w:rFonts w:ascii="Times New Roman" w:eastAsia="Times New Roman" w:hAnsi="Times New Roman" w:cs="Times New Roman"/>
          <w:lang w:val="en-US" w:eastAsia="it-IT"/>
        </w:rPr>
        <w:t xml:space="preserve"> </w:t>
      </w:r>
    </w:p>
    <w:p w14:paraId="45FAB1BF" w14:textId="3D81B6A4" w:rsidR="00605D2E" w:rsidRDefault="00605D2E">
      <w:pPr>
        <w:rPr>
          <w:rFonts w:ascii="Times New Roman" w:eastAsia="Times New Roman" w:hAnsi="Times New Roman" w:cs="Times New Roman"/>
          <w:lang w:val="en-US" w:eastAsia="it-IT"/>
        </w:rPr>
      </w:pPr>
    </w:p>
    <w:p w14:paraId="2A0E624C" w14:textId="77777777" w:rsidR="00F81610" w:rsidRDefault="00605D2E">
      <w:pPr>
        <w:rPr>
          <w:lang w:val="en-US"/>
        </w:rPr>
      </w:pPr>
      <w:r w:rsidRPr="00605D2E">
        <w:rPr>
          <w:lang w:val="en-US"/>
        </w:rPr>
        <w:t xml:space="preserve">Co-Expression Effect of SLC7A5/SLC3A2 to Predict Response to Endocrine Therapy in </w:t>
      </w:r>
      <w:proofErr w:type="spellStart"/>
      <w:r w:rsidRPr="00605D2E">
        <w:rPr>
          <w:lang w:val="en-US"/>
        </w:rPr>
        <w:t>Oestrogen</w:t>
      </w:r>
      <w:proofErr w:type="spellEnd"/>
      <w:r w:rsidRPr="00605D2E">
        <w:rPr>
          <w:lang w:val="en-US"/>
        </w:rPr>
        <w:t>-Receptor-Positive Breast Cancer</w:t>
      </w:r>
      <w:r w:rsidR="00B428D4">
        <w:rPr>
          <w:lang w:val="en-US"/>
        </w:rPr>
        <w:t xml:space="preserve">. </w:t>
      </w:r>
      <w:proofErr w:type="gramStart"/>
      <w:r w:rsidR="00B428D4" w:rsidRPr="00B428D4">
        <w:rPr>
          <w:lang w:val="en-US"/>
        </w:rPr>
        <w:t>The majority of</w:t>
      </w:r>
      <w:proofErr w:type="gramEnd"/>
      <w:r w:rsidR="00B428D4" w:rsidRPr="00B428D4">
        <w:rPr>
          <w:lang w:val="en-US"/>
        </w:rPr>
        <w:t xml:space="preserve"> breast cancers are </w:t>
      </w:r>
      <w:proofErr w:type="spellStart"/>
      <w:r w:rsidR="00B428D4" w:rsidRPr="00B428D4">
        <w:rPr>
          <w:lang w:val="en-US"/>
        </w:rPr>
        <w:t>oestrogen</w:t>
      </w:r>
      <w:proofErr w:type="spellEnd"/>
      <w:r w:rsidR="00B428D4" w:rsidRPr="00B428D4">
        <w:rPr>
          <w:lang w:val="en-US"/>
        </w:rPr>
        <w:t>-receptor-positive (ER+) and are subject to endocrine therapy; however, an unpredictable subgroup of patients will develop resistance to endocrine therapy. The SLC7A5/SLC3A2 complex is a major route for the transport of large neutral essential amino acids through the plasma membrane. Alterations in the expression and function of those amino-acid transporters lead to metabolic reprogramming, which contributes to the tumorigenesis and drug resistance. This study aims to assess the effects and roles of SLC7A5/SLC3A2 co-expression in predicting responses to endocrine therapy in patients with ER+ breast cancer.</w:t>
      </w:r>
      <w:r w:rsidR="00397E99">
        <w:rPr>
          <w:lang w:val="en-US"/>
        </w:rPr>
        <w:t xml:space="preserve"> </w:t>
      </w:r>
      <w:hyperlink r:id="rId6" w:history="1">
        <w:r w:rsidR="00397E99" w:rsidRPr="006F2A4A">
          <w:rPr>
            <w:rStyle w:val="Collegamentoipertestuale"/>
            <w:lang w:val="en-US"/>
          </w:rPr>
          <w:t>https://www.mdpi.com/1422-0067/21/4/1407</w:t>
        </w:r>
      </w:hyperlink>
    </w:p>
    <w:p w14:paraId="48720411" w14:textId="77777777" w:rsidR="00F81610" w:rsidRDefault="00F81610">
      <w:pPr>
        <w:rPr>
          <w:lang w:val="en-US"/>
        </w:rPr>
      </w:pPr>
    </w:p>
    <w:p w14:paraId="22BA0B30" w14:textId="77777777" w:rsidR="00F81610" w:rsidRDefault="00F81610">
      <w:pPr>
        <w:rPr>
          <w:lang w:val="en-US"/>
        </w:rPr>
      </w:pPr>
      <w:r w:rsidRPr="00F81610">
        <w:rPr>
          <w:lang w:val="en-US"/>
        </w:rPr>
        <w:t>Tyrosine 211 (Y211) phosphorylation of proliferation cell nuclear antigen (PCNA) coincides with pronounced cancer cell proliferation and correlates with poor survival of breast cancer patients. In epidermal growth factor receptor (EGFR) tyrosine kinase inhibitor (TKI)-resistant cells, both nuclear EGFR (</w:t>
      </w:r>
      <w:proofErr w:type="spellStart"/>
      <w:r w:rsidRPr="00F81610">
        <w:rPr>
          <w:lang w:val="en-US"/>
        </w:rPr>
        <w:t>nEGFR</w:t>
      </w:r>
      <w:proofErr w:type="spellEnd"/>
      <w:r w:rsidRPr="00F81610">
        <w:rPr>
          <w:lang w:val="en-US"/>
        </w:rPr>
        <w:t xml:space="preserve">) expression and PCNA Y211 phosphorylation are increased. Moreover, the resistance to EGFR TKI is a major clinical problem in treating EGFR-overexpressing triple-negative breast cancer (TNBC). Thus, effective treatment to combat resistance is urgently needed. Here, we show that treatment of </w:t>
      </w:r>
      <w:proofErr w:type="gramStart"/>
      <w:r w:rsidRPr="00F81610">
        <w:rPr>
          <w:lang w:val="en-US"/>
        </w:rPr>
        <w:t>cell-penetrating</w:t>
      </w:r>
      <w:proofErr w:type="gramEnd"/>
      <w:r w:rsidRPr="00F81610">
        <w:rPr>
          <w:lang w:val="en-US"/>
        </w:rPr>
        <w:t xml:space="preserve"> PCNA peptide (CPPP) inhibits growth and induces apoptosis of human TNBC cells.</w:t>
      </w:r>
    </w:p>
    <w:p w14:paraId="34488BA5" w14:textId="34268F24" w:rsidR="00605D2E" w:rsidRPr="0079579E" w:rsidRDefault="00F81610">
      <w:pPr>
        <w:rPr>
          <w:rFonts w:ascii="Times New Roman" w:eastAsia="Times New Roman" w:hAnsi="Times New Roman" w:cs="Times New Roman"/>
          <w:lang w:val="en-US" w:eastAsia="it-IT"/>
        </w:rPr>
      </w:pPr>
      <w:hyperlink r:id="rId7" w:history="1">
        <w:r w:rsidRPr="006F2A4A">
          <w:rPr>
            <w:rStyle w:val="Collegamentoipertestuale"/>
            <w:lang w:val="en-US"/>
          </w:rPr>
          <w:t>https://journals.plos.org/plosone/a</w:t>
        </w:r>
        <w:r w:rsidRPr="006F2A4A">
          <w:rPr>
            <w:rStyle w:val="Collegamentoipertestuale"/>
            <w:lang w:val="en-US"/>
          </w:rPr>
          <w:t>r</w:t>
        </w:r>
        <w:r w:rsidRPr="006F2A4A">
          <w:rPr>
            <w:rStyle w:val="Collegamentoipertestuale"/>
            <w:lang w:val="en-US"/>
          </w:rPr>
          <w:t>ticle?id=10.1371/journal.pone.0061362</w:t>
        </w:r>
      </w:hyperlink>
      <w:r>
        <w:rPr>
          <w:lang w:val="en-US"/>
        </w:rPr>
        <w:t xml:space="preserve"> </w:t>
      </w:r>
      <w:r w:rsidR="00397E99">
        <w:rPr>
          <w:lang w:val="en-US"/>
        </w:rPr>
        <w:t xml:space="preserve"> </w:t>
      </w:r>
    </w:p>
    <w:sectPr w:rsidR="00605D2E" w:rsidRPr="007957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8D"/>
    <w:rsid w:val="00027955"/>
    <w:rsid w:val="0023399E"/>
    <w:rsid w:val="00246375"/>
    <w:rsid w:val="00397E99"/>
    <w:rsid w:val="003D0BF8"/>
    <w:rsid w:val="0040238E"/>
    <w:rsid w:val="005143FF"/>
    <w:rsid w:val="005227BB"/>
    <w:rsid w:val="00605D2E"/>
    <w:rsid w:val="006F02EC"/>
    <w:rsid w:val="00731BFB"/>
    <w:rsid w:val="00775D3E"/>
    <w:rsid w:val="0079579E"/>
    <w:rsid w:val="00802C55"/>
    <w:rsid w:val="008234D9"/>
    <w:rsid w:val="00B428D4"/>
    <w:rsid w:val="00B62828"/>
    <w:rsid w:val="00D5758D"/>
    <w:rsid w:val="00D86877"/>
    <w:rsid w:val="00EC26E1"/>
    <w:rsid w:val="00EF7061"/>
    <w:rsid w:val="00F816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272D792"/>
  <w15:chartTrackingRefBased/>
  <w15:docId w15:val="{168F7644-0287-564B-894D-9E1AD587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79579E"/>
    <w:rPr>
      <w:color w:val="0563C1" w:themeColor="hyperlink"/>
      <w:u w:val="single"/>
    </w:rPr>
  </w:style>
  <w:style w:type="character" w:styleId="Menzionenonrisolta">
    <w:name w:val="Unresolved Mention"/>
    <w:basedOn w:val="Carpredefinitoparagrafo"/>
    <w:uiPriority w:val="99"/>
    <w:semiHidden/>
    <w:unhideWhenUsed/>
    <w:rsid w:val="0079579E"/>
    <w:rPr>
      <w:color w:val="605E5C"/>
      <w:shd w:val="clear" w:color="auto" w:fill="E1DFDD"/>
    </w:rPr>
  </w:style>
  <w:style w:type="character" w:styleId="Collegamentovisitato">
    <w:name w:val="FollowedHyperlink"/>
    <w:basedOn w:val="Carpredefinitoparagrafo"/>
    <w:uiPriority w:val="99"/>
    <w:semiHidden/>
    <w:unhideWhenUsed/>
    <w:rsid w:val="00D86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6047">
      <w:bodyDiv w:val="1"/>
      <w:marLeft w:val="0"/>
      <w:marRight w:val="0"/>
      <w:marTop w:val="0"/>
      <w:marBottom w:val="0"/>
      <w:divBdr>
        <w:top w:val="none" w:sz="0" w:space="0" w:color="auto"/>
        <w:left w:val="none" w:sz="0" w:space="0" w:color="auto"/>
        <w:bottom w:val="none" w:sz="0" w:space="0" w:color="auto"/>
        <w:right w:val="none" w:sz="0" w:space="0" w:color="auto"/>
      </w:divBdr>
    </w:div>
    <w:div w:id="277225341">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410852241">
      <w:bodyDiv w:val="1"/>
      <w:marLeft w:val="0"/>
      <w:marRight w:val="0"/>
      <w:marTop w:val="0"/>
      <w:marBottom w:val="0"/>
      <w:divBdr>
        <w:top w:val="none" w:sz="0" w:space="0" w:color="auto"/>
        <w:left w:val="none" w:sz="0" w:space="0" w:color="auto"/>
        <w:bottom w:val="none" w:sz="0" w:space="0" w:color="auto"/>
        <w:right w:val="none" w:sz="0" w:space="0" w:color="auto"/>
      </w:divBdr>
    </w:div>
    <w:div w:id="1047024084">
      <w:bodyDiv w:val="1"/>
      <w:marLeft w:val="0"/>
      <w:marRight w:val="0"/>
      <w:marTop w:val="0"/>
      <w:marBottom w:val="0"/>
      <w:divBdr>
        <w:top w:val="none" w:sz="0" w:space="0" w:color="auto"/>
        <w:left w:val="none" w:sz="0" w:space="0" w:color="auto"/>
        <w:bottom w:val="none" w:sz="0" w:space="0" w:color="auto"/>
        <w:right w:val="none" w:sz="0" w:space="0" w:color="auto"/>
      </w:divBdr>
    </w:div>
    <w:div w:id="1150291542">
      <w:bodyDiv w:val="1"/>
      <w:marLeft w:val="0"/>
      <w:marRight w:val="0"/>
      <w:marTop w:val="0"/>
      <w:marBottom w:val="0"/>
      <w:divBdr>
        <w:top w:val="none" w:sz="0" w:space="0" w:color="auto"/>
        <w:left w:val="none" w:sz="0" w:space="0" w:color="auto"/>
        <w:bottom w:val="none" w:sz="0" w:space="0" w:color="auto"/>
        <w:right w:val="none" w:sz="0" w:space="0" w:color="auto"/>
      </w:divBdr>
    </w:div>
    <w:div w:id="1532693497">
      <w:bodyDiv w:val="1"/>
      <w:marLeft w:val="0"/>
      <w:marRight w:val="0"/>
      <w:marTop w:val="0"/>
      <w:marBottom w:val="0"/>
      <w:divBdr>
        <w:top w:val="none" w:sz="0" w:space="0" w:color="auto"/>
        <w:left w:val="none" w:sz="0" w:space="0" w:color="auto"/>
        <w:bottom w:val="none" w:sz="0" w:space="0" w:color="auto"/>
        <w:right w:val="none" w:sz="0" w:space="0" w:color="auto"/>
      </w:divBdr>
    </w:div>
    <w:div w:id="1663122026">
      <w:bodyDiv w:val="1"/>
      <w:marLeft w:val="0"/>
      <w:marRight w:val="0"/>
      <w:marTop w:val="0"/>
      <w:marBottom w:val="0"/>
      <w:divBdr>
        <w:top w:val="none" w:sz="0" w:space="0" w:color="auto"/>
        <w:left w:val="none" w:sz="0" w:space="0" w:color="auto"/>
        <w:bottom w:val="none" w:sz="0" w:space="0" w:color="auto"/>
        <w:right w:val="none" w:sz="0" w:space="0" w:color="auto"/>
      </w:divBdr>
    </w:div>
    <w:div w:id="1782801470">
      <w:bodyDiv w:val="1"/>
      <w:marLeft w:val="0"/>
      <w:marRight w:val="0"/>
      <w:marTop w:val="0"/>
      <w:marBottom w:val="0"/>
      <w:divBdr>
        <w:top w:val="none" w:sz="0" w:space="0" w:color="auto"/>
        <w:left w:val="none" w:sz="0" w:space="0" w:color="auto"/>
        <w:bottom w:val="none" w:sz="0" w:space="0" w:color="auto"/>
        <w:right w:val="none" w:sz="0" w:space="0" w:color="auto"/>
      </w:divBdr>
    </w:div>
    <w:div w:id="20723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urnals.plos.org/plosone/article?id=10.1371/journal.pone.00613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1422-0067/21/4/1407" TargetMode="External"/><Relationship Id="rId5" Type="http://schemas.openxmlformats.org/officeDocument/2006/relationships/hyperlink" Target="https://www.nature.com/articles/s41598-021-94784-3" TargetMode="External"/><Relationship Id="rId4" Type="http://schemas.openxmlformats.org/officeDocument/2006/relationships/hyperlink" Target="https://pubmed.ncbi.nlm.nih.gov/30555458/" TargetMode="Externa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472</Words>
  <Characters>2695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Mainini (Student at CentraleSupelec)</dc:creator>
  <cp:keywords/>
  <dc:description/>
  <cp:lastModifiedBy>Luca Mainini (Student at CentraleSupelec)</cp:lastModifiedBy>
  <cp:revision>18</cp:revision>
  <dcterms:created xsi:type="dcterms:W3CDTF">2022-07-20T10:03:00Z</dcterms:created>
  <dcterms:modified xsi:type="dcterms:W3CDTF">2022-07-20T13:52:00Z</dcterms:modified>
</cp:coreProperties>
</file>