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0D9AE" w14:textId="7C1C5C0A" w:rsidR="002B47BC" w:rsidRPr="002B47BC" w:rsidRDefault="002B47BC" w:rsidP="002B47BC">
      <w:pPr>
        <w:jc w:val="center"/>
        <w:rPr>
          <w:rFonts w:ascii="Garamond" w:hAnsi="Garamond" w:cs="Arial"/>
          <w:b/>
          <w:bCs/>
          <w:sz w:val="40"/>
          <w:szCs w:val="40"/>
          <w:lang w:val="en-IN"/>
        </w:rPr>
      </w:pPr>
      <w:r w:rsidRPr="002B47BC">
        <w:rPr>
          <w:rFonts w:ascii="Garamond" w:hAnsi="Garamond" w:cs="Arial"/>
          <w:b/>
          <w:bCs/>
          <w:sz w:val="40"/>
          <w:szCs w:val="40"/>
          <w:lang w:val="en-IN"/>
        </w:rPr>
        <w:t>Advanced Machine Learning for Financial Audit: A Case Study on Wipro</w:t>
      </w:r>
    </w:p>
    <w:p w14:paraId="6703EC22" w14:textId="1C86C1F9" w:rsidR="002B47BC" w:rsidRDefault="002B47BC" w:rsidP="002B47BC">
      <w:pPr>
        <w:jc w:val="center"/>
        <w:rPr>
          <w:b/>
          <w:bCs/>
          <w:u w:val="single"/>
          <w:lang w:val="en-IN"/>
        </w:rPr>
      </w:pPr>
    </w:p>
    <w:p w14:paraId="78CC3D54" w14:textId="1354B67B" w:rsidR="002B47BC" w:rsidRPr="002B47BC" w:rsidRDefault="002B47BC" w:rsidP="002B47BC">
      <w:pPr>
        <w:rPr>
          <w:rFonts w:ascii="Garamond" w:hAnsi="Garamond"/>
          <w:b/>
          <w:bCs/>
          <w:sz w:val="28"/>
          <w:szCs w:val="28"/>
        </w:rPr>
      </w:pPr>
      <w:r w:rsidRPr="002B47BC">
        <w:rPr>
          <w:rFonts w:ascii="Garamond" w:hAnsi="Garamond"/>
          <w:b/>
          <w:bCs/>
          <w:sz w:val="28"/>
          <w:szCs w:val="28"/>
        </w:rPr>
        <w:t>Introduction</w:t>
      </w:r>
    </w:p>
    <w:p w14:paraId="76AF1CDB" w14:textId="77777777" w:rsidR="002B47BC" w:rsidRPr="002B47BC" w:rsidRDefault="002B47BC" w:rsidP="002B47BC">
      <w:pPr>
        <w:rPr>
          <w:rFonts w:ascii="Garamond" w:hAnsi="Garamond"/>
          <w:sz w:val="24"/>
          <w:szCs w:val="24"/>
        </w:rPr>
      </w:pPr>
      <w:r w:rsidRPr="002B47BC">
        <w:rPr>
          <w:rFonts w:ascii="Garamond" w:hAnsi="Garamond"/>
          <w:sz w:val="24"/>
          <w:szCs w:val="24"/>
        </w:rPr>
        <w:t>• Auditing is fundamentally driven by evidence gathering, risk assessment, and materiality considerations.</w:t>
      </w:r>
      <w:r w:rsidRPr="002B47BC">
        <w:rPr>
          <w:rFonts w:ascii="Garamond" w:hAnsi="Garamond"/>
          <w:sz w:val="24"/>
          <w:szCs w:val="24"/>
        </w:rPr>
        <w:br/>
        <w:t>• Traditional audit practices rely heavily on sampling, manual inspection, and periodic reviews.</w:t>
      </w:r>
      <w:r w:rsidRPr="002B47BC">
        <w:rPr>
          <w:rFonts w:ascii="Garamond" w:hAnsi="Garamond"/>
          <w:sz w:val="24"/>
          <w:szCs w:val="24"/>
        </w:rPr>
        <w:br/>
        <w:t>• Increased expectations for timely, data-driven, and risk-focused oversight challenge legacy audit methods.</w:t>
      </w:r>
    </w:p>
    <w:p w14:paraId="36F3028F" w14:textId="77777777" w:rsidR="002B47BC" w:rsidRPr="002B47BC" w:rsidRDefault="002B47BC" w:rsidP="002B47BC">
      <w:pPr>
        <w:rPr>
          <w:rFonts w:ascii="Garamond" w:hAnsi="Garamond"/>
          <w:sz w:val="24"/>
          <w:szCs w:val="24"/>
        </w:rPr>
      </w:pPr>
      <w:r w:rsidRPr="002B47BC">
        <w:rPr>
          <w:rFonts w:ascii="Garamond" w:hAnsi="Garamond"/>
          <w:sz w:val="24"/>
          <w:szCs w:val="24"/>
        </w:rPr>
        <w:t>• Machine learning offers full-population testing, continuous monitoring, and objective anomaly detection.</w:t>
      </w:r>
    </w:p>
    <w:p w14:paraId="33E954FE" w14:textId="1B0D15FE" w:rsidR="002B47BC" w:rsidRDefault="002B47BC" w:rsidP="002B47BC">
      <w:pPr>
        <w:rPr>
          <w:b/>
          <w:bCs/>
        </w:rPr>
      </w:pPr>
    </w:p>
    <w:p w14:paraId="6011674C" w14:textId="6AAF94A1" w:rsidR="002B47BC" w:rsidRDefault="002B47BC" w:rsidP="002B47BC">
      <w:pPr>
        <w:rPr>
          <w:rFonts w:ascii="Garamond" w:eastAsia="+mj-ea" w:hAnsi="Garamond" w:cs="+mj-cs"/>
          <w:b/>
          <w:bCs/>
          <w:color w:val="262626"/>
          <w:kern w:val="24"/>
          <w:sz w:val="28"/>
          <w:szCs w:val="28"/>
        </w:rPr>
      </w:pPr>
      <w:r w:rsidRPr="002B47BC">
        <w:rPr>
          <w:rFonts w:ascii="Garamond" w:eastAsia="+mj-ea" w:hAnsi="Garamond" w:cs="+mj-cs"/>
          <w:b/>
          <w:bCs/>
          <w:color w:val="262626"/>
          <w:kern w:val="24"/>
          <w:sz w:val="28"/>
          <w:szCs w:val="28"/>
        </w:rPr>
        <w:t>Key contributions of the study</w:t>
      </w:r>
    </w:p>
    <w:p w14:paraId="0A6973A3" w14:textId="77777777" w:rsidR="002B47BC" w:rsidRPr="002B47BC" w:rsidRDefault="002B47BC" w:rsidP="002B47BC">
      <w:pPr>
        <w:rPr>
          <w:rFonts w:ascii="Garamond" w:hAnsi="Garamond"/>
          <w:sz w:val="24"/>
          <w:szCs w:val="24"/>
        </w:rPr>
      </w:pPr>
      <w:r w:rsidRPr="002B47BC">
        <w:rPr>
          <w:rFonts w:ascii="Garamond" w:hAnsi="Garamond"/>
          <w:sz w:val="24"/>
          <w:szCs w:val="24"/>
        </w:rPr>
        <w:t>Multi-model unsupervised anomaly detection (Isolation Forest, Local Outlier Factor: LOF, One-Class Support Vector Machine: SVM)</w:t>
      </w:r>
      <w:r w:rsidRPr="002B47BC">
        <w:rPr>
          <w:rFonts w:ascii="Garamond" w:hAnsi="Garamond"/>
          <w:sz w:val="24"/>
          <w:szCs w:val="24"/>
        </w:rPr>
        <w:br/>
        <w:t>– Financial ratio engineering and volatility metrics for audit relevance.</w:t>
      </w:r>
      <w:r w:rsidRPr="002B47BC">
        <w:rPr>
          <w:rFonts w:ascii="Garamond" w:hAnsi="Garamond"/>
          <w:sz w:val="24"/>
          <w:szCs w:val="24"/>
        </w:rPr>
        <w:br/>
        <w:t>– Consensus scoring for anomaly prioritization and audit triage.</w:t>
      </w:r>
    </w:p>
    <w:p w14:paraId="0A85DD47" w14:textId="77777777" w:rsidR="002B47BC" w:rsidRPr="002B47BC" w:rsidRDefault="002B47BC" w:rsidP="002B47BC">
      <w:pPr>
        <w:rPr>
          <w:rFonts w:ascii="Garamond" w:hAnsi="Garamond"/>
          <w:sz w:val="24"/>
          <w:szCs w:val="24"/>
        </w:rPr>
      </w:pPr>
      <w:r w:rsidRPr="002B47BC">
        <w:rPr>
          <w:rFonts w:ascii="Garamond" w:hAnsi="Garamond"/>
          <w:sz w:val="24"/>
          <w:szCs w:val="24"/>
        </w:rPr>
        <w:br/>
        <w:t>• Objective is not to replace professional judgement, but to automate triage, highlight anomalies, and improve audit efficiency.</w:t>
      </w:r>
    </w:p>
    <w:p w14:paraId="6CE5D780" w14:textId="5057495E" w:rsidR="002B47BC" w:rsidRDefault="002B47BC" w:rsidP="002B47BC">
      <w:pPr>
        <w:rPr>
          <w:b/>
          <w:bCs/>
          <w:sz w:val="28"/>
          <w:szCs w:val="28"/>
        </w:rPr>
      </w:pPr>
    </w:p>
    <w:p w14:paraId="3FA67750" w14:textId="4784D2B2" w:rsidR="002B47BC" w:rsidRDefault="002B47BC" w:rsidP="002B47BC">
      <w:pPr>
        <w:rPr>
          <w:rFonts w:ascii="Garamond" w:hAnsi="Garamond"/>
          <w:b/>
          <w:bCs/>
          <w:sz w:val="28"/>
          <w:szCs w:val="28"/>
        </w:rPr>
      </w:pPr>
      <w:r w:rsidRPr="002B47BC">
        <w:rPr>
          <w:rFonts w:ascii="Garamond" w:hAnsi="Garamond"/>
          <w:b/>
          <w:bCs/>
          <w:sz w:val="28"/>
          <w:szCs w:val="28"/>
        </w:rPr>
        <w:t>Literature Review</w:t>
      </w:r>
    </w:p>
    <w:p w14:paraId="4D93D825" w14:textId="13C3F49A" w:rsidR="002B47BC" w:rsidRDefault="002B47BC" w:rsidP="002B47BC">
      <w:pPr>
        <w:rPr>
          <w:rFonts w:ascii="Garamond" w:hAnsi="Garamond"/>
          <w:sz w:val="24"/>
          <w:szCs w:val="24"/>
          <w:lang w:val="en-IN"/>
        </w:rPr>
      </w:pPr>
      <w:r w:rsidRPr="002B47BC">
        <w:rPr>
          <w:rFonts w:ascii="Garamond" w:hAnsi="Garamond"/>
          <w:sz w:val="24"/>
          <w:szCs w:val="24"/>
          <w:lang w:val="en-IN"/>
        </w:rPr>
        <w:t>• Anomaly detection techniques relevant to audit research:</w:t>
      </w:r>
      <w:r w:rsidRPr="002B47BC">
        <w:rPr>
          <w:rFonts w:ascii="Garamond" w:hAnsi="Garamond"/>
          <w:sz w:val="24"/>
          <w:szCs w:val="24"/>
          <w:lang w:val="en-IN"/>
        </w:rPr>
        <w:br/>
        <w:t>– Isolation Forest (Liu et al., 2008): efficient for high-dimensional tabular data; isolates rare events.</w:t>
      </w:r>
      <w:r w:rsidRPr="002B47BC">
        <w:rPr>
          <w:rFonts w:ascii="Garamond" w:hAnsi="Garamond"/>
          <w:sz w:val="24"/>
          <w:szCs w:val="24"/>
          <w:lang w:val="en-IN"/>
        </w:rPr>
        <w:br/>
        <w:t>– Local Outlier Factor (</w:t>
      </w:r>
      <w:proofErr w:type="spellStart"/>
      <w:r w:rsidRPr="002B47BC">
        <w:rPr>
          <w:rFonts w:ascii="Garamond" w:hAnsi="Garamond"/>
          <w:sz w:val="24"/>
          <w:szCs w:val="24"/>
          <w:lang w:val="en-IN"/>
        </w:rPr>
        <w:t>Breunig</w:t>
      </w:r>
      <w:proofErr w:type="spellEnd"/>
      <w:r w:rsidRPr="002B47BC">
        <w:rPr>
          <w:rFonts w:ascii="Garamond" w:hAnsi="Garamond"/>
          <w:sz w:val="24"/>
          <w:szCs w:val="24"/>
          <w:lang w:val="en-IN"/>
        </w:rPr>
        <w:t xml:space="preserve"> et al., 2000): detects deviations in local density; identifies contextual anomalies.</w:t>
      </w:r>
      <w:r w:rsidRPr="002B47BC">
        <w:rPr>
          <w:rFonts w:ascii="Garamond" w:hAnsi="Garamond"/>
          <w:sz w:val="24"/>
          <w:szCs w:val="24"/>
          <w:lang w:val="en-IN"/>
        </w:rPr>
        <w:br/>
        <w:t>– One-Class SVM (</w:t>
      </w:r>
      <w:proofErr w:type="spellStart"/>
      <w:r w:rsidRPr="002B47BC">
        <w:rPr>
          <w:rFonts w:ascii="Garamond" w:hAnsi="Garamond"/>
          <w:sz w:val="24"/>
          <w:szCs w:val="24"/>
          <w:lang w:val="en-IN"/>
        </w:rPr>
        <w:t>Schölkopf</w:t>
      </w:r>
      <w:proofErr w:type="spellEnd"/>
      <w:r w:rsidRPr="002B47BC">
        <w:rPr>
          <w:rFonts w:ascii="Garamond" w:hAnsi="Garamond"/>
          <w:sz w:val="24"/>
          <w:szCs w:val="24"/>
          <w:lang w:val="en-IN"/>
        </w:rPr>
        <w:t xml:space="preserve"> et al., 2001): boundary-based novelty detector for unlabelled data.</w:t>
      </w:r>
    </w:p>
    <w:p w14:paraId="5F8B7576" w14:textId="04260E95" w:rsidR="002B47BC" w:rsidRDefault="002B47BC" w:rsidP="002B47BC">
      <w:pPr>
        <w:rPr>
          <w:rFonts w:ascii="Garamond" w:hAnsi="Garamond"/>
          <w:sz w:val="24"/>
          <w:szCs w:val="24"/>
          <w:lang w:val="en-IN"/>
        </w:rPr>
      </w:pPr>
    </w:p>
    <w:p w14:paraId="430A0E05" w14:textId="45919D03" w:rsidR="002B47BC" w:rsidRDefault="002B47BC" w:rsidP="002B47BC">
      <w:pPr>
        <w:rPr>
          <w:rFonts w:ascii="Garamond" w:hAnsi="Garamond"/>
          <w:b/>
          <w:bCs/>
          <w:sz w:val="28"/>
          <w:szCs w:val="28"/>
        </w:rPr>
      </w:pPr>
      <w:r w:rsidRPr="002B47BC">
        <w:rPr>
          <w:rFonts w:ascii="Garamond" w:hAnsi="Garamond"/>
          <w:b/>
          <w:bCs/>
          <w:sz w:val="28"/>
          <w:szCs w:val="28"/>
        </w:rPr>
        <w:t>Proposed Methodology</w:t>
      </w:r>
    </w:p>
    <w:p w14:paraId="7E415FD1" w14:textId="427FCC61" w:rsidR="002B47BC" w:rsidRDefault="002B47BC" w:rsidP="002B47BC">
      <w:pPr>
        <w:rPr>
          <w:rFonts w:ascii="Garamond" w:hAnsi="Garamond"/>
          <w:sz w:val="24"/>
          <w:szCs w:val="24"/>
          <w:lang w:val="en-IN"/>
        </w:rPr>
      </w:pPr>
      <w:r w:rsidRPr="002B47BC">
        <w:rPr>
          <w:rFonts w:ascii="Garamond" w:hAnsi="Garamond"/>
          <w:sz w:val="24"/>
          <w:szCs w:val="24"/>
          <w:lang w:val="en-IN"/>
        </w:rPr>
        <w:t>• A multi-model unsupervised anomaly detection ensemble designed for audit analytics.</w:t>
      </w:r>
      <w:r w:rsidRPr="002B47BC">
        <w:rPr>
          <w:rFonts w:ascii="Garamond" w:hAnsi="Garamond"/>
          <w:sz w:val="24"/>
          <w:szCs w:val="24"/>
          <w:lang w:val="en-IN"/>
        </w:rPr>
        <w:br/>
        <w:t>• Core components:</w:t>
      </w:r>
      <w:r w:rsidRPr="002B47BC">
        <w:rPr>
          <w:rFonts w:ascii="Garamond" w:hAnsi="Garamond"/>
          <w:sz w:val="24"/>
          <w:szCs w:val="24"/>
          <w:lang w:val="en-IN"/>
        </w:rPr>
        <w:br/>
        <w:t>– Data acquisition from Wipro standalone balance sheets (FY 2021–2025)</w:t>
      </w:r>
      <w:r w:rsidRPr="002B47BC">
        <w:rPr>
          <w:rFonts w:ascii="Garamond" w:hAnsi="Garamond"/>
          <w:sz w:val="24"/>
          <w:szCs w:val="24"/>
          <w:lang w:val="en-IN"/>
        </w:rPr>
        <w:br/>
        <w:t xml:space="preserve">– Financial </w:t>
      </w:r>
      <w:proofErr w:type="spellStart"/>
      <w:r w:rsidRPr="002B47BC">
        <w:rPr>
          <w:rFonts w:ascii="Garamond" w:hAnsi="Garamond"/>
          <w:sz w:val="24"/>
          <w:szCs w:val="24"/>
          <w:lang w:val="en-IN"/>
        </w:rPr>
        <w:t>preprocessing</w:t>
      </w:r>
      <w:proofErr w:type="spellEnd"/>
      <w:r w:rsidRPr="002B47BC">
        <w:rPr>
          <w:rFonts w:ascii="Garamond" w:hAnsi="Garamond"/>
          <w:sz w:val="24"/>
          <w:szCs w:val="24"/>
          <w:lang w:val="en-IN"/>
        </w:rPr>
        <w:t xml:space="preserve"> (feature cleaning, ratio engineering, volatility metrics)</w:t>
      </w:r>
      <w:r w:rsidRPr="002B47BC">
        <w:rPr>
          <w:rFonts w:ascii="Garamond" w:hAnsi="Garamond"/>
          <w:sz w:val="24"/>
          <w:szCs w:val="24"/>
          <w:lang w:val="en-IN"/>
        </w:rPr>
        <w:br/>
        <w:t xml:space="preserve">– </w:t>
      </w:r>
      <w:proofErr w:type="gramStart"/>
      <w:r w:rsidRPr="002B47BC">
        <w:rPr>
          <w:rFonts w:ascii="Garamond" w:hAnsi="Garamond"/>
          <w:sz w:val="24"/>
          <w:szCs w:val="24"/>
          <w:lang w:val="en-IN"/>
        </w:rPr>
        <w:t>Multi-model</w:t>
      </w:r>
      <w:proofErr w:type="gramEnd"/>
      <w:r w:rsidRPr="002B47BC">
        <w:rPr>
          <w:rFonts w:ascii="Garamond" w:hAnsi="Garamond"/>
          <w:sz w:val="24"/>
          <w:szCs w:val="24"/>
          <w:lang w:val="en-IN"/>
        </w:rPr>
        <w:t xml:space="preserve"> detection using:</w:t>
      </w:r>
      <w:r w:rsidRPr="002B47BC">
        <w:rPr>
          <w:rFonts w:ascii="Garamond" w:hAnsi="Garamond"/>
          <w:sz w:val="24"/>
          <w:szCs w:val="24"/>
          <w:lang w:val="en-IN"/>
        </w:rPr>
        <w:br/>
        <w:t>1. Isolation Forest (global anomaly detection)</w:t>
      </w:r>
      <w:r w:rsidRPr="002B47BC">
        <w:rPr>
          <w:rFonts w:ascii="Garamond" w:hAnsi="Garamond"/>
          <w:sz w:val="24"/>
          <w:szCs w:val="24"/>
          <w:lang w:val="en-IN"/>
        </w:rPr>
        <w:br/>
      </w:r>
      <w:r w:rsidRPr="002B47BC">
        <w:rPr>
          <w:rFonts w:ascii="Garamond" w:hAnsi="Garamond"/>
          <w:sz w:val="24"/>
          <w:szCs w:val="24"/>
          <w:lang w:val="en-IN"/>
        </w:rPr>
        <w:lastRenderedPageBreak/>
        <w:t>2. Local Outlier Factor (local density deviation)</w:t>
      </w:r>
      <w:r w:rsidRPr="002B47BC">
        <w:rPr>
          <w:rFonts w:ascii="Garamond" w:hAnsi="Garamond"/>
          <w:sz w:val="24"/>
          <w:szCs w:val="24"/>
          <w:lang w:val="en-IN"/>
        </w:rPr>
        <w:br/>
        <w:t>3. One-Class SVM (boundary violation detection)</w:t>
      </w:r>
    </w:p>
    <w:p w14:paraId="3BD07410" w14:textId="470166F3" w:rsidR="002B47BC" w:rsidRDefault="002B47BC" w:rsidP="002B47BC">
      <w:pPr>
        <w:rPr>
          <w:rFonts w:ascii="Garamond" w:hAnsi="Garamond"/>
          <w:sz w:val="24"/>
          <w:szCs w:val="24"/>
          <w:lang w:val="en-IN"/>
        </w:rPr>
      </w:pPr>
    </w:p>
    <w:p w14:paraId="1BD749A7" w14:textId="1FA9B90D" w:rsidR="002B47BC" w:rsidRDefault="002B47BC" w:rsidP="002B47BC">
      <w:pPr>
        <w:rPr>
          <w:rFonts w:ascii="Garamond" w:hAnsi="Garamond"/>
          <w:b/>
          <w:bCs/>
          <w:sz w:val="28"/>
          <w:szCs w:val="28"/>
        </w:rPr>
      </w:pPr>
      <w:r w:rsidRPr="002B47BC">
        <w:rPr>
          <w:rFonts w:ascii="Garamond" w:hAnsi="Garamond"/>
          <w:b/>
          <w:bCs/>
          <w:sz w:val="28"/>
          <w:szCs w:val="28"/>
        </w:rPr>
        <w:t>Materials and Methods</w:t>
      </w:r>
    </w:p>
    <w:p w14:paraId="503104FB" w14:textId="77777777" w:rsidR="002B47BC" w:rsidRPr="002B47BC" w:rsidRDefault="002B47BC" w:rsidP="002B47BC">
      <w:pPr>
        <w:rPr>
          <w:rFonts w:ascii="Garamond" w:hAnsi="Garamond"/>
          <w:sz w:val="24"/>
          <w:szCs w:val="24"/>
        </w:rPr>
      </w:pPr>
      <w:r w:rsidRPr="002B47BC">
        <w:rPr>
          <w:rFonts w:ascii="Garamond" w:hAnsi="Garamond"/>
          <w:sz w:val="24"/>
          <w:szCs w:val="24"/>
          <w:lang w:val="en-IN"/>
        </w:rPr>
        <w:t>• Variables extracted include:</w:t>
      </w:r>
      <w:r w:rsidRPr="002B47BC">
        <w:rPr>
          <w:rFonts w:ascii="Garamond" w:hAnsi="Garamond"/>
          <w:sz w:val="24"/>
          <w:szCs w:val="24"/>
          <w:lang w:val="en-IN"/>
        </w:rPr>
        <w:br/>
        <w:t>– Total Assets, Total Liabilities, Current Assets, Current Liabilities, Trade Receivables, Equity Share Capital, Contingent Liabilities, Borrowings, Reserves &amp; Surplus</w:t>
      </w:r>
      <w:r w:rsidRPr="002B47BC">
        <w:rPr>
          <w:rFonts w:ascii="Garamond" w:hAnsi="Garamond"/>
          <w:sz w:val="24"/>
          <w:szCs w:val="24"/>
          <w:lang w:val="en-IN"/>
        </w:rPr>
        <w:br/>
        <w:t>• Data characteristics:</w:t>
      </w:r>
      <w:r w:rsidRPr="002B47BC">
        <w:rPr>
          <w:rFonts w:ascii="Garamond" w:hAnsi="Garamond"/>
          <w:sz w:val="24"/>
          <w:szCs w:val="24"/>
          <w:lang w:val="en-IN"/>
        </w:rPr>
        <w:br/>
        <w:t>– Annual frequency</w:t>
      </w:r>
      <w:r w:rsidRPr="002B47BC">
        <w:rPr>
          <w:rFonts w:ascii="Garamond" w:hAnsi="Garamond"/>
          <w:sz w:val="24"/>
          <w:szCs w:val="24"/>
          <w:lang w:val="en-IN"/>
        </w:rPr>
        <w:br/>
        <w:t>– Structured financial reporting format</w:t>
      </w:r>
      <w:r w:rsidRPr="002B47BC">
        <w:rPr>
          <w:rFonts w:ascii="Garamond" w:hAnsi="Garamond"/>
          <w:sz w:val="24"/>
          <w:szCs w:val="24"/>
          <w:lang w:val="en-IN"/>
        </w:rPr>
        <w:br/>
        <w:t>– No ground-truth anomaly labels (unsupervised setting)</w:t>
      </w:r>
    </w:p>
    <w:p w14:paraId="4D2CEA69" w14:textId="624717C0" w:rsidR="002B47BC" w:rsidRDefault="002B47BC" w:rsidP="002B47BC">
      <w:pPr>
        <w:rPr>
          <w:rFonts w:ascii="Garamond" w:hAnsi="Garamond"/>
          <w:b/>
          <w:bCs/>
          <w:sz w:val="28"/>
          <w:szCs w:val="28"/>
        </w:rPr>
      </w:pPr>
    </w:p>
    <w:p w14:paraId="5C67060D" w14:textId="760EA257" w:rsidR="002B47BC" w:rsidRDefault="002B47BC" w:rsidP="002B47BC">
      <w:pPr>
        <w:rPr>
          <w:rFonts w:ascii="Garamond" w:hAnsi="Garamond"/>
          <w:b/>
          <w:bCs/>
          <w:sz w:val="28"/>
          <w:szCs w:val="28"/>
          <w:lang w:val="en-IN"/>
        </w:rPr>
      </w:pPr>
      <w:r w:rsidRPr="002B47BC">
        <w:rPr>
          <w:rFonts w:ascii="Garamond" w:hAnsi="Garamond"/>
          <w:b/>
          <w:bCs/>
          <w:sz w:val="28"/>
          <w:szCs w:val="28"/>
          <w:lang w:val="en-IN"/>
        </w:rPr>
        <w:t>DATA PREPARATION</w:t>
      </w:r>
    </w:p>
    <w:p w14:paraId="63330BC7" w14:textId="77777777" w:rsidR="002B47BC" w:rsidRPr="002B47BC" w:rsidRDefault="002B47BC" w:rsidP="002B47BC">
      <w:pPr>
        <w:rPr>
          <w:rFonts w:ascii="Garamond" w:hAnsi="Garamond"/>
          <w:sz w:val="24"/>
          <w:szCs w:val="24"/>
        </w:rPr>
      </w:pPr>
      <w:r w:rsidRPr="002B47BC">
        <w:rPr>
          <w:rFonts w:ascii="Garamond" w:hAnsi="Garamond"/>
          <w:sz w:val="24"/>
          <w:szCs w:val="24"/>
        </w:rPr>
        <w:t>• Feature Engineering:</w:t>
      </w:r>
      <w:r w:rsidRPr="002B47BC">
        <w:rPr>
          <w:rFonts w:ascii="Garamond" w:hAnsi="Garamond"/>
          <w:sz w:val="24"/>
          <w:szCs w:val="24"/>
        </w:rPr>
        <w:br/>
        <w:t>– Debt-to-Asset Ratio = Total Liabilities / Total Assets</w:t>
      </w:r>
      <w:r w:rsidRPr="002B47BC">
        <w:rPr>
          <w:rFonts w:ascii="Garamond" w:hAnsi="Garamond"/>
          <w:sz w:val="24"/>
          <w:szCs w:val="24"/>
        </w:rPr>
        <w:br/>
        <w:t>– Current Ratio = Current Assets / Current Liabilities</w:t>
      </w:r>
      <w:r w:rsidRPr="002B47BC">
        <w:rPr>
          <w:rFonts w:ascii="Garamond" w:hAnsi="Garamond"/>
          <w:sz w:val="24"/>
          <w:szCs w:val="24"/>
        </w:rPr>
        <w:br/>
        <w:t>• Temporal dynamics engineered via:</w:t>
      </w:r>
      <w:r w:rsidRPr="002B47BC">
        <w:rPr>
          <w:rFonts w:ascii="Garamond" w:hAnsi="Garamond"/>
          <w:sz w:val="24"/>
          <w:szCs w:val="24"/>
        </w:rPr>
        <w:br/>
        <w:t>– Year-over-year percentage changes</w:t>
      </w:r>
      <w:r w:rsidRPr="002B47BC">
        <w:rPr>
          <w:rFonts w:ascii="Garamond" w:hAnsi="Garamond"/>
          <w:sz w:val="24"/>
          <w:szCs w:val="24"/>
        </w:rPr>
        <w:br/>
        <w:t>– Change deltas to capture volatility and proportional shifts</w:t>
      </w:r>
      <w:r w:rsidRPr="002B47BC">
        <w:rPr>
          <w:rFonts w:ascii="Garamond" w:hAnsi="Garamond"/>
          <w:sz w:val="24"/>
          <w:szCs w:val="24"/>
        </w:rPr>
        <w:br/>
        <w:t>• Normalization using Standard Scaler for model stability (due to scaling sensitivity of OC-SVM).</w:t>
      </w:r>
    </w:p>
    <w:p w14:paraId="2A76ED53" w14:textId="11C72B5B" w:rsidR="002B47BC" w:rsidRDefault="002B47BC" w:rsidP="002B47BC">
      <w:pPr>
        <w:rPr>
          <w:rFonts w:ascii="Garamond" w:hAnsi="Garamond"/>
          <w:b/>
          <w:bCs/>
          <w:sz w:val="28"/>
          <w:szCs w:val="28"/>
        </w:rPr>
      </w:pPr>
    </w:p>
    <w:p w14:paraId="20D6FAEE" w14:textId="0A8EABF0" w:rsidR="002B47BC" w:rsidRDefault="002B47BC" w:rsidP="002B47BC">
      <w:pPr>
        <w:rPr>
          <w:rFonts w:ascii="Garamond" w:hAnsi="Garamond"/>
          <w:b/>
          <w:bCs/>
          <w:sz w:val="28"/>
          <w:szCs w:val="28"/>
        </w:rPr>
      </w:pPr>
      <w:r w:rsidRPr="002B47BC">
        <w:rPr>
          <w:rFonts w:ascii="Garamond" w:hAnsi="Garamond"/>
          <w:b/>
          <w:bCs/>
          <w:sz w:val="28"/>
          <w:szCs w:val="28"/>
        </w:rPr>
        <w:t xml:space="preserve">Unsupervised Machine </w:t>
      </w:r>
      <w:proofErr w:type="gramStart"/>
      <w:r w:rsidRPr="002B47BC">
        <w:rPr>
          <w:rFonts w:ascii="Garamond" w:hAnsi="Garamond"/>
          <w:b/>
          <w:bCs/>
          <w:sz w:val="28"/>
          <w:szCs w:val="28"/>
        </w:rPr>
        <w:t>Learning(</w:t>
      </w:r>
      <w:proofErr w:type="gramEnd"/>
      <w:r w:rsidRPr="002B47BC">
        <w:rPr>
          <w:rFonts w:ascii="Garamond" w:hAnsi="Garamond"/>
          <w:b/>
          <w:bCs/>
          <w:sz w:val="28"/>
          <w:szCs w:val="28"/>
        </w:rPr>
        <w:t>ML) Models</w:t>
      </w:r>
    </w:p>
    <w:p w14:paraId="36BBA35C" w14:textId="77777777" w:rsidR="002B47BC" w:rsidRPr="002B47BC" w:rsidRDefault="002B47BC" w:rsidP="002B47BC">
      <w:pPr>
        <w:rPr>
          <w:rFonts w:ascii="Garamond" w:hAnsi="Garamond"/>
          <w:sz w:val="24"/>
          <w:szCs w:val="24"/>
        </w:rPr>
      </w:pPr>
      <w:r w:rsidRPr="002B47BC">
        <w:rPr>
          <w:rFonts w:ascii="Garamond" w:hAnsi="Garamond"/>
          <w:sz w:val="24"/>
          <w:szCs w:val="24"/>
          <w:lang w:val="en-IN"/>
        </w:rPr>
        <w:t>1. Isolation Forest (Global Deviations)</w:t>
      </w:r>
      <w:r w:rsidRPr="002B47BC">
        <w:rPr>
          <w:rFonts w:ascii="Garamond" w:hAnsi="Garamond"/>
          <w:sz w:val="24"/>
          <w:szCs w:val="24"/>
          <w:lang w:val="en-IN"/>
        </w:rPr>
        <w:br/>
        <w:t>• Concept: Trees isolate anomalies faster due to rarity and distinctiveness.</w:t>
      </w:r>
      <w:r w:rsidRPr="002B47BC">
        <w:rPr>
          <w:rFonts w:ascii="Garamond" w:hAnsi="Garamond"/>
          <w:sz w:val="24"/>
          <w:szCs w:val="24"/>
          <w:lang w:val="en-IN"/>
        </w:rPr>
        <w:br/>
        <w:t>• Strength: Detects distribution-level global irregularities.</w:t>
      </w:r>
      <w:r w:rsidRPr="002B47BC">
        <w:rPr>
          <w:rFonts w:ascii="Garamond" w:hAnsi="Garamond"/>
          <w:sz w:val="24"/>
          <w:szCs w:val="24"/>
          <w:lang w:val="en-IN"/>
        </w:rPr>
        <w:br/>
        <w:t>• Finding: Flagged FY2022 due to shifts in liabilities/borrowings.</w:t>
      </w:r>
    </w:p>
    <w:p w14:paraId="5776DC82" w14:textId="77777777" w:rsidR="002B47BC" w:rsidRPr="002B47BC" w:rsidRDefault="002B47BC" w:rsidP="002B47BC">
      <w:pPr>
        <w:rPr>
          <w:rFonts w:ascii="Garamond" w:hAnsi="Garamond"/>
          <w:sz w:val="24"/>
          <w:szCs w:val="24"/>
        </w:rPr>
      </w:pPr>
      <w:r w:rsidRPr="002B47BC">
        <w:rPr>
          <w:rFonts w:ascii="Garamond" w:hAnsi="Garamond"/>
          <w:sz w:val="24"/>
          <w:szCs w:val="24"/>
          <w:lang w:val="en-IN"/>
        </w:rPr>
        <w:br/>
        <w:t>2. One-Class SVM (Boundary-Based Deviations)</w:t>
      </w:r>
      <w:r w:rsidRPr="002B47BC">
        <w:rPr>
          <w:rFonts w:ascii="Garamond" w:hAnsi="Garamond"/>
          <w:sz w:val="24"/>
          <w:szCs w:val="24"/>
          <w:lang w:val="en-IN"/>
        </w:rPr>
        <w:br/>
        <w:t>• Concept: Learns hypersphere around “normal” data; points outside boundary are anomalies.</w:t>
      </w:r>
      <w:r w:rsidRPr="002B47BC">
        <w:rPr>
          <w:rFonts w:ascii="Garamond" w:hAnsi="Garamond"/>
          <w:sz w:val="24"/>
          <w:szCs w:val="24"/>
          <w:lang w:val="en-IN"/>
        </w:rPr>
        <w:br/>
        <w:t>• Strength: Captures nonlinear multivariate boundary violations.</w:t>
      </w:r>
      <w:r w:rsidRPr="002B47BC">
        <w:rPr>
          <w:rFonts w:ascii="Garamond" w:hAnsi="Garamond"/>
          <w:sz w:val="24"/>
          <w:szCs w:val="24"/>
          <w:lang w:val="en-IN"/>
        </w:rPr>
        <w:br/>
        <w:t>• Finding: Flagged FY2023 &amp; FY2025, driven by abnormal interactions in reserves, equity, and liquidity.</w:t>
      </w:r>
    </w:p>
    <w:p w14:paraId="1E66D2F5" w14:textId="13EF9199" w:rsidR="002B47BC" w:rsidRDefault="002B47BC" w:rsidP="002B47BC">
      <w:pPr>
        <w:rPr>
          <w:rFonts w:ascii="Garamond" w:hAnsi="Garamond"/>
          <w:sz w:val="24"/>
          <w:szCs w:val="24"/>
          <w:lang w:val="en-IN"/>
        </w:rPr>
      </w:pPr>
      <w:r w:rsidRPr="002B47BC">
        <w:rPr>
          <w:rFonts w:ascii="Garamond" w:hAnsi="Garamond"/>
          <w:sz w:val="24"/>
          <w:szCs w:val="24"/>
          <w:lang w:val="en-IN"/>
        </w:rPr>
        <w:t>3. Local Outlier Factor (Local Density Deviations)</w:t>
      </w:r>
      <w:r w:rsidRPr="002B47BC">
        <w:rPr>
          <w:rFonts w:ascii="Garamond" w:hAnsi="Garamond"/>
          <w:sz w:val="24"/>
          <w:szCs w:val="24"/>
          <w:lang w:val="en-IN"/>
        </w:rPr>
        <w:br/>
        <w:t>• Concept: Measures density relative to neighbours; sparse points are outliers.</w:t>
      </w:r>
      <w:r w:rsidRPr="002B47BC">
        <w:rPr>
          <w:rFonts w:ascii="Garamond" w:hAnsi="Garamond"/>
          <w:sz w:val="24"/>
          <w:szCs w:val="24"/>
          <w:lang w:val="en-IN"/>
        </w:rPr>
        <w:br/>
        <w:t>• Strength: Detects local/contextual anomalies across adjacent fiscal periods.</w:t>
      </w:r>
      <w:r w:rsidRPr="002B47BC">
        <w:rPr>
          <w:rFonts w:ascii="Garamond" w:hAnsi="Garamond"/>
          <w:sz w:val="24"/>
          <w:szCs w:val="24"/>
          <w:lang w:val="en-IN"/>
        </w:rPr>
        <w:br/>
        <w:t>• Finding: Flagged FY2022, indicating local liquidity/classification inconsistency.</w:t>
      </w:r>
    </w:p>
    <w:p w14:paraId="68B1571F" w14:textId="76683778" w:rsidR="002B47BC" w:rsidRDefault="002B47BC" w:rsidP="002B47BC">
      <w:pPr>
        <w:rPr>
          <w:rFonts w:ascii="Garamond" w:hAnsi="Garamond"/>
          <w:sz w:val="24"/>
          <w:szCs w:val="24"/>
          <w:lang w:val="en-IN"/>
        </w:rPr>
      </w:pPr>
    </w:p>
    <w:p w14:paraId="48269F7E" w14:textId="77777777" w:rsidR="002B47BC" w:rsidRDefault="002B47BC" w:rsidP="002B47BC">
      <w:pPr>
        <w:rPr>
          <w:rFonts w:ascii="Garamond" w:hAnsi="Garamond"/>
          <w:b/>
          <w:bCs/>
          <w:sz w:val="28"/>
          <w:szCs w:val="28"/>
        </w:rPr>
      </w:pPr>
    </w:p>
    <w:p w14:paraId="1724F66D" w14:textId="759DF756" w:rsidR="002B47BC" w:rsidRDefault="002B47BC" w:rsidP="002B47BC">
      <w:pPr>
        <w:rPr>
          <w:rFonts w:ascii="Garamond" w:hAnsi="Garamond"/>
          <w:b/>
          <w:bCs/>
          <w:sz w:val="28"/>
          <w:szCs w:val="28"/>
        </w:rPr>
      </w:pPr>
      <w:r w:rsidRPr="002B47BC">
        <w:rPr>
          <w:rFonts w:ascii="Garamond" w:hAnsi="Garamond"/>
          <w:b/>
          <w:bCs/>
          <w:sz w:val="28"/>
          <w:szCs w:val="28"/>
        </w:rPr>
        <w:lastRenderedPageBreak/>
        <w:t>Results and Discussion</w:t>
      </w:r>
    </w:p>
    <w:p w14:paraId="328349EE" w14:textId="77777777" w:rsidR="002B47BC" w:rsidRPr="002B47BC" w:rsidRDefault="002B47BC" w:rsidP="002B47BC">
      <w:pPr>
        <w:rPr>
          <w:rFonts w:ascii="Garamond" w:hAnsi="Garamond"/>
          <w:sz w:val="24"/>
          <w:szCs w:val="24"/>
        </w:rPr>
      </w:pPr>
      <w:r w:rsidRPr="002B47BC">
        <w:rPr>
          <w:rFonts w:ascii="Garamond" w:hAnsi="Garamond"/>
          <w:sz w:val="24"/>
          <w:szCs w:val="24"/>
          <w:lang w:val="en-IN"/>
        </w:rPr>
        <w:t>• Isolation Forest results: Detected 1 anomaly (FY2022)</w:t>
      </w:r>
      <w:r w:rsidRPr="002B47BC">
        <w:rPr>
          <w:rFonts w:ascii="Garamond" w:hAnsi="Garamond"/>
          <w:sz w:val="24"/>
          <w:szCs w:val="24"/>
          <w:lang w:val="en-IN"/>
        </w:rPr>
        <w:br/>
        <w:t>– Suggests global distributional deviation</w:t>
      </w:r>
      <w:r w:rsidRPr="002B47BC">
        <w:rPr>
          <w:rFonts w:ascii="Garamond" w:hAnsi="Garamond"/>
          <w:sz w:val="24"/>
          <w:szCs w:val="24"/>
          <w:lang w:val="en-IN"/>
        </w:rPr>
        <w:br/>
        <w:t>• One-Class SVM results: Detected 2 anomalies (FY2023, FY2025)</w:t>
      </w:r>
      <w:r w:rsidRPr="002B47BC">
        <w:rPr>
          <w:rFonts w:ascii="Garamond" w:hAnsi="Garamond"/>
          <w:sz w:val="24"/>
          <w:szCs w:val="24"/>
          <w:lang w:val="en-IN"/>
        </w:rPr>
        <w:br/>
        <w:t>– Suggests nonlinear structural boundary shifts</w:t>
      </w:r>
      <w:r w:rsidRPr="002B47BC">
        <w:rPr>
          <w:rFonts w:ascii="Garamond" w:hAnsi="Garamond"/>
          <w:sz w:val="24"/>
          <w:szCs w:val="24"/>
          <w:lang w:val="en-IN"/>
        </w:rPr>
        <w:br/>
        <w:t>• LOF results: Detected 1 anomaly (FY2022)</w:t>
      </w:r>
      <w:r w:rsidRPr="002B47BC">
        <w:rPr>
          <w:rFonts w:ascii="Garamond" w:hAnsi="Garamond"/>
          <w:sz w:val="24"/>
          <w:szCs w:val="24"/>
          <w:lang w:val="en-IN"/>
        </w:rPr>
        <w:br/>
        <w:t>– Suggests local contextual deviation</w:t>
      </w:r>
      <w:r w:rsidRPr="002B47BC">
        <w:rPr>
          <w:rFonts w:ascii="Garamond" w:hAnsi="Garamond"/>
          <w:sz w:val="24"/>
          <w:szCs w:val="24"/>
          <w:lang w:val="en-IN"/>
        </w:rPr>
        <w:br/>
        <w:t>• Cross-model agreement summary:</w:t>
      </w:r>
      <w:r w:rsidRPr="002B47BC">
        <w:rPr>
          <w:rFonts w:ascii="Garamond" w:hAnsi="Garamond"/>
          <w:sz w:val="24"/>
          <w:szCs w:val="24"/>
          <w:lang w:val="en-IN"/>
        </w:rPr>
        <w:br/>
        <w:t>– FY2022 confirmed by LOF + IF (strong anomaly consensus)</w:t>
      </w:r>
      <w:r w:rsidRPr="002B47BC">
        <w:rPr>
          <w:rFonts w:ascii="Garamond" w:hAnsi="Garamond"/>
          <w:sz w:val="24"/>
          <w:szCs w:val="24"/>
          <w:lang w:val="en-IN"/>
        </w:rPr>
        <w:br/>
        <w:t>– FY2023, FY2025 flagged only by OC-SVM (marginal anomalies)</w:t>
      </w:r>
      <w:r w:rsidRPr="002B47BC">
        <w:rPr>
          <w:rFonts w:ascii="Garamond" w:hAnsi="Garamond"/>
          <w:sz w:val="24"/>
          <w:szCs w:val="24"/>
          <w:lang w:val="en-IN"/>
        </w:rPr>
        <w:br/>
        <w:t>• Stable years:</w:t>
      </w:r>
      <w:r w:rsidRPr="002B47BC">
        <w:rPr>
          <w:rFonts w:ascii="Garamond" w:hAnsi="Garamond"/>
          <w:sz w:val="24"/>
          <w:szCs w:val="24"/>
          <w:lang w:val="en-IN"/>
        </w:rPr>
        <w:br/>
        <w:t>– FY2021, FY2024 consistently normal across models</w:t>
      </w:r>
    </w:p>
    <w:p w14:paraId="45FF7E52" w14:textId="6E4D9748" w:rsidR="002B47BC" w:rsidRDefault="002B47BC" w:rsidP="002B47BC">
      <w:pPr>
        <w:rPr>
          <w:rFonts w:ascii="Garamond" w:hAnsi="Garamond"/>
          <w:b/>
          <w:bCs/>
          <w:sz w:val="28"/>
          <w:szCs w:val="28"/>
        </w:rPr>
      </w:pPr>
    </w:p>
    <w:p w14:paraId="31B1A5F6" w14:textId="413C3E97" w:rsidR="002B47BC" w:rsidRDefault="002B47BC" w:rsidP="002B47BC">
      <w:pPr>
        <w:rPr>
          <w:rFonts w:ascii="Garamond" w:hAnsi="Garamond"/>
          <w:b/>
          <w:bCs/>
          <w:sz w:val="28"/>
          <w:szCs w:val="28"/>
        </w:rPr>
      </w:pPr>
      <w:r w:rsidRPr="002B47BC">
        <w:rPr>
          <w:rFonts w:ascii="Garamond" w:hAnsi="Garamond"/>
          <w:b/>
          <w:bCs/>
          <w:sz w:val="28"/>
          <w:szCs w:val="28"/>
        </w:rPr>
        <w:t>Validation</w:t>
      </w:r>
    </w:p>
    <w:p w14:paraId="3F39FC33" w14:textId="1FCB67F3" w:rsidR="002B47BC" w:rsidRDefault="002B47BC" w:rsidP="002B47BC">
      <w:pPr>
        <w:rPr>
          <w:rFonts w:ascii="Garamond" w:hAnsi="Garamond"/>
          <w:sz w:val="24"/>
          <w:szCs w:val="24"/>
          <w:lang w:val="en-IN"/>
        </w:rPr>
      </w:pPr>
      <w:r w:rsidRPr="002B47BC">
        <w:rPr>
          <w:rFonts w:ascii="Garamond" w:hAnsi="Garamond"/>
          <w:sz w:val="24"/>
          <w:szCs w:val="24"/>
          <w:lang w:val="en-IN"/>
        </w:rPr>
        <w:t>• Consensus severity index computed by performing weighted average model outputs.</w:t>
      </w:r>
      <w:r w:rsidRPr="002B47BC">
        <w:rPr>
          <w:rFonts w:ascii="Garamond" w:hAnsi="Garamond"/>
          <w:sz w:val="24"/>
          <w:szCs w:val="24"/>
          <w:lang w:val="en-IN"/>
        </w:rPr>
        <w:br/>
        <w:t>• Severity ranking outcome:</w:t>
      </w:r>
      <w:r w:rsidRPr="002B47BC">
        <w:rPr>
          <w:rFonts w:ascii="Garamond" w:hAnsi="Garamond"/>
          <w:sz w:val="24"/>
          <w:szCs w:val="24"/>
          <w:lang w:val="en-IN"/>
        </w:rPr>
        <w:br/>
        <w:t>– Highest severity: FY2022</w:t>
      </w:r>
      <w:r w:rsidRPr="002B47BC">
        <w:rPr>
          <w:rFonts w:ascii="Garamond" w:hAnsi="Garamond"/>
          <w:sz w:val="24"/>
          <w:szCs w:val="24"/>
          <w:lang w:val="en-IN"/>
        </w:rPr>
        <w:br/>
        <w:t>– Moderate severity: FY2023</w:t>
      </w:r>
      <w:r w:rsidRPr="002B47BC">
        <w:rPr>
          <w:rFonts w:ascii="Garamond" w:hAnsi="Garamond"/>
          <w:sz w:val="24"/>
          <w:szCs w:val="24"/>
          <w:lang w:val="en-IN"/>
        </w:rPr>
        <w:br/>
        <w:t>– Lowest severity: FY2025</w:t>
      </w:r>
      <w:r w:rsidRPr="002B47BC">
        <w:rPr>
          <w:rFonts w:ascii="Garamond" w:hAnsi="Garamond"/>
          <w:sz w:val="24"/>
          <w:szCs w:val="24"/>
          <w:lang w:val="en-IN"/>
        </w:rPr>
        <w:br/>
        <w:t>• Synthetic anomaly injection experiment:</w:t>
      </w:r>
      <w:r w:rsidRPr="002B47BC">
        <w:rPr>
          <w:rFonts w:ascii="Garamond" w:hAnsi="Garamond"/>
          <w:sz w:val="24"/>
          <w:szCs w:val="24"/>
          <w:lang w:val="en-IN"/>
        </w:rPr>
        <w:br/>
        <w:t>– ±20–30% shocks introduced into Total Assets</w:t>
      </w:r>
      <w:r w:rsidRPr="002B47BC">
        <w:rPr>
          <w:rFonts w:ascii="Garamond" w:hAnsi="Garamond"/>
          <w:sz w:val="24"/>
          <w:szCs w:val="24"/>
          <w:lang w:val="en-IN"/>
        </w:rPr>
        <w:br/>
        <w:t>– Models successfully assigned higher anomaly scores to injected data</w:t>
      </w:r>
      <w:r w:rsidRPr="002B47BC">
        <w:rPr>
          <w:rFonts w:ascii="Garamond" w:hAnsi="Garamond"/>
          <w:sz w:val="24"/>
          <w:szCs w:val="24"/>
          <w:lang w:val="en-IN"/>
        </w:rPr>
        <w:br/>
        <w:t>– Confirms sensitivity to economically meaningful disturbances</w:t>
      </w:r>
      <w:r w:rsidRPr="002B47BC">
        <w:rPr>
          <w:rFonts w:ascii="Garamond" w:hAnsi="Garamond"/>
          <w:sz w:val="24"/>
          <w:szCs w:val="24"/>
          <w:lang w:val="en-IN"/>
        </w:rPr>
        <w:br/>
        <w:t>• Baseline comparison:</w:t>
      </w:r>
      <w:r w:rsidRPr="002B47BC">
        <w:rPr>
          <w:rFonts w:ascii="Garamond" w:hAnsi="Garamond"/>
          <w:sz w:val="24"/>
          <w:szCs w:val="24"/>
          <w:lang w:val="en-IN"/>
        </w:rPr>
        <w:br/>
        <w:t>– Z-Score (|z|&gt;3) flagged 0 anomalies</w:t>
      </w:r>
      <w:r w:rsidRPr="002B47BC">
        <w:rPr>
          <w:rFonts w:ascii="Garamond" w:hAnsi="Garamond"/>
          <w:sz w:val="24"/>
          <w:szCs w:val="24"/>
          <w:lang w:val="en-IN"/>
        </w:rPr>
        <w:br/>
        <w:t>– ML models flagged meaningful multivariate anomalies</w:t>
      </w:r>
    </w:p>
    <w:p w14:paraId="595F85FB" w14:textId="40A3CA92" w:rsidR="002B47BC" w:rsidRDefault="002B47BC" w:rsidP="002B47BC">
      <w:pPr>
        <w:rPr>
          <w:rFonts w:ascii="Garamond" w:hAnsi="Garamond"/>
          <w:sz w:val="24"/>
          <w:szCs w:val="24"/>
          <w:lang w:val="en-IN"/>
        </w:rPr>
      </w:pPr>
    </w:p>
    <w:p w14:paraId="669F1B74" w14:textId="2870D093" w:rsidR="002B47BC" w:rsidRDefault="002B47BC" w:rsidP="002B47BC">
      <w:pPr>
        <w:rPr>
          <w:rFonts w:ascii="Garamond" w:hAnsi="Garamond"/>
          <w:b/>
          <w:bCs/>
          <w:sz w:val="28"/>
          <w:szCs w:val="28"/>
        </w:rPr>
      </w:pPr>
      <w:r w:rsidRPr="002B47BC">
        <w:rPr>
          <w:rFonts w:ascii="Garamond" w:hAnsi="Garamond"/>
          <w:b/>
          <w:bCs/>
          <w:sz w:val="28"/>
          <w:szCs w:val="28"/>
        </w:rPr>
        <w:t>Conclusion</w:t>
      </w:r>
    </w:p>
    <w:p w14:paraId="3E012A14" w14:textId="77777777" w:rsidR="002B47BC" w:rsidRPr="002B47BC" w:rsidRDefault="002B47BC" w:rsidP="002B47BC">
      <w:pPr>
        <w:rPr>
          <w:rFonts w:ascii="Garamond" w:hAnsi="Garamond"/>
          <w:sz w:val="24"/>
          <w:szCs w:val="24"/>
        </w:rPr>
      </w:pPr>
      <w:r w:rsidRPr="002B47BC">
        <w:rPr>
          <w:rFonts w:ascii="Garamond" w:hAnsi="Garamond"/>
          <w:sz w:val="24"/>
          <w:szCs w:val="24"/>
        </w:rPr>
        <w:t>• Multi-model unsupervised learning provides audit-relevant anomaly insights beyond traditional variance analysis.</w:t>
      </w:r>
      <w:r w:rsidRPr="002B47BC">
        <w:rPr>
          <w:rFonts w:ascii="Garamond" w:hAnsi="Garamond"/>
          <w:sz w:val="24"/>
          <w:szCs w:val="24"/>
        </w:rPr>
        <w:br/>
        <w:t>• FY2022 emerges as principal anomaly year under multi-model agreement.</w:t>
      </w:r>
      <w:r w:rsidRPr="002B47BC">
        <w:rPr>
          <w:rFonts w:ascii="Garamond" w:hAnsi="Garamond"/>
          <w:sz w:val="24"/>
          <w:szCs w:val="24"/>
        </w:rPr>
        <w:br/>
        <w:t>• Demonstrated benefits for audit practice:</w:t>
      </w:r>
      <w:r w:rsidRPr="002B47BC">
        <w:rPr>
          <w:rFonts w:ascii="Garamond" w:hAnsi="Garamond"/>
          <w:sz w:val="24"/>
          <w:szCs w:val="24"/>
        </w:rPr>
        <w:br/>
        <w:t>– Full-population testing</w:t>
      </w:r>
      <w:r w:rsidRPr="002B47BC">
        <w:rPr>
          <w:rFonts w:ascii="Garamond" w:hAnsi="Garamond"/>
          <w:sz w:val="24"/>
          <w:szCs w:val="24"/>
        </w:rPr>
        <w:br/>
        <w:t>– Efficient audit triage and prioritization</w:t>
      </w:r>
      <w:r w:rsidRPr="002B47BC">
        <w:rPr>
          <w:rFonts w:ascii="Garamond" w:hAnsi="Garamond"/>
          <w:sz w:val="24"/>
          <w:szCs w:val="24"/>
        </w:rPr>
        <w:br/>
        <w:t>• Detected anomalies represent risk signals, not confirmed misstatements.</w:t>
      </w:r>
    </w:p>
    <w:p w14:paraId="4DB812A3" w14:textId="77777777" w:rsidR="002B47BC" w:rsidRPr="002B47BC" w:rsidRDefault="002B47BC" w:rsidP="002B47BC">
      <w:pPr>
        <w:rPr>
          <w:rFonts w:ascii="Garamond" w:hAnsi="Garamond"/>
          <w:sz w:val="24"/>
          <w:szCs w:val="24"/>
        </w:rPr>
      </w:pPr>
      <w:r w:rsidRPr="002B47BC">
        <w:rPr>
          <w:rFonts w:ascii="Garamond" w:hAnsi="Garamond"/>
          <w:sz w:val="24"/>
          <w:szCs w:val="24"/>
        </w:rPr>
        <w:t>• Machine learning complements but does not replace auditor judgment.</w:t>
      </w:r>
    </w:p>
    <w:p w14:paraId="0AFE6F26" w14:textId="77777777" w:rsidR="002B47BC" w:rsidRPr="002B47BC" w:rsidRDefault="002B47BC" w:rsidP="002B47BC">
      <w:pPr>
        <w:rPr>
          <w:rFonts w:ascii="Garamond" w:hAnsi="Garamond"/>
          <w:b/>
          <w:bCs/>
          <w:sz w:val="28"/>
          <w:szCs w:val="28"/>
        </w:rPr>
      </w:pPr>
    </w:p>
    <w:sectPr w:rsidR="002B47BC" w:rsidRPr="002B47B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+mj-ea">
    <w:panose1 w:val="00000000000000000000"/>
    <w:charset w:val="00"/>
    <w:family w:val="roman"/>
    <w:notTrueType/>
    <w:pitch w:val="default"/>
  </w:font>
  <w:font w:name="+mj-c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BC"/>
    <w:rsid w:val="002B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35E95"/>
  <w15:chartTrackingRefBased/>
  <w15:docId w15:val="{375D8FAB-151D-4CCA-AB0C-628F6138F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Aigul</dc:creator>
  <cp:keywords/>
  <dc:description/>
  <cp:lastModifiedBy>Aigul</cp:lastModifiedBy>
  <cp:revision>1</cp:revision>
  <dcterms:created xsi:type="dcterms:W3CDTF">2026-01-14T16:27:00Z</dcterms:created>
  <dcterms:modified xsi:type="dcterms:W3CDTF">2026-01-14T16:35:00Z</dcterms:modified>
</cp:coreProperties>
</file>