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TÜRKKEP A.Ş.</w:t>
      </w:r>
    </w:p>
    <w:p>
      <w:pPr>
        <w:jc w:val="center"/>
      </w:pPr>
      <w:r>
        <w:rPr>
          <w:b/>
          <w:color w:val="003366"/>
          <w:sz w:val="28"/>
        </w:rPr>
        <w:t>Kimlik Doğrulama Yönetmeliği Değişiklik Taslağı</w:t>
        <w:br/>
        <w:t>Soru ve Görüşler</w:t>
      </w:r>
    </w:p>
    <w:p>
      <w:pPr>
        <w:jc w:val="center"/>
      </w:pPr>
      <w:r>
        <w:rPr>
          <w:color w:val="646464"/>
          <w:sz w:val="20"/>
        </w:rPr>
        <w:t>BTK Karar No: 2026/İK-THD/67  |  Tarih: 31.03.2026</w:t>
      </w:r>
    </w:p>
    <w:p/>
    <w:p>
      <w:pPr>
        <w:pStyle w:val="Heading1"/>
      </w:pPr>
      <w:r>
        <w:t>1. Referans Düzenlemeler</w:t>
      </w:r>
    </w:p>
    <w:p>
      <w:r>
        <w:rPr>
          <w:sz w:val="22"/>
        </w:rPr>
        <w:t>Bu doküman, BTK'nın 06.03.2026 tarihli ve 2026/İK-THD/67 sayılı Kararı ile kamuoyu görüşüne açılan aşağıdaki taslak düzenlemelere ilişkin TÜRKKEP A.Ş. soru ve görüşlerini içermektedir:</w:t>
      </w:r>
    </w:p>
    <w:p>
      <w:pPr>
        <w:pStyle w:val="ListBullet"/>
      </w:pPr>
      <w:r>
        <w:t>Elektronik Haberleşme Sektöründe Başvuru Sahibinin Kimliğinin Doğrulanma Süreci Hakkında Yönetmeliğinde (KDY) Değişiklik Yapılmasına Dair Yönetmelik</w:t>
      </w:r>
    </w:p>
    <w:p>
      <w:pPr>
        <w:pStyle w:val="ListBullet"/>
      </w:pPr>
      <w:r>
        <w:t>Elektronik Haberleşme Sektörüne İlişkin Tüketici Hakları Yönetmeliğinde (THY) Değişiklik Yapılmasına Dair Yönetmelik</w:t>
      </w:r>
    </w:p>
    <w:p>
      <w:pPr>
        <w:pStyle w:val="ListBullet"/>
      </w:pPr>
      <w:r>
        <w:t>2009/DK-10/552 sayılı Kurul Kararında Değişiklik Yapılmasına Dair Karar</w:t>
      </w:r>
    </w:p>
    <w:p>
      <w:pPr>
        <w:pStyle w:val="ListBullet"/>
      </w:pPr>
      <w:r>
        <w:t>2018/DK-BSD/314 sayılı Kurul Kararında Değişiklik Yapılmasına Dair Karar</w:t>
      </w:r>
    </w:p>
    <w:p>
      <w:pPr>
        <w:pStyle w:val="ListBullet"/>
      </w:pPr>
      <w:r>
        <w:t>Elektronik Haberleşme Kanununun Geçici Madde 8'inin Uygulanmasına İlişkin Usul ve Esaslar</w:t>
      </w:r>
    </w:p>
    <w:p>
      <w:pPr>
        <w:pStyle w:val="Heading1"/>
      </w:pPr>
      <w:r>
        <w:t>2. Taslağın Geneli Üzerindeki Görüş</w:t>
      </w:r>
    </w:p>
    <w:p>
      <w:r>
        <w:rPr>
          <w:sz w:val="22"/>
        </w:rPr>
        <w:t>TÜRKKEP A.Ş. olarak kimlik doğrulama süreçlerinin güçlendirilmesine yönelik düzenleme çalışmalarını olumlu karşılıyoruz. Ancak, aşağıda detaylandırılan hususların netleştirilmesinin uygulama etkinliği açısından kritik olduğunu değerlendirmekteyiz.</w:t>
      </w:r>
    </w:p>
    <w:p>
      <w:pPr>
        <w:pStyle w:val="Heading1"/>
      </w:pPr>
      <w:r>
        <w:t>3. Madde Bazlı Soru ve Görüşler</w:t>
      </w:r>
    </w:p>
    <w:p>
      <w:pPr>
        <w:pStyle w:val="Heading2"/>
      </w:pPr>
      <w:r>
        <w:t>3.1  Madde 3 / 6. Madde (d) bendi — e-Devlet Kapısı Erişim Kanalları</w:t>
      </w:r>
    </w:p>
    <w:p>
      <w:r>
        <w:rPr>
          <w:b/>
          <w:sz w:val="20"/>
        </w:rPr>
        <w:t xml:space="preserve">Taslak Metinden: </w:t>
      </w:r>
      <w:r>
        <w:rPr>
          <w:i/>
          <w:color w:val="505050"/>
          <w:sz w:val="20"/>
        </w:rPr>
        <w:t>"YAKB'lerin e-Devlet Kapısı mobil uygulaması vasıtasıyla yakın alan iletişimi ile doğrulama yapılması kaydıyla e-Devlet şifresi"</w:t>
      </w:r>
    </w:p>
    <w:p>
      <w:r>
        <w:rPr>
          <w:b/>
        </w:rPr>
        <w:t xml:space="preserve">Görüş: </w:t>
      </w:r>
      <w:r>
        <w:t>Taslak metinde yalnızca e-Devlet Kapısı mobil uygulaması tarif edilmiştir. e-Devlet Kapısı web uygulaması üzerinden kimlik doğrulama ihtiyacı da bulunmaktadır.</w:t>
      </w:r>
    </w:p>
    <w:p>
      <w:r>
        <w:rPr>
          <w:b/>
        </w:rPr>
        <w:t>Sorularımız:</w:t>
      </w:r>
    </w:p>
    <w:p>
      <w:pPr>
        <w:pStyle w:val="ListBullet"/>
      </w:pPr>
      <w:r>
        <w:t>e-Devlet Kapısı web uygulaması üzerinden YAKB doğrulaması yapılabilecek midir?</w:t>
      </w:r>
    </w:p>
    <w:p>
      <w:pPr>
        <w:pStyle w:val="ListBullet"/>
      </w:pPr>
      <w:r>
        <w:t>Web kanalında kayıtlı cihaz + mobil onay, karekod ile giriş gibi alternatif doğrulama yöntemleri kullanılabilecek midir?</w:t>
      </w:r>
    </w:p>
    <w:p>
      <w:pPr>
        <w:pStyle w:val="ListBullet"/>
      </w:pPr>
      <w:r>
        <w:t>Kimlik kartı seri numarası + kayıtlı telefona SMS onay kodu yöntemi web ve mobil kanalların her ikisinde de geçerli olacak mıdır?</w:t>
      </w:r>
    </w:p>
    <w:p>
      <w:r>
        <w:rPr>
          <w:b/>
          <w:color w:val="006400"/>
        </w:rPr>
        <w:t xml:space="preserve">Teklifimiz: </w:t>
      </w:r>
      <w:r>
        <w:t>Madde metninin, web uygulaması kanalını da kapsayacak şekilde genişletilmesi; kayıtlı cihaz doğrulaması, mobil anlık bildirim ve karekod yöntemlerinin alternatif kimlik doğrulama araçları olarak tanımlanması önerilmektedir.</w:t>
      </w:r>
    </w:p>
    <w:p/>
    <w:p>
      <w:pPr>
        <w:pStyle w:val="Heading2"/>
      </w:pPr>
      <w:r>
        <w:t>3.2  Madde 3 / 6. Madde (d) bendi — Kimlik Belgesi Türleri</w:t>
      </w:r>
    </w:p>
    <w:p>
      <w:r>
        <w:rPr>
          <w:b/>
          <w:sz w:val="20"/>
        </w:rPr>
        <w:t xml:space="preserve">Taslak Metinden: </w:t>
      </w:r>
      <w:r>
        <w:rPr>
          <w:i/>
          <w:color w:val="505050"/>
          <w:sz w:val="20"/>
        </w:rPr>
        <w:t>YAKB tanımı ve NFC doğrulama süreci</w:t>
      </w:r>
    </w:p>
    <w:p>
      <w:r>
        <w:rPr>
          <w:b/>
        </w:rPr>
        <w:t xml:space="preserve">Görüş: </w:t>
      </w:r>
      <w:r>
        <w:t>YAKB kapsamında NFC doğrulama yapılabilecek belge türleri açıkça belirtilmemiştir.</w:t>
      </w:r>
    </w:p>
    <w:p>
      <w:r>
        <w:rPr>
          <w:b/>
        </w:rPr>
        <w:t>Sorularımız:</w:t>
      </w:r>
    </w:p>
    <w:p>
      <w:pPr>
        <w:pStyle w:val="ListBullet"/>
      </w:pPr>
      <w:r>
        <w:t>Sürücü belgesi, pasaport ve geçici kimlik kartı gibi belgeler YAKB kapsamında NFC ile doğrulamada kullanılabilecek midir?</w:t>
      </w:r>
    </w:p>
    <w:p>
      <w:pPr>
        <w:pStyle w:val="ListBullet"/>
      </w:pPr>
      <w:r>
        <w:t>Elektronik kimlik doğrulama kabiliyetini haiz olmayan geçici kimlik belgeleri için e-Devlet Kapısı üzerinden karekod doğrulama yöntemi yeterli sayılacak mıdır?</w:t>
      </w:r>
    </w:p>
    <w:p>
      <w:r>
        <w:rPr>
          <w:b/>
          <w:color w:val="006400"/>
        </w:rPr>
        <w:t xml:space="preserve">Teklifimiz: </w:t>
      </w:r>
      <w:r>
        <w:t>YAKB kapsamında kullanılabilecek belge türlerinin Yönetmelik metninde veya eklerinde açıkça listelenmesi önerilmektedir.</w:t>
      </w:r>
    </w:p>
    <w:p/>
    <w:p>
      <w:pPr>
        <w:pStyle w:val="Heading2"/>
      </w:pPr>
      <w:r>
        <w:t>3.3  Madde 4 / 6/A — Göç İdaresi Başkanlığı Üzerinden Kimlik Doğrulama</w:t>
      </w:r>
    </w:p>
    <w:p>
      <w:r>
        <w:rPr>
          <w:b/>
          <w:sz w:val="20"/>
        </w:rPr>
        <w:t xml:space="preserve">Taslak Metinden: </w:t>
      </w:r>
      <w:r>
        <w:rPr>
          <w:i/>
          <w:color w:val="505050"/>
          <w:sz w:val="20"/>
        </w:rPr>
        <w:t>"İl Göç Müdürlüklerine yönlendirilmesi akabinde biyometrik veriyle kimlik doğrulaması yapılarak onayı alınır."</w:t>
      </w:r>
    </w:p>
    <w:p>
      <w:r>
        <w:rPr>
          <w:b/>
        </w:rPr>
        <w:t xml:space="preserve">Görüş: </w:t>
      </w:r>
      <w:r>
        <w:t>Biyometrik doğrulama yönteminin detayları belirlenmemiştir.</w:t>
      </w:r>
    </w:p>
    <w:p>
      <w:r>
        <w:rPr>
          <w:b/>
        </w:rPr>
        <w:t>Sorularımız:</w:t>
      </w:r>
    </w:p>
    <w:p>
      <w:pPr>
        <w:pStyle w:val="ListBullet"/>
      </w:pPr>
      <w:r>
        <w:t>Biyometrik doğrulama kapsamında hangi yöntemler kullanılacaktır? (Parmak izi, yüz tanıma, iris tarama, vb.)</w:t>
      </w:r>
    </w:p>
    <w:p>
      <w:pPr>
        <w:pStyle w:val="ListBullet"/>
      </w:pPr>
      <w:r>
        <w:t>Göç İdaresi Başkanlığı ile BTK arasındaki entegrasyon çalışmasının teknik gereksinimleri ve takvimi ne olacaktır?</w:t>
      </w:r>
    </w:p>
    <w:p>
      <w:pPr>
        <w:pStyle w:val="ListBullet"/>
      </w:pPr>
      <w:r>
        <w:t>Göç İdaresi onay kayıtları işletmecilere/hizmet sağlayıcılara nasıl iletilecektir? Islak imza senaryosu mu, dijital onay mı uygulanacaktır?</w:t>
      </w:r>
    </w:p>
    <w:p>
      <w:pPr>
        <w:pStyle w:val="ListBullet"/>
      </w:pPr>
      <w:r>
        <w:t>Yabancı uyruklu başvuru sahiplerinin Göç İdaresi kayıtlarının ayrıştırılması (başvuru sahibi bazında doğrulama kaydı) için süreç tanımı yapılacak mıdır?</w:t>
      </w:r>
    </w:p>
    <w:p>
      <w:r>
        <w:rPr>
          <w:b/>
          <w:color w:val="006400"/>
        </w:rPr>
        <w:t xml:space="preserve">Teklifimiz: </w:t>
      </w:r>
      <w:r>
        <w:t>Biyometrik doğrulama yönteminin açıkça tanımlanması, entegrasyon API spesifikasyonlarının ve takviminin kamuoyu ile paylaşılması, doğrulama kayıtlarının dijital ortamda hizmet sağlayıcılara iletilmesi önerilmektedir.</w:t>
      </w:r>
    </w:p>
    <w:p/>
    <w:p>
      <w:pPr>
        <w:pStyle w:val="Heading2"/>
      </w:pPr>
      <w:r>
        <w:t>3.4  Madde 4 / 6/A (4. fıkra) — Konum Bilgisi Paylaşımı</w:t>
      </w:r>
    </w:p>
    <w:p>
      <w:r>
        <w:rPr>
          <w:b/>
          <w:sz w:val="20"/>
        </w:rPr>
        <w:t xml:space="preserve">Taslak Metinden: </w:t>
      </w:r>
      <w:r>
        <w:rPr>
          <w:i/>
          <w:color w:val="505050"/>
          <w:sz w:val="20"/>
        </w:rPr>
        <w:t>"...başvuru sahibinin Göç İdaresi Başkanlığı mobil uygulaması sunucularına erişim anında kullandığı mobil telefonun konum bilgisi, erişimini sağlayan mobil elektronik haberleşme işletmecisine İnternet Protokolü adresi veya mobil numara üzerinden Kurum vasıtasıyla sorulur..."</w:t>
      </w:r>
    </w:p>
    <w:p>
      <w:r>
        <w:rPr>
          <w:b/>
        </w:rPr>
        <w:t xml:space="preserve">Görüş: </w:t>
      </w:r>
      <w:r>
        <w:t>Konum bilgisinin GSM operatörleri tarafından sağlanacak olması, kimlik doğrulama sürecinin doğal bir parçası olarak değerlendirilmektedir.</w:t>
      </w:r>
    </w:p>
    <w:p>
      <w:r>
        <w:rPr>
          <w:b/>
        </w:rPr>
        <w:t>Sorularımız:</w:t>
      </w:r>
    </w:p>
    <w:p>
      <w:pPr>
        <w:pStyle w:val="ListBullet"/>
      </w:pPr>
      <w:r>
        <w:t>Konum verisi yalnızca Göç İdaresi Başkanlığı ve BTK arasında mı kalacaktır, yoksa işletmecilerle/KEPHS'lerle de paylaşılacak mıdır?</w:t>
      </w:r>
    </w:p>
    <w:p>
      <w:pPr>
        <w:pStyle w:val="ListBullet"/>
      </w:pPr>
      <w:r>
        <w:t>KVKK kapsamında konum verisinin işlenmesine ilişkin açık rıza mekanizması nasıl kurgulanacaktır?</w:t>
      </w:r>
    </w:p>
    <w:p>
      <w:pPr>
        <w:pStyle w:val="ListBullet"/>
      </w:pPr>
      <w:r>
        <w:t>Konum verisinin doğrulama kaydında saklanma süresi ve imha politikası ne olacaktır?</w:t>
      </w:r>
    </w:p>
    <w:p>
      <w:r>
        <w:rPr>
          <w:b/>
          <w:color w:val="006400"/>
        </w:rPr>
        <w:t xml:space="preserve">Teklifimiz: </w:t>
      </w:r>
      <w:r>
        <w:t>Konum verisinin yalnızca Göç İdaresi ve BTK düzeyinde kalması, KEPHS'ler ve diğer hizmet sağlayıcılarla paylaşılmaması; KVKK uyumlu veri işleme ve saklama politikasının düzenlemede açıkça belirtilmesi önerilmektedir.</w:t>
      </w:r>
    </w:p>
    <w:p/>
    <w:p>
      <w:pPr>
        <w:pStyle w:val="Heading2"/>
      </w:pPr>
      <w:r>
        <w:t>3.5  Madde 4 / 6/A (2. fıkra) — YAKB Sahibi Yabancı Uyrukluların e-Devlet Erişimi</w:t>
      </w:r>
    </w:p>
    <w:p>
      <w:r>
        <w:rPr>
          <w:b/>
          <w:sz w:val="20"/>
        </w:rPr>
        <w:t xml:space="preserve">Taslak Metinden: </w:t>
      </w:r>
      <w:r>
        <w:rPr>
          <w:i/>
          <w:color w:val="505050"/>
          <w:sz w:val="20"/>
        </w:rPr>
        <w:t>"Yakın alan iletişimi kabiliyetini haiz kimlik belgesine sahip yabancı uyruklu başvuru sahipleri Göç İdaresi Başkanlığı mobil uygulamasına şifre ile girmesi ve yakın alan iletişimi ile kimlik belgesi doğrulanması halinde..."</w:t>
      </w:r>
    </w:p>
    <w:p>
      <w:r>
        <w:rPr>
          <w:b/>
        </w:rPr>
        <w:t xml:space="preserve">Görüş: </w:t>
      </w:r>
      <w:r>
        <w:t>YAKB sahibi yabancı uyruklu başvuru sahiplerinin e-Devlet şifresi sahibi olmaları durumunda ek kanallar tarif edilmemiştir.</w:t>
      </w:r>
    </w:p>
    <w:p>
      <w:r>
        <w:rPr>
          <w:b/>
        </w:rPr>
        <w:t>Sorularımız:</w:t>
      </w:r>
    </w:p>
    <w:p>
      <w:pPr>
        <w:pStyle w:val="ListBullet"/>
      </w:pPr>
      <w:r>
        <w:t>YAKB'ye sahip ve e-Devlet şifresi olan yabancı uyruklu kişiler, T.C. vatandaşları ile aynı e-Devlet doğrulama kanallarını (web + mobil) kullanabilecekler midir?</w:t>
      </w:r>
    </w:p>
    <w:p>
      <w:pPr>
        <w:pStyle w:val="ListBullet"/>
      </w:pPr>
      <w:r>
        <w:t>Yoksa yabancı uyruklu kişiler için yalnızca Göç İdaresi kanalı mı zorunlu tutulacaktır?</w:t>
      </w:r>
    </w:p>
    <w:p>
      <w:r>
        <w:rPr>
          <w:b/>
          <w:color w:val="006400"/>
        </w:rPr>
        <w:t xml:space="preserve">Teklifimiz: </w:t>
      </w:r>
      <w:r>
        <w:t>YAKB sahibi ve e-Devlet şifresi bulunan yabancı uyruklu kişilerin, vatandaşlarla aynı e-Devlet doğrulama kanallarından yararlanabilmesinin sağlanması önerilmektedir.</w:t>
      </w:r>
    </w:p>
    <w:p/>
    <w:p>
      <w:pPr>
        <w:pStyle w:val="Heading2"/>
      </w:pPr>
      <w:r>
        <w:t>3.6  Madde 5, 6, 7, 8 — TCKK → TEKB / YAKB Terminoloji Geçişi</w:t>
      </w:r>
    </w:p>
    <w:p>
      <w:r>
        <w:rPr>
          <w:b/>
          <w:sz w:val="20"/>
        </w:rPr>
        <w:t xml:space="preserve">Taslak Metinden: </w:t>
      </w:r>
      <w:r>
        <w:rPr>
          <w:i/>
          <w:color w:val="505050"/>
          <w:sz w:val="20"/>
        </w:rPr>
        <w:t>TCKK ibareleri TEKB/YAKB ibareleri ile değiştirilmiştir.</w:t>
      </w:r>
    </w:p>
    <w:p>
      <w:r>
        <w:rPr>
          <w:b/>
        </w:rPr>
        <w:t xml:space="preserve">Görüş: </w:t>
      </w:r>
      <w:r>
        <w:t>Mevcut sistemlerde TCKK referansı ile çalışan entegrasyonlar bulunmaktadır.</w:t>
      </w:r>
    </w:p>
    <w:p>
      <w:r>
        <w:rPr>
          <w:b/>
        </w:rPr>
        <w:t>Sorularımız:</w:t>
      </w:r>
    </w:p>
    <w:p>
      <w:pPr>
        <w:pStyle w:val="ListBullet"/>
      </w:pPr>
      <w:r>
        <w:t>Mevcut TCKK tabanlı entegrasyonlar için geriye dönük uyumluluk (backward compatibility) süresi öngörülmekte midir?</w:t>
      </w:r>
    </w:p>
    <w:p>
      <w:pPr>
        <w:pStyle w:val="ListBullet"/>
      </w:pPr>
      <w:r>
        <w:t>İşletmecilerin/KEPHS'lerin yazılım ve donanım güncellemelerini tamamlamaları için 25 Haziran 2026 tarihi yeterli midir?</w:t>
      </w:r>
    </w:p>
    <w:p>
      <w:r>
        <w:rPr>
          <w:b/>
          <w:color w:val="006400"/>
        </w:rPr>
        <w:t xml:space="preserve">Teklifimiz: </w:t>
      </w:r>
      <w:r>
        <w:t>Terminoloji geçişinin teknik uyum süreci gözetilerek kademeli uygulanması veya geçiş süresinin en az 12 ay olarak belirlenmesi önerilmektedir.</w:t>
      </w:r>
    </w:p>
    <w:p/>
    <w:p>
      <w:pPr>
        <w:pStyle w:val="Heading2"/>
      </w:pPr>
      <w:r>
        <w:t>3.7  Madde 7 — Video Dosya Boyutu Sınırı</w:t>
      </w:r>
    </w:p>
    <w:p>
      <w:r>
        <w:rPr>
          <w:b/>
          <w:sz w:val="20"/>
        </w:rPr>
        <w:t xml:space="preserve">Taslak Metinden: </w:t>
      </w:r>
      <w:r>
        <w:rPr>
          <w:i/>
          <w:color w:val="505050"/>
          <w:sz w:val="20"/>
        </w:rPr>
        <w:t>"10 megabyte'dan" ibaresi "2 megabyte'dan" ibaresi ile değiştirilmiştir.</w:t>
      </w:r>
    </w:p>
    <w:p>
      <w:r>
        <w:rPr>
          <w:b/>
        </w:rPr>
        <w:t xml:space="preserve">Görüş: </w:t>
      </w:r>
      <w:r>
        <w:t>Yüz doğrulama amaçlı video kaydının 2 MB ile sınırlandırılması teknik açıdan değerlendirilmelidir.</w:t>
      </w:r>
    </w:p>
    <w:p>
      <w:r>
        <w:rPr>
          <w:b/>
        </w:rPr>
        <w:t>Sorularımız:</w:t>
      </w:r>
    </w:p>
    <w:p>
      <w:pPr>
        <w:pStyle w:val="ListBullet"/>
      </w:pPr>
      <w:r>
        <w:t>2 MB sınırı, yeterli çözünürlükte yüz doğrulama videosu için uygun mudur? (Özellikle farklı cihaz ve ağ koşullarında)</w:t>
      </w:r>
    </w:p>
    <w:p>
      <w:pPr>
        <w:pStyle w:val="ListBullet"/>
      </w:pPr>
      <w:r>
        <w:t>Sıkıştırma codec'i belirlenmiş midir? (H.264, H.265, VP9 vb.)</w:t>
      </w:r>
    </w:p>
    <w:p>
      <w:pPr>
        <w:pStyle w:val="ListBullet"/>
      </w:pPr>
      <w:r>
        <w:t>Video süre sınırı var mıdır ve 2 MB ile kaç saniyelik video üretilebileceği değerlendirilmiş midir?</w:t>
      </w:r>
    </w:p>
    <w:p>
      <w:r>
        <w:rPr>
          <w:b/>
          <w:color w:val="006400"/>
        </w:rPr>
        <w:t xml:space="preserve">Teklifimiz: </w:t>
      </w:r>
      <w:r>
        <w:t>Sınırın en az 5 MB olarak belirlenmesi veya codec/çözünürlük standardı belirlenerek dosya boyutu yerine kalite gereksiniminin esas alınması önerilmektedir.</w:t>
      </w:r>
    </w:p>
    <w:p/>
    <w:p>
      <w:pPr>
        <w:pStyle w:val="Heading2"/>
      </w:pPr>
      <w:r>
        <w:t>3.8  Madde 8 / Ek-1 — Active Authentication (Aktif Kimlik Doğrulama)</w:t>
      </w:r>
    </w:p>
    <w:p>
      <w:r>
        <w:rPr>
          <w:b/>
          <w:sz w:val="20"/>
        </w:rPr>
        <w:t xml:space="preserve">Taslak Metinden: </w:t>
      </w:r>
      <w:r>
        <w:rPr>
          <w:i/>
          <w:color w:val="505050"/>
          <w:sz w:val="20"/>
        </w:rPr>
        <w:t>Pasif kimlik doğrulama sonrasında aktif kimlik doğrulama (Active Authentication) kullanılır.</w:t>
      </w:r>
    </w:p>
    <w:p>
      <w:r>
        <w:rPr>
          <w:b/>
        </w:rPr>
        <w:t xml:space="preserve">Görüş: </w:t>
      </w:r>
      <w:r>
        <w:t>Active Authentication, belirli ICAO uyumlu belgelerde desteklenmeyen bir özellik olabilir.</w:t>
      </w:r>
    </w:p>
    <w:p>
      <w:r>
        <w:rPr>
          <w:b/>
        </w:rPr>
        <w:t>Sorularımız:</w:t>
      </w:r>
    </w:p>
    <w:p>
      <w:pPr>
        <w:pStyle w:val="ListBullet"/>
      </w:pPr>
      <w:r>
        <w:t>Active Authentication desteklemeyen ancak Chip Authentication (CA) veya PACE destekleyen belgelerde hangi yöntem uygulanacaktır?</w:t>
      </w:r>
    </w:p>
    <w:p>
      <w:pPr>
        <w:pStyle w:val="ListBullet"/>
      </w:pPr>
      <w:r>
        <w:t>Yabancı ülke pasaportlarının tamamında Active Authentication desteği bulunmamaktadır. Bu durumda yedek doğrulama mekanizması ne olacaktır?</w:t>
      </w:r>
    </w:p>
    <w:p>
      <w:r>
        <w:rPr>
          <w:b/>
          <w:color w:val="006400"/>
        </w:rPr>
        <w:t xml:space="preserve">Teklifimiz: </w:t>
      </w:r>
      <w:r>
        <w:t>Active Authentication yanında Chip Authentication (CA) ve PACE protokollerinin de alternatif olarak kabul edilmesi önerilmektedir.</w:t>
      </w:r>
    </w:p>
    <w:p/>
    <w:p>
      <w:pPr>
        <w:pStyle w:val="Heading2"/>
      </w:pPr>
      <w:r>
        <w:t>3.9  Madde 8 / Ek-4 — PAdES-LTV Oluşturma</w:t>
      </w:r>
    </w:p>
    <w:p>
      <w:r>
        <w:rPr>
          <w:b/>
          <w:sz w:val="20"/>
        </w:rPr>
        <w:t xml:space="preserve">Taslak Metinden: </w:t>
      </w:r>
      <w:r>
        <w:rPr>
          <w:i/>
          <w:color w:val="505050"/>
          <w:sz w:val="20"/>
        </w:rPr>
        <w:t>TEKB ile kimlik doğrulamada PAdES-LTV formatında elektronik imza zorunluluğu.</w:t>
      </w:r>
    </w:p>
    <w:p>
      <w:r>
        <w:rPr>
          <w:b/>
        </w:rPr>
        <w:t xml:space="preserve">Görüş: </w:t>
      </w:r>
      <w:r>
        <w:t>PAdES-LTV, uzun vadeli doğrulama gerektiren gelişmiş bir elektronik imza formatıdır.</w:t>
      </w:r>
    </w:p>
    <w:p>
      <w:r>
        <w:rPr>
          <w:b/>
        </w:rPr>
        <w:t>Sorularımız:</w:t>
      </w:r>
    </w:p>
    <w:p>
      <w:pPr>
        <w:pStyle w:val="ListBullet"/>
      </w:pPr>
      <w:r>
        <w:t>Zaman damgası hizmeti sağlayıcısı (TSA) tercihi işletmeciye/KEPHS'ye mi bırakılacaktır?</w:t>
      </w:r>
    </w:p>
    <w:p>
      <w:pPr>
        <w:pStyle w:val="ListBullet"/>
      </w:pPr>
      <w:r>
        <w:t>PAdES-LTV formatı için minimum sertifika ve zaman damgası gereksinimleri detaylandırılacak mıdır?</w:t>
      </w:r>
    </w:p>
    <w:p>
      <w:pPr>
        <w:pStyle w:val="ListBullet"/>
      </w:pPr>
      <w:r>
        <w:t>OCSP yanıtlarının PAdES-LTV içerisine gömülmesi zorunlu mudur?</w:t>
      </w:r>
    </w:p>
    <w:p>
      <w:r>
        <w:rPr>
          <w:b/>
          <w:color w:val="006400"/>
        </w:rPr>
        <w:t xml:space="preserve">Teklifimiz: </w:t>
      </w:r>
      <w:r>
        <w:t>PAdES-LTV teknik gereksinimlerinin (TSA, OCSP, sertifika zinciri politikası) ayrı bir teknik kılavuz ile detaylandırılması önerilmektedir.</w:t>
      </w:r>
    </w:p>
    <w:p/>
    <w:p>
      <w:pPr>
        <w:pStyle w:val="Heading2"/>
      </w:pPr>
      <w:r>
        <w:t>3.10  THY Değişikliği / Madde 1 (16. fıkra) — 3 Aylık Aktiflik Kontrolü</w:t>
      </w:r>
    </w:p>
    <w:p>
      <w:r>
        <w:rPr>
          <w:b/>
          <w:sz w:val="20"/>
        </w:rPr>
        <w:t xml:space="preserve">Taslak Metinden: </w:t>
      </w:r>
      <w:r>
        <w:rPr>
          <w:i/>
          <w:color w:val="505050"/>
          <w:sz w:val="20"/>
        </w:rPr>
        <w:t>"İşletmeci tarafından üç ayda bir tüm abonelerin aktifliği... teyit edilir."</w:t>
      </w:r>
    </w:p>
    <w:p>
      <w:r>
        <w:rPr>
          <w:b/>
        </w:rPr>
        <w:t xml:space="preserve">Görüş: </w:t>
      </w:r>
      <w:r>
        <w:t>Periyodik aktiflik kontrolü geniş kapsamlı bir uygulama gerektirmektedir.</w:t>
      </w:r>
    </w:p>
    <w:p>
      <w:r>
        <w:rPr>
          <w:b/>
        </w:rPr>
        <w:t>Sorularımız:</w:t>
      </w:r>
    </w:p>
    <w:p>
      <w:pPr>
        <w:pStyle w:val="ListBullet"/>
      </w:pPr>
      <w:r>
        <w:t>Aktiflik kontrolü KPS (Kimlik Paylaşımı Sistemi) üzerinden toplu sorgulama (batch) ile mi yapılacaktır, yoksa bireysel bazda mı?</w:t>
      </w:r>
    </w:p>
    <w:p>
      <w:pPr>
        <w:pStyle w:val="ListBullet"/>
      </w:pPr>
      <w:r>
        <w:t>KPS sorgu maliyeti ve kotası bu hacmi (tüm aboneler, 3 ayda bir) karşılayabilecek midir?</w:t>
      </w:r>
    </w:p>
    <w:p>
      <w:pPr>
        <w:pStyle w:val="ListBullet"/>
      </w:pPr>
      <w:r>
        <w:t>KEPHS'ler de bu aktiflik kontrolü kapsamında mıdır, yoksa yalnızca GSM işletmecileri mi?</w:t>
      </w:r>
    </w:p>
    <w:p>
      <w:r>
        <w:rPr>
          <w:b/>
          <w:color w:val="006400"/>
        </w:rPr>
        <w:t xml:space="preserve">Teklifimiz: </w:t>
      </w:r>
      <w:r>
        <w:t>Toplu KPS sorgulama altyapısının sağlanması, sorgu maliyetlerinin düzenlenmesi ve KEPHS'lerin kapsam dahilinde olup olmadığının açıkça belirtilmesi önerilmektedir.</w:t>
      </w:r>
    </w:p>
    <w:p/>
    <w:p>
      <w:pPr>
        <w:pStyle w:val="Heading2"/>
      </w:pPr>
      <w:r>
        <w:t>3.11  THY Değişikliği / Madde 1 (17. fıkra) — Aktiflik Teyit Edilemezse Süreç</w:t>
      </w:r>
    </w:p>
    <w:p>
      <w:r>
        <w:rPr>
          <w:b/>
          <w:sz w:val="20"/>
        </w:rPr>
        <w:t xml:space="preserve">Taslak Metinden: </w:t>
      </w:r>
      <w:r>
        <w:rPr>
          <w:i/>
          <w:color w:val="505050"/>
          <w:sz w:val="20"/>
        </w:rPr>
        <w:t>"24 saat SMS bilgilendirme → 7 gün kısıtlama → 30 gün bağlantı kesme"</w:t>
      </w:r>
    </w:p>
    <w:p>
      <w:r>
        <w:rPr>
          <w:b/>
        </w:rPr>
        <w:t xml:space="preserve">Görüş: </w:t>
      </w:r>
      <w:r>
        <w:t>Otomatik bağlantı kesme süreci hizmet sürekliliği açısından riskler barındırmaktadır.</w:t>
      </w:r>
    </w:p>
    <w:p>
      <w:r>
        <w:rPr>
          <w:b/>
        </w:rPr>
        <w:t>Sorularımız:</w:t>
      </w:r>
    </w:p>
    <w:p>
      <w:pPr>
        <w:pStyle w:val="ListBullet"/>
      </w:pPr>
      <w:r>
        <w:t>KPS'de geçici veri güncellemesi veya teknik sorun nedeniyle aktiflik doğrulanamazsa, itiraz ve düzeltme mekanizması ne olacaktır?</w:t>
      </w:r>
    </w:p>
    <w:p>
      <w:pPr>
        <w:pStyle w:val="ListBullet"/>
      </w:pPr>
      <w:r>
        <w:t>Kurumsal aboneliklerde yetkili kişi değişikliği sürecinde (ör. şirket devir/el değiştirme) aktiflik kontrolü nasıl yönetilecektir?</w:t>
      </w:r>
    </w:p>
    <w:p>
      <w:pPr>
        <w:pStyle w:val="ListBullet"/>
      </w:pPr>
      <w:r>
        <w:t>SMS bilgilendirme başarısız olursa (ör. yurt dışı roaming, hat kapalı) alternatif bildirim kanalı var mıdır?</w:t>
      </w:r>
    </w:p>
    <w:p>
      <w:r>
        <w:rPr>
          <w:b/>
          <w:color w:val="006400"/>
        </w:rPr>
        <w:t xml:space="preserve">Teklifimiz: </w:t>
      </w:r>
      <w:r>
        <w:t>İtiraz ve düzeltme mekanizmasının oluşturulması, alternatif bildirim kanallarının (e-posta, e-Devlet bildirimi) eklenmesi ve geçici KPS sorunlarına karşı tolerans süresinin tanımlanması önerilmektedir.</w:t>
      </w:r>
    </w:p>
    <w:p/>
    <w:p>
      <w:pPr>
        <w:pStyle w:val="Heading2"/>
      </w:pPr>
      <w:r>
        <w:t>3.12  Genel — Yürürlük Tarihi ve Geçiş Süresi</w:t>
      </w:r>
    </w:p>
    <w:p>
      <w:r>
        <w:rPr>
          <w:b/>
          <w:sz w:val="20"/>
        </w:rPr>
        <w:t xml:space="preserve">Taslak Metinden: </w:t>
      </w:r>
      <w:r>
        <w:rPr>
          <w:i/>
          <w:color w:val="505050"/>
          <w:sz w:val="20"/>
        </w:rPr>
        <w:t>Madde 9 — Bu Yönetmelik 25/6/2026 tarihinde yürürlüğe girer.</w:t>
      </w:r>
    </w:p>
    <w:p>
      <w:r>
        <w:rPr>
          <w:b/>
        </w:rPr>
        <w:t xml:space="preserve">Görüş: </w:t>
      </w:r>
      <w:r>
        <w:t>Yürürlük tarihine yaklaşık 3 ay kalmıştır. Kapsamlı teknik altyapı değişiklikleri gerekmektedir.</w:t>
      </w:r>
    </w:p>
    <w:p>
      <w:r>
        <w:rPr>
          <w:b/>
        </w:rPr>
        <w:t>Sorularımız:</w:t>
      </w:r>
    </w:p>
    <w:p>
      <w:pPr>
        <w:pStyle w:val="ListBullet"/>
      </w:pPr>
      <w:r>
        <w:t>TEKB/YAKB okuyucu donanım tedariki, NFC yazılım geliştirmesi, PAdES-LTV altyapısı, Göç İdaresi/KPS entegrasyonları için 3 aylık süre yeterli midir?</w:t>
      </w:r>
    </w:p>
    <w:p>
      <w:pPr>
        <w:pStyle w:val="ListBullet"/>
      </w:pPr>
      <w:r>
        <w:t>Kademeli geçiş (phased rollout) seçeneği değerlendirilmiş midir?</w:t>
      </w:r>
    </w:p>
    <w:p>
      <w:pPr>
        <w:pStyle w:val="ListBullet"/>
      </w:pPr>
      <w:r>
        <w:t>İşletmeciler ve KEPHS'ler için uyum takvimi ayrı belirlenecek midir?</w:t>
      </w:r>
    </w:p>
    <w:p>
      <w:r>
        <w:rPr>
          <w:b/>
          <w:color w:val="006400"/>
        </w:rPr>
        <w:t xml:space="preserve">Teklifimiz: </w:t>
      </w:r>
      <w:r>
        <w:t>Yürürlük tarihinin en az 25 Aralık 2026'ya (6 ay ek süre) uzatılması veya kademeli geçiş takviminin belirlenerek ilk aşamada yalnızca yeni aboneliklerde uygulanması, mevcut abonelikler için 12 aylık ek süre tanınması önerilmektedir.</w:t>
      </w:r>
    </w:p>
    <w:p/>
    <w:p>
      <w:pPr>
        <w:pStyle w:val="Heading1"/>
      </w:pPr>
      <w:r>
        <w:t>4. Sonuç ve Genel Değerlendirme</w:t>
      </w:r>
    </w:p>
    <w:p>
      <w:r>
        <w:rPr>
          <w:sz w:val="22"/>
        </w:rPr>
        <w:t>TÜRKKEP A.Ş. olarak kimlik doğrulama süreçlerinin güçlendirilmesine ilişkin düzenleme çalışmalarını destekliyoruz. Yukarıda belirtilen soru ve önerilerimizin Sayın Kurul tarafından değerlendirilmesini arz ederiz.</w:t>
      </w:r>
    </w:p>
    <w:p/>
    <w:p>
      <w:r>
        <w:rPr>
          <w:b/>
        </w:rPr>
        <w:t>Temel Taleplerimiz:</w:t>
      </w:r>
    </w:p>
    <w:p>
      <w:pPr>
        <w:pStyle w:val="ListBullet"/>
      </w:pPr>
      <w:r>
        <w:t>e-Devlet web kanalının da kimlik doğrulama kapsamına alınması</w:t>
      </w:r>
    </w:p>
    <w:p>
      <w:pPr>
        <w:pStyle w:val="ListBullet"/>
      </w:pPr>
      <w:r>
        <w:t>Göç İdaresi entegrasyon teknik detaylarının ve takviminin paylaşılması</w:t>
      </w:r>
    </w:p>
    <w:p>
      <w:pPr>
        <w:pStyle w:val="ListBullet"/>
      </w:pPr>
      <w:r>
        <w:t>Active Authentication yanında CA/PACE protokollerinin kabul edilmesi</w:t>
      </w:r>
    </w:p>
    <w:p>
      <w:pPr>
        <w:pStyle w:val="ListBullet"/>
      </w:pPr>
      <w:r>
        <w:t>Video boyut sınırının 5 MB'a çıkarılması veya kalite standardı belirlenmesi</w:t>
      </w:r>
    </w:p>
    <w:p>
      <w:pPr>
        <w:pStyle w:val="ListBullet"/>
      </w:pPr>
      <w:r>
        <w:t>Yürürlük tarihinin uzatılması veya kademeli geçiş takvimi belirlenmesi</w:t>
      </w:r>
    </w:p>
    <w:p>
      <w:pPr>
        <w:pStyle w:val="ListBullet"/>
      </w:pPr>
      <w:r>
        <w:t>Periyodik aktiflik kontrolü için toplu KPS sorgu altyapısının sağlanması</w:t>
      </w:r>
    </w:p>
    <w:p>
      <w:pPr>
        <w:pStyle w:val="ListBullet"/>
      </w:pPr>
      <w:r>
        <w:t>KEPHS'lerin kapsam içindeki pozisyonunun netleştirilmesi</w:t>
      </w:r>
    </w:p>
    <w:p/>
    <w:p/>
    <w:p>
      <w:r>
        <w:rPr>
          <w:sz w:val="22"/>
        </w:rPr>
        <w:t>Saygılarımızla,</w:t>
      </w:r>
    </w:p>
    <w:p/>
    <w:p>
      <w:r>
        <w:rPr>
          <w:b/>
          <w:sz w:val="22"/>
        </w:rPr>
        <w:t>TÜRKKEP Kayıtlı Elektronik Posta Hizmetleri A.Ş.</w:t>
      </w:r>
    </w:p>
    <w:p>
      <w:r>
        <w:rPr>
          <w:sz w:val="22"/>
        </w:rPr>
        <w:t>Teknoloji Direktörlüğü (CTO Ofisi)</w:t>
      </w:r>
    </w:p>
    <w:p/>
    <w:p>
      <w:r>
        <w:rPr>
          <w:color w:val="828282"/>
          <w:sz w:val="16"/>
        </w:rPr>
        <w:t>Bu doküman 31.03.2026 tarihinde hazırlanmıştır.</w:t>
        <w:br/>
        <w:t>Referans: BTK Karar No 2026/İK-THD/67, 06.03.2026</w:t>
        <w:br/>
        <w:t>Taslak erişim: https://www.btk.gov.tr/uploads/boarddecisions/7571-sayili-kanun-ehk-50-8-9-10-ve-gecici-8-kapsaminda-ikincil-duzenleme-tadili-taslaginin-kamuoyu-gorusune-acilmasi/67-2026-web.pdf</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