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MERCHANT MIGRATION PROGRAM™</w:t>
      </w:r>
    </w:p>
    <w:p>
      <w:pPr>
        <w:jc w:val="center"/>
      </w:pPr>
      <w:r>
        <w:rPr>
          <w:b/>
          <w:sz w:val="28"/>
        </w:rPr>
        <w:t>Ürün Tanım Dokümanı</w:t>
      </w:r>
    </w:p>
    <w:p>
      <w:pPr>
        <w:jc w:val="center"/>
      </w:pPr>
      <w:r>
        <w:rPr>
          <w:color w:val="787878"/>
          <w:sz w:val="20"/>
        </w:rPr>
        <w:t>Finhouse A.Ş. · Gizli · 31.03.2026</w:t>
      </w:r>
    </w:p>
    <w:p/>
    <w:p>
      <w:pPr>
        <w:pStyle w:val="Heading1"/>
      </w:pPr>
      <w:r>
        <w:t>1. Ürün Tanımı</w:t>
      </w:r>
    </w:p>
    <w:p>
      <w:r>
        <w:t>Merchant Migration Program™ (MMP), bankaların kendi sanal POS platformuna geçiş sürecinde işyeri portföyünü yönetmek için tasarlanmış, uçtan uca operasyonel bir danışmanlık ve delivery ürünüdür. Program; segmentasyon metodolojisi, dalga bazlı migration factory modeli, teknik onboarding koordinasyonu ve ölçülebilir KPI yönetimini tek çatı altında sunar.</w:t>
      </w:r>
    </w:p>
    <w:p>
      <w:pPr>
        <w:pStyle w:val="Heading1"/>
      </w:pPr>
      <w:r>
        <w:t>2. Hedef Pazar</w:t>
      </w:r>
    </w:p>
    <w:p>
      <w:pPr>
        <w:pStyle w:val="ListBullet"/>
      </w:pPr>
      <w:r>
        <w:t>Mevcut sanal POS altyapısını üçüncü taraf sağlayıcıdan kendi platformuna taşımak isteyen bankalar</w:t>
      </w:r>
    </w:p>
    <w:p>
      <w:pPr>
        <w:pStyle w:val="ListBullet"/>
      </w:pPr>
      <w:r>
        <w:t>İşyeri portföyü 1.000 – 50.000 merchant aralığında olan finansal kurumlar</w:t>
      </w:r>
    </w:p>
    <w:p>
      <w:pPr>
        <w:pStyle w:val="ListBullet"/>
      </w:pPr>
      <w:r>
        <w:t>Türkiye'deki özel ve kamu bankaları, katılım bankaları, ödeme kuruluşları</w:t>
      </w:r>
    </w:p>
    <w:p>
      <w:pPr>
        <w:pStyle w:val="ListBullet"/>
      </w:pPr>
      <w:r>
        <w:t>Orta ve uzun vadede BNPL, kredi ve cross-sell geliri elde etmek isteyen kurumlar</w:t>
      </w:r>
    </w:p>
    <w:p>
      <w:pPr>
        <w:pStyle w:val="Heading1"/>
      </w:pPr>
      <w:r>
        <w:t>3. Çözülen Problem</w:t>
      </w:r>
    </w:p>
    <w:p>
      <w:pPr>
        <w:pStyle w:val="Heading2"/>
      </w:pPr>
      <w:r>
        <w:t>3.1 Bankalar Neden Bu Sorunu Yaşıyor?</w:t>
      </w:r>
    </w:p>
    <w:p>
      <w:pPr>
        <w:pStyle w:val="ListBullet"/>
      </w:pPr>
      <w:r>
        <w:t>İşyeri portföyü Payten, iyzico gibi üçüncü tarafın kontrolünde — banka direkt ilişki kuramıyor</w:t>
      </w:r>
    </w:p>
    <w:p>
      <w:pPr>
        <w:pStyle w:val="ListBullet"/>
      </w:pPr>
      <w:r>
        <w:t>Dış sağlayıcıya ödenen işyeri başı sabit bedel + işlem komisyonu yıllık milyonlarca USD'a ulaşıyor</w:t>
      </w:r>
    </w:p>
    <w:p>
      <w:pPr>
        <w:pStyle w:val="ListBullet"/>
      </w:pPr>
      <w:r>
        <w:t>Toplu e-posta kampanyasıyla migration gerçekleşmiyor; teknik ve operasyonel destek gerekiyor</w:t>
      </w:r>
    </w:p>
    <w:p>
      <w:pPr>
        <w:pStyle w:val="ListBullet"/>
      </w:pPr>
      <w:r>
        <w:t>Her işyeri segmenti farklı teknik yapıda — tek tip yaklaşım işe yaramıyor</w:t>
      </w:r>
    </w:p>
    <w:p>
      <w:pPr>
        <w:pStyle w:val="ListBullet"/>
      </w:pPr>
      <w:r>
        <w:t>Proje içeride yönetilmeye çalışıldığında kaynak ve metodoloji eksikliği darboğaz yaratıyor</w:t>
      </w:r>
    </w:p>
    <w:p>
      <w:pPr>
        <w:pStyle w:val="Heading2"/>
      </w:pPr>
      <w:r>
        <w:t>3.2 MMP Ne Sağlıyor?</w:t>
      </w:r>
    </w:p>
    <w:p>
      <w:pPr>
        <w:pStyle w:val="ListBullet"/>
      </w:pPr>
      <w:r>
        <w:t>Hazır playbook ve migration factory modeli — sıfırdan kurmak gerekmez</w:t>
      </w:r>
    </w:p>
    <w:p>
      <w:pPr>
        <w:pStyle w:val="ListBullet"/>
      </w:pPr>
      <w:r>
        <w:t>Segment bazlı yaklaşım — her işyeri tipi için özelleştirilmiş akış</w:t>
      </w:r>
    </w:p>
    <w:p>
      <w:pPr>
        <w:pStyle w:val="ListBullet"/>
      </w:pPr>
      <w:r>
        <w:t>Dalga planlaması — 1.000 merchant hedefine 12 ayda, 10.000 merchant hedefine 36 ayda ulaşma</w:t>
      </w:r>
    </w:p>
    <w:p>
      <w:pPr>
        <w:pStyle w:val="ListBullet"/>
      </w:pPr>
      <w:r>
        <w:t>Ölçülebilir başarı — %70 migration oranı taahhüdü</w:t>
      </w:r>
    </w:p>
    <w:p>
      <w:pPr>
        <w:pStyle w:val="ListBullet"/>
      </w:pPr>
      <w:r>
        <w:t>Esnek kadro modeli — 12 kişilik lean ekip ile operasyon yürütülür</w:t>
      </w:r>
    </w:p>
    <w:p>
      <w:pPr>
        <w:pStyle w:val="Heading1"/>
      </w:pPr>
      <w:r>
        <w:t>4. Program Modeli ve Fazlar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Faz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Süre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Kapsam</w:t>
            </w:r>
          </w:p>
        </w:tc>
        <w:tc>
          <w:tcPr>
            <w:tcW w:type="dxa" w:w="2351"/>
          </w:tcPr>
          <w:p>
            <w:r>
              <w:rPr>
                <w:b/>
              </w:rPr>
              <w:t>Çıktı</w:t>
            </w:r>
          </w:p>
        </w:tc>
      </w:tr>
      <w:tr>
        <w:tc>
          <w:tcPr>
            <w:tcW w:type="dxa" w:w="2351"/>
          </w:tcPr>
          <w:p>
            <w:r>
              <w:t>Faz 1 — Discovery &amp; Pilot</w:t>
            </w:r>
          </w:p>
        </w:tc>
        <w:tc>
          <w:tcPr>
            <w:tcW w:type="dxa" w:w="2351"/>
          </w:tcPr>
          <w:p>
            <w:r>
              <w:t>Ay 1–3</w:t>
            </w:r>
          </w:p>
        </w:tc>
        <w:tc>
          <w:tcPr>
            <w:tcW w:type="dxa" w:w="2351"/>
          </w:tcPr>
          <w:p>
            <w:r>
              <w:t>Merchant envanteri, segmentasyon, playbook, 100–300 pilot</w:t>
            </w:r>
          </w:p>
        </w:tc>
        <w:tc>
          <w:tcPr>
            <w:tcW w:type="dxa" w:w="2351"/>
          </w:tcPr>
          <w:p>
            <w:r>
              <w:t>Sabit bedel teklif; başarı kriterleri net</w:t>
            </w:r>
          </w:p>
        </w:tc>
      </w:tr>
      <w:tr>
        <w:tc>
          <w:tcPr>
            <w:tcW w:type="dxa" w:w="2351"/>
          </w:tcPr>
          <w:p>
            <w:r>
              <w:t>Faz 2 — Endüstriyel Migrasyon</w:t>
            </w:r>
          </w:p>
        </w:tc>
        <w:tc>
          <w:tcPr>
            <w:tcW w:type="dxa" w:w="2351"/>
          </w:tcPr>
          <w:p>
            <w:r>
              <w:t>Ay 4–30</w:t>
            </w:r>
          </w:p>
        </w:tc>
        <w:tc>
          <w:tcPr>
            <w:tcW w:type="dxa" w:w="2351"/>
          </w:tcPr>
          <w:p>
            <w:r>
              <w:t>Dalga bazlı yayılım; 1.000–8.000 merchant</w:t>
            </w:r>
          </w:p>
        </w:tc>
        <w:tc>
          <w:tcPr>
            <w:tcW w:type="dxa" w:w="2351"/>
          </w:tcPr>
          <w:p>
            <w:r>
              <w:t>Aylık migration raporu; KPI dashboard</w:t>
            </w:r>
          </w:p>
        </w:tc>
      </w:tr>
      <w:tr>
        <w:tc>
          <w:tcPr>
            <w:tcW w:type="dxa" w:w="2351"/>
          </w:tcPr>
          <w:p>
            <w:r>
              <w:t>Faz 3 — Kapanış &amp; Hypercare</w:t>
            </w:r>
          </w:p>
        </w:tc>
        <w:tc>
          <w:tcPr>
            <w:tcW w:type="dxa" w:w="2351"/>
          </w:tcPr>
          <w:p>
            <w:r>
              <w:t>Ay 31–36</w:t>
            </w:r>
          </w:p>
        </w:tc>
        <w:tc>
          <w:tcPr>
            <w:tcW w:type="dxa" w:w="2351"/>
          </w:tcPr>
          <w:p>
            <w:r>
              <w:t>Kalan portföy, destek penceresi</w:t>
            </w:r>
          </w:p>
        </w:tc>
        <w:tc>
          <w:tcPr>
            <w:tcW w:type="dxa" w:w="2351"/>
          </w:tcPr>
          <w:p>
            <w:r>
              <w:t>10.000 merchant hedefi; program kapanış raporu</w:t>
            </w:r>
          </w:p>
        </w:tc>
      </w:tr>
    </w:tbl>
    <w:p/>
    <w:p>
      <w:pPr>
        <w:pStyle w:val="Heading1"/>
      </w:pPr>
      <w:r>
        <w:t>5. Merchant Segmentasyonu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Portföy Payı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Migration Yaklaşımı</w:t>
            </w:r>
          </w:p>
        </w:tc>
      </w:tr>
      <w:tr>
        <w:tc>
          <w:tcPr>
            <w:tcW w:type="dxa" w:w="2351"/>
          </w:tcPr>
          <w:p>
            <w:r>
              <w:t>A — Hazır Paket</w:t>
            </w:r>
          </w:p>
        </w:tc>
        <w:tc>
          <w:tcPr>
            <w:tcW w:type="dxa" w:w="2351"/>
          </w:tcPr>
          <w:p>
            <w:r>
              <w:t>Ticimax, IdeaSoft, WooCommerce</w:t>
            </w:r>
          </w:p>
        </w:tc>
        <w:tc>
          <w:tcPr>
            <w:tcW w:type="dxa" w:w="2351"/>
          </w:tcPr>
          <w:p>
            <w:r>
              <w:t>%40</w:t>
            </w:r>
          </w:p>
        </w:tc>
        <w:tc>
          <w:tcPr>
            <w:tcW w:type="dxa" w:w="2351"/>
          </w:tcPr>
          <w:p>
            <w:r>
              <w:t>Plugin/adaptör ile toplu enablement</w:t>
            </w:r>
          </w:p>
        </w:tc>
      </w:tr>
      <w:tr>
        <w:tc>
          <w:tcPr>
            <w:tcW w:type="dxa" w:w="2351"/>
          </w:tcPr>
          <w:p>
            <w:r>
              <w:t>B — Standart API</w:t>
            </w:r>
          </w:p>
        </w:tc>
        <w:tc>
          <w:tcPr>
            <w:tcW w:type="dxa" w:w="2351"/>
          </w:tcPr>
          <w:p>
            <w:r>
              <w:t>Doğrudan API entegrasyonu</w:t>
            </w:r>
          </w:p>
        </w:tc>
        <w:tc>
          <w:tcPr>
            <w:tcW w:type="dxa" w:w="2351"/>
          </w:tcPr>
          <w:p>
            <w:r>
              <w:t>%35</w:t>
            </w:r>
          </w:p>
        </w:tc>
        <w:tc>
          <w:tcPr>
            <w:tcW w:type="dxa" w:w="2351"/>
          </w:tcPr>
          <w:p>
            <w:r>
              <w:t>Teknik onboarding + test desteği</w:t>
            </w:r>
          </w:p>
        </w:tc>
      </w:tr>
      <w:tr>
        <w:tc>
          <w:tcPr>
            <w:tcW w:type="dxa" w:w="2351"/>
          </w:tcPr>
          <w:p>
            <w:r>
              <w:t>C — Ajans/Custom</w:t>
            </w:r>
          </w:p>
        </w:tc>
        <w:tc>
          <w:tcPr>
            <w:tcW w:type="dxa" w:w="2351"/>
          </w:tcPr>
          <w:p>
            <w:r>
              <w:t>Dış yazılım şirketi bağımlı</w:t>
            </w:r>
          </w:p>
        </w:tc>
        <w:tc>
          <w:tcPr>
            <w:tcW w:type="dxa" w:w="2351"/>
          </w:tcPr>
          <w:p>
            <w:r>
              <w:t>%15</w:t>
            </w:r>
          </w:p>
        </w:tc>
        <w:tc>
          <w:tcPr>
            <w:tcW w:type="dxa" w:w="2351"/>
          </w:tcPr>
          <w:p>
            <w:r>
              <w:t>Ajans koordinasyonu, uzun süreç</w:t>
            </w:r>
          </w:p>
        </w:tc>
      </w:tr>
      <w:tr>
        <w:tc>
          <w:tcPr>
            <w:tcW w:type="dxa" w:w="2351"/>
          </w:tcPr>
          <w:p>
            <w:r>
              <w:t>D — KOBİ/Manuel</w:t>
            </w:r>
          </w:p>
        </w:tc>
        <w:tc>
          <w:tcPr>
            <w:tcW w:type="dxa" w:w="2351"/>
          </w:tcPr>
          <w:p>
            <w:r>
              <w:t>Teknik altyapısı zayıf</w:t>
            </w:r>
          </w:p>
        </w:tc>
        <w:tc>
          <w:tcPr>
            <w:tcW w:type="dxa" w:w="2351"/>
          </w:tcPr>
          <w:p>
            <w:r>
              <w:t>%10</w:t>
            </w:r>
          </w:p>
        </w:tc>
        <w:tc>
          <w:tcPr>
            <w:tcW w:type="dxa" w:w="2351"/>
          </w:tcPr>
          <w:p>
            <w:r>
              <w:t>Yoğun iletişim, basitleştirilmiş akış</w:t>
            </w:r>
          </w:p>
        </w:tc>
      </w:tr>
    </w:tbl>
    <w:p/>
    <w:p>
      <w:pPr>
        <w:pStyle w:val="Heading1"/>
      </w:pPr>
      <w:r>
        <w:t>6. Başarı Kriterleri ve KPI'lar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KPI</w:t>
            </w:r>
          </w:p>
        </w:tc>
        <w:tc>
          <w:tcPr>
            <w:tcW w:type="dxa" w:w="3135"/>
          </w:tcPr>
          <w:p>
            <w:r>
              <w:rPr>
                <w:b/>
              </w:rPr>
              <w:t>Hedef</w:t>
            </w:r>
          </w:p>
        </w:tc>
        <w:tc>
          <w:tcPr>
            <w:tcW w:type="dxa" w:w="3135"/>
          </w:tcPr>
          <w:p>
            <w:r>
              <w:rPr>
                <w:b/>
              </w:rPr>
              <w:t>Ölçüm</w:t>
            </w:r>
          </w:p>
        </w:tc>
      </w:tr>
      <w:tr>
        <w:tc>
          <w:tcPr>
            <w:tcW w:type="dxa" w:w="3135"/>
          </w:tcPr>
          <w:p>
            <w:r>
              <w:t>Migration tamamlanma oranı</w:t>
            </w:r>
          </w:p>
        </w:tc>
        <w:tc>
          <w:tcPr>
            <w:tcW w:type="dxa" w:w="3135"/>
          </w:tcPr>
          <w:p>
            <w:r>
              <w:t>≥%70 portföy, 36 ay içinde</w:t>
            </w:r>
          </w:p>
        </w:tc>
        <w:tc>
          <w:tcPr>
            <w:tcW w:type="dxa" w:w="3135"/>
          </w:tcPr>
          <w:p>
            <w:r>
              <w:t>Aylık</w:t>
            </w:r>
          </w:p>
        </w:tc>
      </w:tr>
      <w:tr>
        <w:tc>
          <w:tcPr>
            <w:tcW w:type="dxa" w:w="3135"/>
          </w:tcPr>
          <w:p>
            <w:r>
              <w:t>12 ay hedefi</w:t>
            </w:r>
          </w:p>
        </w:tc>
        <w:tc>
          <w:tcPr>
            <w:tcW w:type="dxa" w:w="3135"/>
          </w:tcPr>
          <w:p>
            <w:r>
              <w:t>1.000 merchant aktif</w:t>
            </w:r>
          </w:p>
        </w:tc>
        <w:tc>
          <w:tcPr>
            <w:tcW w:type="dxa" w:w="3135"/>
          </w:tcPr>
          <w:p>
            <w:r>
              <w:t>Kümülatif</w:t>
            </w:r>
          </w:p>
        </w:tc>
      </w:tr>
      <w:tr>
        <w:tc>
          <w:tcPr>
            <w:tcW w:type="dxa" w:w="3135"/>
          </w:tcPr>
          <w:p>
            <w:r>
              <w:t>36 ay hedefi</w:t>
            </w:r>
          </w:p>
        </w:tc>
        <w:tc>
          <w:tcPr>
            <w:tcW w:type="dxa" w:w="3135"/>
          </w:tcPr>
          <w:p>
            <w:r>
              <w:t>10.000 merchant aktif</w:t>
            </w:r>
          </w:p>
        </w:tc>
        <w:tc>
          <w:tcPr>
            <w:tcW w:type="dxa" w:w="3135"/>
          </w:tcPr>
          <w:p>
            <w:r>
              <w:t>Kümülatif</w:t>
            </w:r>
          </w:p>
        </w:tc>
      </w:tr>
      <w:tr>
        <w:tc>
          <w:tcPr>
            <w:tcW w:type="dxa" w:w="3135"/>
          </w:tcPr>
          <w:p>
            <w:r>
              <w:t>Merchant churn (migration kaynaklı)</w:t>
            </w:r>
          </w:p>
        </w:tc>
        <w:tc>
          <w:tcPr>
            <w:tcW w:type="dxa" w:w="3135"/>
          </w:tcPr>
          <w:p>
            <w:r>
              <w:t>&lt;%15</w:t>
            </w:r>
          </w:p>
        </w:tc>
        <w:tc>
          <w:tcPr>
            <w:tcW w:type="dxa" w:w="3135"/>
          </w:tcPr>
          <w:p>
            <w:r>
              <w:t>Aylık</w:t>
            </w:r>
          </w:p>
        </w:tc>
      </w:tr>
      <w:tr>
        <w:tc>
          <w:tcPr>
            <w:tcW w:type="dxa" w:w="3135"/>
          </w:tcPr>
          <w:p>
            <w:r>
              <w:t>Onboarding süresi — KOBİ</w:t>
            </w:r>
          </w:p>
        </w:tc>
        <w:tc>
          <w:tcPr>
            <w:tcW w:type="dxa" w:w="3135"/>
          </w:tcPr>
          <w:p>
            <w:r>
              <w:t>≤5 iş günü</w:t>
            </w:r>
          </w:p>
        </w:tc>
        <w:tc>
          <w:tcPr>
            <w:tcW w:type="dxa" w:w="3135"/>
          </w:tcPr>
          <w:p>
            <w:r>
              <w:t>Dalga bazlı</w:t>
            </w:r>
          </w:p>
        </w:tc>
      </w:tr>
    </w:tbl>
    <w:p/>
    <w:p>
      <w:pPr>
        <w:pStyle w:val="Heading1"/>
      </w:pPr>
      <w:r>
        <w:t>7. Kadro Modeli</w:t>
      </w:r>
    </w:p>
    <w:p>
      <w:r>
        <w:t>MMP, 12 kişilik lean bir ekip yapısıyla çalışır. Fazlara göre kadro esneklik gösterir: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Rol</w:t>
            </w:r>
          </w:p>
        </w:tc>
        <w:tc>
          <w:tcPr>
            <w:tcW w:type="dxa" w:w="2351"/>
          </w:tcPr>
          <w:p>
            <w:r>
              <w:rPr>
                <w:b/>
              </w:rPr>
              <w:t>Faz 1</w:t>
            </w:r>
          </w:p>
        </w:tc>
        <w:tc>
          <w:tcPr>
            <w:tcW w:type="dxa" w:w="2351"/>
          </w:tcPr>
          <w:p>
            <w:r>
              <w:rPr>
                <w:b/>
              </w:rPr>
              <w:t>Faz 2</w:t>
            </w:r>
          </w:p>
        </w:tc>
        <w:tc>
          <w:tcPr>
            <w:tcW w:type="dxa" w:w="2351"/>
          </w:tcPr>
          <w:p>
            <w:r>
              <w:rPr>
                <w:b/>
              </w:rPr>
              <w:t>Faz 3</w:t>
            </w:r>
          </w:p>
        </w:tc>
      </w:tr>
      <w:tr>
        <w:tc>
          <w:tcPr>
            <w:tcW w:type="dxa" w:w="2351"/>
          </w:tcPr>
          <w:p>
            <w:r>
              <w:t>Program Manager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1</w:t>
            </w:r>
          </w:p>
        </w:tc>
      </w:tr>
      <w:tr>
        <w:tc>
          <w:tcPr>
            <w:tcW w:type="dxa" w:w="2351"/>
          </w:tcPr>
          <w:p>
            <w:r>
              <w:t>Project Lead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1</w:t>
            </w:r>
          </w:p>
        </w:tc>
      </w:tr>
      <w:tr>
        <w:tc>
          <w:tcPr>
            <w:tcW w:type="dxa" w:w="2351"/>
          </w:tcPr>
          <w:p>
            <w:r>
              <w:t>Solution Architect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0</w:t>
            </w:r>
          </w:p>
        </w:tc>
      </w:tr>
      <w:tr>
        <w:tc>
          <w:tcPr>
            <w:tcW w:type="dxa" w:w="2351"/>
          </w:tcPr>
          <w:p>
            <w:r>
              <w:t>Sr. Payment Consultant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0</w:t>
            </w:r>
          </w:p>
        </w:tc>
      </w:tr>
      <w:tr>
        <w:tc>
          <w:tcPr>
            <w:tcW w:type="dxa" w:w="2351"/>
          </w:tcPr>
          <w:p>
            <w:r>
              <w:t>Migration Specialist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2</w:t>
            </w:r>
          </w:p>
        </w:tc>
      </w:tr>
      <w:tr>
        <w:tc>
          <w:tcPr>
            <w:tcW w:type="dxa" w:w="2351"/>
          </w:tcPr>
          <w:p>
            <w:r>
              <w:t>Technical Specialist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1</w:t>
            </w:r>
          </w:p>
        </w:tc>
      </w:tr>
      <w:tr>
        <w:tc>
          <w:tcPr>
            <w:tcW w:type="dxa" w:w="2351"/>
          </w:tcPr>
          <w:p>
            <w:r>
              <w:t>QA &amp; Test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0</w:t>
            </w:r>
          </w:p>
        </w:tc>
      </w:tr>
    </w:tbl>
    <w:p/>
    <w:p>
      <w:pPr>
        <w:pStyle w:val="Heading1"/>
      </w:pPr>
      <w:r>
        <w:t>8. Ticari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Kalem</w:t>
            </w:r>
          </w:p>
        </w:tc>
        <w:tc>
          <w:tcPr>
            <w:tcW w:type="dxa" w:w="3135"/>
          </w:tcPr>
          <w:p>
            <w:r>
              <w:rPr>
                <w:b/>
              </w:rPr>
              <w:t>Fiyat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Notlar</w:t>
            </w:r>
          </w:p>
        </w:tc>
      </w:tr>
      <w:tr>
        <w:tc>
          <w:tcPr>
            <w:tcW w:type="dxa" w:w="3135"/>
          </w:tcPr>
          <w:p>
            <w:r>
              <w:t>Discovery &amp; Pilot (Faz 1)</w:t>
            </w:r>
          </w:p>
        </w:tc>
        <w:tc>
          <w:tcPr>
            <w:tcW w:type="dxa" w:w="3135"/>
          </w:tcPr>
          <w:p>
            <w:r>
              <w:t>$150.000–$250.000 sabit bedel</w:t>
            </w:r>
          </w:p>
        </w:tc>
        <w:tc>
          <w:tcPr>
            <w:tcW w:type="dxa" w:w="3135"/>
          </w:tcPr>
          <w:p>
            <w:r>
              <w:t>2–3 aylık keşif ve pilot yürütme</w:t>
            </w:r>
          </w:p>
        </w:tc>
      </w:tr>
      <w:tr>
        <w:tc>
          <w:tcPr>
            <w:tcW w:type="dxa" w:w="3135"/>
          </w:tcPr>
          <w:p>
            <w:r>
              <w:t>Migration — Segment A&amp;B (Standart)</w:t>
            </w:r>
          </w:p>
        </w:tc>
        <w:tc>
          <w:tcPr>
            <w:tcW w:type="dxa" w:w="3135"/>
          </w:tcPr>
          <w:p>
            <w:r>
              <w:t>$65 / merchant</w:t>
            </w:r>
          </w:p>
        </w:tc>
        <w:tc>
          <w:tcPr>
            <w:tcW w:type="dxa" w:w="3135"/>
          </w:tcPr>
          <w:p>
            <w:r>
              <w:t>Hazır paket ve standart API</w:t>
            </w:r>
          </w:p>
        </w:tc>
      </w:tr>
      <w:tr>
        <w:tc>
          <w:tcPr>
            <w:tcW w:type="dxa" w:w="3135"/>
          </w:tcPr>
          <w:p>
            <w:r>
              <w:t>Migration — Segment C (Custom/Ajans)</w:t>
            </w:r>
          </w:p>
        </w:tc>
        <w:tc>
          <w:tcPr>
            <w:tcW w:type="dxa" w:w="3135"/>
          </w:tcPr>
          <w:p>
            <w:r>
              <w:t>$120–$150 / merchant</w:t>
            </w:r>
          </w:p>
        </w:tc>
        <w:tc>
          <w:tcPr>
            <w:tcW w:type="dxa" w:w="3135"/>
          </w:tcPr>
          <w:p>
            <w:r>
              <w:t>Dış yazılım şirketi koordinasyonu</w:t>
            </w:r>
          </w:p>
        </w:tc>
      </w:tr>
      <w:tr>
        <w:tc>
          <w:tcPr>
            <w:tcW w:type="dxa" w:w="3135"/>
          </w:tcPr>
          <w:p>
            <w:r>
              <w:t>İşlem Bazlı Gelir Payı</w:t>
            </w:r>
          </w:p>
        </w:tc>
        <w:tc>
          <w:tcPr>
            <w:tcW w:type="dxa" w:w="3135"/>
          </w:tcPr>
          <w:p>
            <w:r>
              <w:t>‰1.5–2.0</w:t>
            </w:r>
          </w:p>
        </w:tc>
        <w:tc>
          <w:tcPr>
            <w:tcW w:type="dxa" w:w="3135"/>
          </w:tcPr>
          <w:p>
            <w:r>
              <w:t>Ay 3'ten itibaren, aylık</w:t>
            </w:r>
          </w:p>
        </w:tc>
      </w:tr>
    </w:tbl>
    <w:p/>
    <w:p>
      <w:pPr>
        <w:pStyle w:val="Heading1"/>
      </w:pPr>
      <w:r>
        <w:t>9. Rekabet Üstünlüğü</w:t>
      </w:r>
    </w:p>
    <w:p>
      <w:pPr>
        <w:pStyle w:val="ListBullet"/>
      </w:pPr>
      <w:r>
        <w:t>💳 Ödeme sistemi uzmanlığı: Sanal POS, 3D Secure, MPI/ACS, Payten/iyzico ekosistemi bilgisi</w:t>
      </w:r>
    </w:p>
    <w:p>
      <w:pPr>
        <w:pStyle w:val="ListBullet"/>
      </w:pPr>
      <w:r>
        <w:t>🏭 Hazır playbook: Sıfırdan metodoloji geliştirme maliyeti ve riski yok</w:t>
      </w:r>
    </w:p>
    <w:p>
      <w:pPr>
        <w:pStyle w:val="ListBullet"/>
      </w:pPr>
      <w:r>
        <w:t>📊 Ölçülebilir taahhüt: %70 başarı kriteri ve KPI dashboard</w:t>
      </w:r>
    </w:p>
    <w:p>
      <w:pPr>
        <w:pStyle w:val="ListBullet"/>
      </w:pPr>
      <w:r>
        <w:t>⚡ Referans: QNB Finansbank 2020 — ~2.000 merchant, 14 ay, başarıyla tamamlandı</w:t>
      </w:r>
    </w:p>
    <w:p>
      <w:pPr>
        <w:pStyle w:val="ListBullet"/>
      </w:pPr>
      <w:r>
        <w:t>🔄 Ölçeklenebilir: 1.000 merchant'tan 10.000 merchant'a aynı metodoloji</w:t>
      </w:r>
    </w:p>
    <w:p>
      <w:pPr>
        <w:pStyle w:val="ListBullet"/>
      </w:pPr>
      <w:r>
        <w:t>🤝 Banka içi kaynak yükü minimal: Lean ekip modeli, koordinasyon masrafları düşük</w:t>
      </w:r>
    </w:p>
    <w:p>
      <w:pPr>
        <w:pStyle w:val="Heading1"/>
      </w:pPr>
      <w:r>
        <w:t>10. Satış Süreci ve Sonraki Adımlar</w:t>
      </w:r>
    </w:p>
    <w:p>
      <w:r>
        <w:rPr>
          <w:b/>
        </w:rPr>
        <w:t xml:space="preserve">Adım 1 — Ön Keşif Toplantısı: </w:t>
      </w:r>
      <w:r>
        <w:t>Bankanın mevcut durumu, portföy büyüklüğü ve hedefleri üzerine 1–2 saatlik workshop</w:t>
      </w:r>
    </w:p>
    <w:p>
      <w:r>
        <w:rPr>
          <w:b/>
        </w:rPr>
        <w:t xml:space="preserve">Adım 2 — Ön Veri Seti: </w:t>
      </w:r>
      <w:r>
        <w:t>Merchant listesi, hacim özeti, entegrasyon tipi dağılımı (5 iş günü içinde)</w:t>
      </w:r>
    </w:p>
    <w:p>
      <w:r>
        <w:rPr>
          <w:b/>
        </w:rPr>
        <w:t xml:space="preserve">Adım 3 — Pilot Teklifi: </w:t>
      </w:r>
      <w:r>
        <w:t>Discovery &amp; Pilot kapsamı + sabit bedel teklif → imza</w:t>
      </w:r>
    </w:p>
    <w:p>
      <w:r>
        <w:rPr>
          <w:b/>
        </w:rPr>
        <w:t xml:space="preserve">Adım 4 — Pilot Yürütme: </w:t>
      </w:r>
      <w:r>
        <w:t>100–300 merchant pilot, playbook doğrulama, öğrenim çıkarımı</w:t>
      </w:r>
    </w:p>
    <w:p>
      <w:r>
        <w:rPr>
          <w:b/>
        </w:rPr>
        <w:t xml:space="preserve">Adım 5 — Tam Program: </w:t>
      </w:r>
      <w:r>
        <w:t>Dalga bazlı 36 aylık migrasyon programı launch</w:t>
      </w:r>
    </w:p>
    <w:p/>
    <w:p>
      <w:pPr>
        <w:pStyle w:val="Heading1"/>
      </w:pPr>
      <w:r>
        <w:t>İletişim</w:t>
      </w:r>
    </w:p>
    <w:p>
      <w:r>
        <w:rPr>
          <w:b/>
        </w:rPr>
        <w:t xml:space="preserve">Finhouse A.Ş. | </w:t>
      </w:r>
      <w:r>
        <w:t>ayhan.agirgol@finhouse.com.tr | www.finhouse.ai</w:t>
      </w:r>
    </w:p>
    <w:p/>
    <w:p>
      <w:pPr>
        <w:jc w:val="center"/>
      </w:pPr>
      <w:r>
        <w:rPr>
          <w:color w:val="969696"/>
          <w:sz w:val="18"/>
        </w:rPr>
        <w:t>Bu doküman ticari sır niteliğindedir. İzinsiz dağıtılamaz. © 2026 Finhouse A.Ş.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