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ORTAK İŞ GELİŞTİRME PROTOKOLÜ</w:t>
      </w:r>
    </w:p>
    <w:p>
      <w:pPr>
        <w:jc w:val="center"/>
      </w:pPr>
      <w:r>
        <w:rPr>
          <w:b/>
          <w:sz w:val="26"/>
        </w:rPr>
        <w:t>Finhouse A.Ş. — Nilgün Yenice</w:t>
      </w:r>
    </w:p>
    <w:p>
      <w:pPr>
        <w:jc w:val="center"/>
      </w:pPr>
      <w:r>
        <w:rPr>
          <w:color w:val="787878"/>
          <w:sz w:val="20"/>
        </w:rPr>
        <w:t>Taslak · 31.03.2026</w:t>
      </w:r>
    </w:p>
    <w:p/>
    <w:p>
      <w:pPr>
        <w:pStyle w:val="Heading1"/>
      </w:pPr>
      <w:r>
        <w:t>1. Taraflar</w:t>
      </w:r>
    </w:p>
    <w:tbl>
      <w:tblPr>
        <w:tblStyle w:val="TableGrid"/>
        <w:tblW w:type="auto" w:w="0"/>
        <w:tblLook w:firstColumn="1" w:firstRow="1" w:lastColumn="0" w:lastRow="0" w:noHBand="0" w:noVBand="1" w:val="04A0"/>
      </w:tblPr>
      <w:tblGrid>
        <w:gridCol w:w="4561"/>
        <w:gridCol w:w="4561"/>
      </w:tblGrid>
      <w:tr>
        <w:tc>
          <w:tcPr>
            <w:tcW w:type="dxa" w:w="4561"/>
          </w:tcPr>
          <w:p>
            <w:r>
              <w:rPr>
                <w:b/>
              </w:rPr>
              <w:t>Birinci Taraf</w:t>
            </w:r>
          </w:p>
        </w:tc>
        <w:tc>
          <w:tcPr>
            <w:tcW w:type="dxa" w:w="4561"/>
          </w:tcPr>
          <w:p>
            <w:r>
              <w:rPr>
                <w:b/>
              </w:rPr>
              <w:t>İkinci Taraf</w:t>
            </w:r>
          </w:p>
        </w:tc>
      </w:tr>
      <w:tr>
        <w:tc>
          <w:tcPr>
            <w:tcW w:type="dxa" w:w="4561"/>
          </w:tcPr>
          <w:p>
            <w:r>
              <w:t>Finhouse Danışmanlık ve Teknoloji A.Ş.</w:t>
              <w:br/>
              <w:t>Adres: [●]</w:t>
              <w:br/>
              <w:t>Yetkili: Ayhan Ağırgöl</w:t>
              <w:br/>
              <w:t>E-posta: ayhan.agirgol@finhouse.com.tr</w:t>
            </w:r>
          </w:p>
        </w:tc>
        <w:tc>
          <w:tcPr>
            <w:tcW w:type="dxa" w:w="4561"/>
          </w:tcPr>
          <w:p>
            <w:r>
              <w:t>Nilgün Yenice</w:t>
              <w:br/>
              <w:t>Unvan: Bağımsız İş Geliştirme Danışmanı</w:t>
              <w:br/>
              <w:t>E-posta: nilgun.yenice@finhouse.com.tr</w:t>
              <w:br/>
              <w:t>Telefon: +90 532 582 64 47</w:t>
            </w:r>
          </w:p>
        </w:tc>
      </w:tr>
    </w:tbl>
    <w:p/>
    <w:p>
      <w:pPr>
        <w:pStyle w:val="Heading1"/>
      </w:pPr>
      <w:r>
        <w:t>2. Protokolün Konusu</w:t>
      </w:r>
    </w:p>
    <w:p>
      <w:r>
        <w:t>Bu protokol, Finhouse A.Ş. tarafından geliştirilen Merchant Migration Program çözümünün bankacılık ve fintech sektöründeki potansiyel müşterilere tanıtılması, satış süreçlerinin yürütülmesi ve iş fırsatlarının birlikte değerlendirilmesi amacıyla taraflar arasındaki iş birliği çerçevesini belirler.</w:t>
      </w:r>
    </w:p>
    <w:p>
      <w:pPr>
        <w:pStyle w:val="Heading1"/>
      </w:pPr>
      <w:r>
        <w:t>3. Tarafların Rolleri ve Sorumlulukları</w:t>
      </w:r>
    </w:p>
    <w:p>
      <w:pPr>
        <w:pStyle w:val="Heading2"/>
      </w:pPr>
      <w:r>
        <w:t>3.1 Finhouse A.Ş.</w:t>
      </w:r>
    </w:p>
    <w:p>
      <w:pPr>
        <w:pStyle w:val="ListBullet"/>
      </w:pPr>
      <w:r>
        <w:t>Merchant Migration Program çözümünün teknik ve operasyonel altyapısını sağlar</w:t>
      </w:r>
    </w:p>
    <w:p>
      <w:pPr>
        <w:pStyle w:val="ListBullet"/>
      </w:pPr>
      <w:r>
        <w:t>Müşteri görüşmelerine destek sunar; teknik sunum, demo ve teklif süreçlerini yürütür</w:t>
      </w:r>
    </w:p>
    <w:p>
      <w:pPr>
        <w:pStyle w:val="ListBullet"/>
      </w:pPr>
      <w:r>
        <w:t>Sözleşme imzalanan projeler için delivery ekibini oluşturur ve yönetir</w:t>
      </w:r>
    </w:p>
    <w:p>
      <w:pPr>
        <w:pStyle w:val="ListBullet"/>
      </w:pPr>
      <w:r>
        <w:t>Nilgün Yenice'ye çözüme ilişkin güncel sunum, doküman ve eğitim materyali sağlar</w:t>
      </w:r>
    </w:p>
    <w:p>
      <w:pPr>
        <w:pStyle w:val="ListBullet"/>
      </w:pPr>
      <w:r>
        <w:t>Başarıyla kapanan fırsatlar için belirlenen komisyon ödemelerini gerçekleştirir</w:t>
      </w:r>
    </w:p>
    <w:p>
      <w:pPr>
        <w:pStyle w:val="Heading2"/>
      </w:pPr>
      <w:r>
        <w:t>3.2 Nilgün Yenice</w:t>
      </w:r>
    </w:p>
    <w:p>
      <w:pPr>
        <w:pStyle w:val="ListBullet"/>
      </w:pPr>
      <w:r>
        <w:t>Bankacılık ve fintech sektöründeki iş geliştirme ağını Finhouse çözümlerinin tanıtımında kullanır</w:t>
      </w:r>
    </w:p>
    <w:p>
      <w:pPr>
        <w:pStyle w:val="ListBullet"/>
      </w:pPr>
      <w:r>
        <w:t>Potansiyel müşterileri Finhouse'a yönlendirir ve ilk temas süreçlerini yönetir</w:t>
      </w:r>
    </w:p>
    <w:p>
      <w:pPr>
        <w:pStyle w:val="ListBullet"/>
      </w:pPr>
      <w:r>
        <w:t>Müşteri görüşmelerinde Finhouse adına birlikte sunum yapabilir</w:t>
      </w:r>
    </w:p>
    <w:p>
      <w:pPr>
        <w:pStyle w:val="ListBullet"/>
      </w:pPr>
      <w:r>
        <w:t>Müşteri geri bildirimlerini Finhouse'a iletir ve süreç takibini sağlar</w:t>
      </w:r>
    </w:p>
    <w:p>
      <w:pPr>
        <w:pStyle w:val="ListBullet"/>
      </w:pPr>
      <w:r>
        <w:t>Rakiplere veya Finhouse ile çıkar çatışması yaratacak projelere dahil olmaz</w:t>
      </w:r>
    </w:p>
    <w:p>
      <w:pPr>
        <w:pStyle w:val="Heading1"/>
      </w:pPr>
      <w:r>
        <w:t>4. Ticari Model ve Komisyon</w:t>
      </w:r>
    </w:p>
    <w:p>
      <w:r>
        <w:t>Nilgün Yenice'nin yönlendirmesiyle gerçekleşen ve sözleşmesi imzalanan projelerde aşağıdaki komisyon modeli uygulanır:</w:t>
      </w:r>
    </w:p>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Proje Türü</w:t>
            </w:r>
          </w:p>
        </w:tc>
        <w:tc>
          <w:tcPr>
            <w:tcW w:type="dxa" w:w="3041"/>
          </w:tcPr>
          <w:p>
            <w:r>
              <w:rPr>
                <w:b/>
              </w:rPr>
              <w:t>Komisyon Oranı</w:t>
            </w:r>
          </w:p>
        </w:tc>
        <w:tc>
          <w:tcPr>
            <w:tcW w:type="dxa" w:w="3041"/>
          </w:tcPr>
          <w:p>
            <w:r>
              <w:rPr>
                <w:b/>
              </w:rPr>
              <w:t>Ödeme Zamanı</w:t>
            </w:r>
          </w:p>
        </w:tc>
      </w:tr>
      <w:tr>
        <w:tc>
          <w:tcPr>
            <w:tcW w:type="dxa" w:w="3041"/>
          </w:tcPr>
          <w:p>
            <w:r>
              <w:t>Discovery &amp; Pilot (Sabit Bedel)</w:t>
            </w:r>
          </w:p>
        </w:tc>
        <w:tc>
          <w:tcPr>
            <w:tcW w:type="dxa" w:w="3041"/>
          </w:tcPr>
          <w:p>
            <w:r>
              <w:t>%[●] · Sabit ücretin belirlenecek yüzdesi</w:t>
            </w:r>
          </w:p>
        </w:tc>
        <w:tc>
          <w:tcPr>
            <w:tcW w:type="dxa" w:w="3041"/>
          </w:tcPr>
          <w:p>
            <w:r>
              <w:t>Sözleşme imzasından itibaren 30 gün</w:t>
            </w:r>
          </w:p>
        </w:tc>
      </w:tr>
      <w:tr>
        <w:tc>
          <w:tcPr>
            <w:tcW w:type="dxa" w:w="3041"/>
          </w:tcPr>
          <w:p>
            <w:r>
              <w:t>Merchant Başı Migrasyon (Standart)</w:t>
            </w:r>
          </w:p>
        </w:tc>
        <w:tc>
          <w:tcPr>
            <w:tcW w:type="dxa" w:w="3041"/>
          </w:tcPr>
          <w:p>
            <w:r>
              <w:t>[●] USD / merchant</w:t>
            </w:r>
          </w:p>
        </w:tc>
        <w:tc>
          <w:tcPr>
            <w:tcW w:type="dxa" w:w="3041"/>
          </w:tcPr>
          <w:p>
            <w:r>
              <w:t>Her dalga kapanışında</w:t>
            </w:r>
          </w:p>
        </w:tc>
      </w:tr>
      <w:tr>
        <w:tc>
          <w:tcPr>
            <w:tcW w:type="dxa" w:w="3041"/>
          </w:tcPr>
          <w:p>
            <w:r>
              <w:t>İşlem Bazlı Gelir Payı</w:t>
            </w:r>
          </w:p>
        </w:tc>
        <w:tc>
          <w:tcPr>
            <w:tcW w:type="dxa" w:w="3041"/>
          </w:tcPr>
          <w:p>
            <w:r>
              <w:t>%[●] · Ay 3+ gelirinden</w:t>
            </w:r>
          </w:p>
        </w:tc>
        <w:tc>
          <w:tcPr>
            <w:tcW w:type="dxa" w:w="3041"/>
          </w:tcPr>
          <w:p>
            <w:r>
              <w:t>Aylık, T+30</w:t>
            </w:r>
          </w:p>
        </w:tc>
      </w:tr>
    </w:tbl>
    <w:p/>
    <w:p>
      <w:r>
        <w:rPr>
          <w:b/>
        </w:rPr>
        <w:t xml:space="preserve">Not: </w:t>
      </w:r>
      <w:r>
        <w:t>Komisyon oranları taraflarca ayrıca imzalanacak Ticari Ek'te kesinleştirilecektir. Bu protokol, söz konusu oranlar kararlaştırılmadan önce iş birliğinin çerçevesini belirler.</w:t>
      </w:r>
    </w:p>
    <w:p>
      <w:pPr>
        <w:pStyle w:val="Heading1"/>
      </w:pPr>
      <w:r>
        <w:t>5. Gizlilik</w:t>
      </w:r>
    </w:p>
    <w:p>
      <w:r>
        <w:t>Taraflar, bu protokol kapsamında edindikleri müşteri bilgilerini, ticari verileri ve iş stratejilerini üçüncü kişilerle paylaşmamayı ve yalnızca bu protokol amaçları doğrultusunda kullanmayı taahhüt eder. Bu yükümlülük protokolün sona ermesinden sonra 3 yıl süreyle geçerliliğini korur.</w:t>
      </w:r>
    </w:p>
    <w:p>
      <w:pPr>
        <w:pStyle w:val="Heading1"/>
      </w:pPr>
      <w:r>
        <w:t>6. Münhasırlık ve Rekabet Etmeme</w:t>
      </w:r>
    </w:p>
    <w:p>
      <w:r>
        <w:t>Bu protokol münhasır değildir; taraflar diğer iş ilişkilerini sürdürebilir. Ancak Nilgün Yenice, bu protokol kapsamında Finhouse'a ilettiği müşteri fırsatlarını eş zamanlı olarak rakip çözümlerle değerlendiremez. Protokol süresince ve sona ermesinden itibaren 6 ay boyunca, Nilgün Yenice'nin yönlendirdiği müşterilerle doğrudan rekabet eden ayrı bir migration programı kuramaz veya yönetemez.</w:t>
      </w:r>
    </w:p>
    <w:p>
      <w:pPr>
        <w:pStyle w:val="Heading1"/>
      </w:pPr>
      <w:r>
        <w:t>7. Süre ve Fesih</w:t>
      </w:r>
    </w:p>
    <w:p>
      <w:r>
        <w:t>Bu protokol imza tarihinden itibaren 12 ay süreyle geçerlidir ve tarafların yazılı mutabakatıyla yenilenebilir. Taraflardan biri, 30 gün önceden yazılı bildirimde bulunmak kaydıyla protokolü feshedebilir. Fesih, fesih öncesinde gerçekleşen ve hak kazanılmış komisyon ödemelerini etkilemez.</w:t>
      </w:r>
    </w:p>
    <w:p>
      <w:pPr>
        <w:pStyle w:val="Heading1"/>
      </w:pPr>
      <w:r>
        <w:t>8. Uygulanacak Hukuk ve Uyuşmazlık</w:t>
      </w:r>
    </w:p>
    <w:p>
      <w:r>
        <w:t>Bu protokol Türk Hukuku'na tabidir. Taraflar arasında doğacak uyuşmazlıklarda önce müzakere yolu denenir; çözüme kavuşulamazsa İstanbul mahkemeleri ve icra daireleri yetkilidir.</w:t>
      </w:r>
    </w:p>
    <w:p>
      <w:pPr>
        <w:pStyle w:val="Heading1"/>
      </w:pPr>
      <w:r>
        <w:t>9. İmzalar</w:t>
      </w:r>
    </w:p>
    <w:p/>
    <w:tbl>
      <w:tblPr>
        <w:tblW w:type="auto" w:w="0"/>
        <w:tblLook w:firstColumn="1" w:firstRow="1" w:lastColumn="0" w:lastRow="0" w:noHBand="0" w:noVBand="1" w:val="04A0"/>
      </w:tblPr>
      <w:tblGrid>
        <w:gridCol w:w="4561"/>
        <w:gridCol w:w="4561"/>
      </w:tblGrid>
      <w:tr>
        <w:tc>
          <w:tcPr>
            <w:tcW w:type="dxa" w:w="4561"/>
          </w:tcPr>
          <w:p>
            <w:r>
              <w:rPr>
                <w:b/>
              </w:rPr>
              <w:t>Finhouse A.Ş. adına:</w:t>
            </w:r>
          </w:p>
        </w:tc>
        <w:tc>
          <w:tcPr>
            <w:tcW w:type="dxa" w:w="4561"/>
          </w:tcPr>
          <w:p>
            <w:r>
              <w:rPr>
                <w:b/>
              </w:rPr>
              <w:t>Nilgün Yenice adına:</w:t>
            </w:r>
          </w:p>
        </w:tc>
      </w:tr>
      <w:tr>
        <w:tc>
          <w:tcPr>
            <w:tcW w:type="dxa" w:w="4561"/>
          </w:tcPr>
          <w:p>
            <w:r/>
          </w:p>
        </w:tc>
        <w:tc>
          <w:tcPr>
            <w:tcW w:type="dxa" w:w="4561"/>
          </w:tcPr>
          <w:p>
            <w:r/>
          </w:p>
        </w:tc>
      </w:tr>
      <w:tr>
        <w:tc>
          <w:tcPr>
            <w:tcW w:type="dxa" w:w="4561"/>
          </w:tcPr>
          <w:p>
            <w:r>
              <w:t>Ad Soyad: Ayhan Ağırgöl</w:t>
            </w:r>
          </w:p>
        </w:tc>
        <w:tc>
          <w:tcPr>
            <w:tcW w:type="dxa" w:w="4561"/>
          </w:tcPr>
          <w:p>
            <w:r>
              <w:t>Ad Soyad: Nilgün Yenice</w:t>
            </w:r>
          </w:p>
        </w:tc>
      </w:tr>
      <w:tr>
        <w:tc>
          <w:tcPr>
            <w:tcW w:type="dxa" w:w="4561"/>
          </w:tcPr>
          <w:p>
            <w:r>
              <w:t>Tarih: ___/___/2026</w:t>
            </w:r>
          </w:p>
        </w:tc>
        <w:tc>
          <w:tcPr>
            <w:tcW w:type="dxa" w:w="4561"/>
          </w:tcPr>
          <w:p>
            <w:r>
              <w:t>Tarih: ___/___/2026</w:t>
            </w:r>
          </w:p>
        </w:tc>
      </w:tr>
      <w:tr>
        <w:tc>
          <w:tcPr>
            <w:tcW w:type="dxa" w:w="4561"/>
          </w:tcPr>
          <w:p>
            <w:r>
              <w:t>İmza: ____________________</w:t>
            </w:r>
          </w:p>
        </w:tc>
        <w:tc>
          <w:tcPr>
            <w:tcW w:type="dxa" w:w="4561"/>
          </w:tcPr>
          <w:p>
            <w:r>
              <w:t>İmza: ____________________</w:t>
            </w:r>
          </w:p>
        </w:tc>
      </w:tr>
    </w:tbl>
    <w:p/>
    <w:p>
      <w:pPr>
        <w:jc w:val="center"/>
      </w:pPr>
      <w:r>
        <w:rPr>
          <w:color w:val="969696"/>
          <w:sz w:val="18"/>
        </w:rPr>
        <w:t>Bu doküman taslak niteliğindedir. Hukuki bağlayıcılık için avukat incelemesi önerilir.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