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Five Doors, One Record: Integrated Digital Legal Aid System (DLAS)</w:t>
      </w:r>
    </w:p>
    <w:p>
      <w:pPr>
        <w:pStyle w:val="Subtitle"/>
      </w:pPr>
      <w:r>
        <w:t>Solution paper · ADLASB Grand Finale · 26 September 2026 · all data fictional</w:t>
      </w:r>
    </w:p>
    <w:p>
      <w:pPr>
        <w:spacing w:after="40"/>
        <w:ind w:left="142"/>
        <w:pBdr>
          <w:left w:val="single" w:sz="18" w:space="6" w:color="0B6B4F"/>
        </w:pBdr>
      </w:pPr>
      <w:r>
        <w:rPr>
          <w:b w:val="0"/>
          <w:i w:val="0"/>
          <w:sz w:val="20"/>
        </w:rPr>
        <w:t xml:space="preserve">One system, not 23 islands: every citizen door, provider role and technical feature works on </w:t>
      </w:r>
      <w:r>
        <w:rPr>
          <w:b/>
          <w:i w:val="0"/>
          <w:sz w:val="20"/>
        </w:rPr>
        <w:t>one authoritative Application/Case record</w:t>
      </w:r>
      <w:r>
        <w:rPr>
          <w:b w:val="0"/>
          <w:i w:val="0"/>
          <w:sz w:val="20"/>
        </w:rPr>
        <w:t>. AI suggests; authorised humans decide.</w:t>
      </w:r>
    </w:p>
    <w:p>
      <w:pPr>
        <w:pStyle w:val="Heading1"/>
      </w:pPr>
      <w:r>
        <w:t>1. Architecture and integration map</w:t>
      </w:r>
    </w:p>
    <w:p>
      <w:r>
        <w:rPr>
          <w:b w:val="0"/>
          <w:i w:val="0"/>
        </w:rPr>
        <w:t xml:space="preserve">React/Vite PWA → Express 5 API (MVC) → MongoDB with transactions. Submission issues an </w:t>
      </w:r>
      <w:r>
        <w:rPr>
          <w:b/>
          <w:i w:val="0"/>
        </w:rPr>
        <w:t>Application ID</w:t>
      </w:r>
      <w:r>
        <w:rPr>
          <w:b w:val="0"/>
          <w:i w:val="0"/>
        </w:rPr>
        <w:t xml:space="preserve">; only a DLAO officer's acceptance creates the </w:t>
      </w:r>
      <w:r>
        <w:rPr>
          <w:b/>
          <w:i w:val="0"/>
        </w:rPr>
        <w:t>Case ID</w:t>
      </w:r>
      <w:r>
        <w:rPr>
          <w:b w:val="0"/>
          <w:i w:val="0"/>
        </w:rPr>
        <w:t>. Facts, tasks, documents, referrals, mediation and lawyer work attach to that record. The server enforces role, office and assignment. Optional Groq AI always has a manual fallback.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D5DCE3"/>
          <w:left w:val="single" w:sz="4" w:space="0" w:color="D5DCE3"/>
          <w:bottom w:val="single" w:sz="4" w:space="0" w:color="D5DCE3"/>
          <w:right w:val="single" w:sz="4" w:space="0" w:color="D5DCE3"/>
          <w:insideH w:val="nil" w:sz="0" w:space="0" w:color="auto"/>
          <w:insideV w:val="single" w:sz="24" w:space="0" w:color="FFFFFF"/>
        </w:tblBorders>
        <w:tblLayout w:type="fixed"/>
        <w:tblCellMar>
          <w:top w:w="50" w:type="dxa"/>
          <w:left w:w="70" w:type="dxa"/>
          <w:bottom w:w="50" w:type="dxa"/>
          <w:right w:w="70" w:type="dxa"/>
        </w:tblCellMar>
        <w:tblLayout w:type="fixed"/>
        <w:tblW w:w="10318" w:type="dxa"/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2064"/>
            <w:shd w:val="clear" w:color="auto" w:fill="E7F3EE"/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i w:val="0"/>
                <w:color w:val="0B6B4F"/>
                <w:sz w:val="16"/>
              </w:rPr>
              <w:t>16699 voice call (simulated)</w:t>
            </w:r>
          </w:p>
        </w:tc>
        <w:tc>
          <w:tcPr>
            <w:tcW w:type="dxa" w:w="2064"/>
            <w:shd w:val="clear" w:color="auto" w:fill="E7F3EE"/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i w:val="0"/>
                <w:color w:val="0B6B4F"/>
                <w:sz w:val="16"/>
              </w:rPr>
              <w:t>Citizen web / PWA</w:t>
            </w:r>
          </w:p>
        </w:tc>
        <w:tc>
          <w:tcPr>
            <w:tcW w:type="dxa" w:w="2064"/>
            <w:shd w:val="clear" w:color="auto" w:fill="E7F3EE"/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i w:val="0"/>
                <w:color w:val="0B6B4F"/>
                <w:sz w:val="16"/>
              </w:rPr>
              <w:t>UDC assisted, offline</w:t>
            </w:r>
          </w:p>
        </w:tc>
        <w:tc>
          <w:tcPr>
            <w:tcW w:type="dxa" w:w="2064"/>
            <w:shd w:val="clear" w:color="auto" w:fill="E7F3EE"/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i w:val="0"/>
                <w:color w:val="0B6B4F"/>
                <w:sz w:val="16"/>
              </w:rPr>
              <w:t>Helpline &amp; DLAO desk</w:t>
            </w:r>
          </w:p>
        </w:tc>
        <w:tc>
          <w:tcPr>
            <w:tcW w:type="dxa" w:w="2064"/>
            <w:shd w:val="clear" w:color="auto" w:fill="E7F3EE"/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i w:val="0"/>
                <w:color w:val="0B6B4F"/>
                <w:sz w:val="16"/>
              </w:rPr>
              <w:t>Inter-office referral</w:t>
            </w:r>
          </w:p>
        </w:tc>
      </w:tr>
      <w:tr>
        <w:tc>
          <w:tcPr>
            <w:tcW w:type="dxa" w:w="10320"/>
            <w:gridSpan w:val="5"/>
          </w:tcPr>
          <w:p>
            <w:pPr>
              <w:spacing w:after="0"/>
              <w:jc w:val="center"/>
            </w:pPr>
            <w:r>
              <w:rPr>
                <w:b/>
                <w:color w:val="0B6B4F"/>
                <w:sz w:val="17"/>
              </w:rPr>
              <w:t xml:space="preserve"> Application ID </w:t>
            </w:r>
            <w:r>
              <w:rPr>
                <w:color w:val="52606D"/>
                <w:sz w:val="17"/>
              </w:rPr>
              <w:t xml:space="preserve">  →  </w:t>
            </w:r>
            <w:r>
              <w:rPr>
                <w:b/>
                <w:color w:val="FFFFFF"/>
                <w:sz w:val="17"/>
                <w:shd w:val="clear" w:color="auto" w:fill="0B6B4F"/>
              </w:rPr>
              <w:t xml:space="preserve"> DLAO review </w:t>
            </w:r>
            <w:r>
              <w:rPr>
                <w:color w:val="52606D"/>
                <w:sz w:val="17"/>
              </w:rPr>
              <w:t xml:space="preserve">  →  </w:t>
            </w:r>
            <w:r>
              <w:rPr>
                <w:b/>
                <w:color w:val="0B6B4F"/>
                <w:sz w:val="17"/>
              </w:rPr>
              <w:t xml:space="preserve"> Case ID </w:t>
            </w:r>
            <w:r>
              <w:rPr>
                <w:color w:val="52606D"/>
                <w:sz w:val="17"/>
              </w:rPr>
              <w:t xml:space="preserve">  →  </w:t>
            </w:r>
            <w:r>
              <w:rPr>
                <w:b/>
                <w:color w:val="0B6B4F"/>
                <w:sz w:val="17"/>
              </w:rPr>
              <w:t xml:space="preserve"> Mediation, lawyer or referral </w:t>
            </w:r>
            <w:r>
              <w:rPr>
                <w:color w:val="52606D"/>
                <w:sz w:val="17"/>
              </w:rPr>
              <w:t xml:space="preserve">  →  </w:t>
            </w:r>
            <w:r>
              <w:rPr>
                <w:b/>
                <w:color w:val="0B6B4F"/>
                <w:sz w:val="17"/>
              </w:rPr>
              <w:t xml:space="preserve"> Follow-up </w:t>
            </w:r>
            <w:r>
              <w:rPr>
                <w:color w:val="52606D"/>
                <w:sz w:val="17"/>
              </w:rPr>
              <w:t xml:space="preserve">  →  </w:t>
            </w:r>
            <w:r>
              <w:rPr>
                <w:b/>
                <w:color w:val="FFFFFF"/>
                <w:sz w:val="17"/>
                <w:shd w:val="clear" w:color="auto" w:fill="0B6B4F"/>
              </w:rPr>
              <w:t xml:space="preserve"> Outcome &amp; closure </w:t>
            </w:r>
          </w:p>
        </w:tc>
      </w:tr>
      <w:tr>
        <w:tc>
          <w:tcPr>
            <w:tcW w:type="dxa" w:w="10320"/>
            <w:gridSpan w:val="5"/>
            <w:shd w:val="clear" w:color="auto" w:fill="F3F5F7"/>
          </w:tcPr>
          <w:p>
            <w:pPr>
              <w:spacing w:after="0" w:before="0"/>
              <w:jc w:val="center"/>
            </w:pPr>
            <w:r>
              <w:rPr>
                <w:b/>
                <w:i w:val="0"/>
                <w:sz w:val="16"/>
              </w:rPr>
              <w:t>Travels with the record:</w:t>
            </w:r>
            <w:r>
              <w:rPr>
                <w:b w:val="0"/>
                <w:i w:val="0"/>
                <w:sz w:val="16"/>
              </w:rPr>
              <w:t xml:space="preserve"> provenance, safe contact, deadlines, versioned documents, restricted evidence and hash-chained audit</w:t>
            </w:r>
          </w:p>
        </w:tc>
      </w:tr>
    </w:tbl>
    <w:p>
      <w:pPr>
        <w:pStyle w:val="Heading1"/>
      </w:pPr>
      <w:r>
        <w:t>2. The 23 problems and our solutions</w:t>
      </w:r>
    </w:p>
    <w:tbl>
      <w:tblPr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single" w:sz="4" w:space="0" w:color="D5DCE3"/>
          <w:right w:val="nil" w:sz="0" w:space="0" w:color="auto"/>
          <w:insideH w:val="single" w:sz="4" w:space="0" w:color="D5DCE3"/>
          <w:insideV w:val="nil" w:sz="0" w:space="0" w:color="auto"/>
        </w:tblBorders>
        <w:tblLayout w:type="fixed"/>
        <w:tblCellMar>
          <w:top w:w="45" w:type="dxa"/>
          <w:left w:w="85" w:type="dxa"/>
          <w:bottom w:w="45" w:type="dxa"/>
          <w:right w:w="85" w:type="dxa"/>
        </w:tblCellMar>
        <w:tblLayout w:type="fixed"/>
        <w:tblW w:w="10318" w:type="dxa"/>
      </w:tblPr>
      <w:tblGrid>
        <w:gridCol w:w="567"/>
        <w:gridCol w:w="2494"/>
        <w:gridCol w:w="5783"/>
        <w:gridCol w:w="1474"/>
      </w:tblGrid>
      <w:tr>
        <w:trPr>
          <w:cantSplit/>
          <w:tblHeader/>
        </w:trPr>
        <w:tc>
          <w:tcPr>
            <w:tcW w:type="dxa" w:w="567"/>
            <w:tcBorders>
              <w:bottom w:val="single" w:sz="8" w:space="0" w:color="1C2530"/>
            </w:tcBorders>
          </w:tcPr>
          <w:p>
            <w:pPr>
              <w:spacing w:after="0" w:before="0"/>
            </w:pPr>
            <w:r>
              <w:rPr>
                <w:b/>
                <w:i w:val="0"/>
                <w:color w:val="52606D"/>
                <w:sz w:val="15"/>
              </w:rPr>
              <w:t>#</w:t>
            </w:r>
          </w:p>
        </w:tc>
        <w:tc>
          <w:tcPr>
            <w:tcW w:type="dxa" w:w="2494"/>
            <w:tcBorders>
              <w:bottom w:val="single" w:sz="8" w:space="0" w:color="1C2530"/>
            </w:tcBorders>
          </w:tcPr>
          <w:p>
            <w:pPr>
              <w:spacing w:after="0" w:before="0"/>
            </w:pPr>
            <w:r>
              <w:rPr>
                <w:b/>
                <w:i w:val="0"/>
                <w:color w:val="52606D"/>
                <w:sz w:val="15"/>
              </w:rPr>
              <w:t>PROBLEM</w:t>
            </w:r>
          </w:p>
        </w:tc>
        <w:tc>
          <w:tcPr>
            <w:tcW w:type="dxa" w:w="5783"/>
            <w:tcBorders>
              <w:bottom w:val="single" w:sz="8" w:space="0" w:color="1C2530"/>
            </w:tcBorders>
          </w:tcPr>
          <w:p>
            <w:pPr>
              <w:spacing w:after="0" w:before="0"/>
            </w:pPr>
            <w:r>
              <w:rPr>
                <w:b/>
                <w:i w:val="0"/>
                <w:color w:val="52606D"/>
                <w:sz w:val="15"/>
              </w:rPr>
              <w:t>SOLUTION</w:t>
            </w:r>
          </w:p>
        </w:tc>
        <w:tc>
          <w:tcPr>
            <w:tcW w:type="dxa" w:w="1474"/>
            <w:tcBorders>
              <w:bottom w:val="single" w:sz="8" w:space="0" w:color="1C2530"/>
            </w:tcBorders>
          </w:tcPr>
          <w:p>
            <w:pPr>
              <w:spacing w:after="0" w:before="0"/>
            </w:pPr>
            <w:r>
              <w:rPr>
                <w:b/>
                <w:i w:val="0"/>
                <w:color w:val="52606D"/>
                <w:sz w:val="15"/>
              </w:rPr>
              <w:t>STATUS</w:t>
            </w:r>
          </w:p>
        </w:tc>
      </w:tr>
      <w:tr>
        <w:trPr>
          <w:cantSplit/>
        </w:trPr>
        <w:tc>
          <w:tcPr>
            <w:tcW w:type="dxa" w:w="1474"/>
            <w:gridSpan w:val="4"/>
            <w:shd w:val="clear" w:color="auto" w:fill="E7F3EE"/>
          </w:tcPr>
          <w:p>
            <w:pPr>
              <w:keepNext/>
              <w:spacing w:after="0" w:before="0"/>
            </w:pPr>
            <w:r>
              <w:rPr>
                <w:b/>
                <w:i w:val="0"/>
                <w:color w:val="0B6B4F"/>
                <w:sz w:val="15"/>
              </w:rPr>
              <w:t>PART A: CITIZENS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before="0"/>
            </w:pPr>
            <w:r>
              <w:rPr>
                <w:b/>
                <w:i w:val="0"/>
                <w:color w:val="0B6B4F"/>
                <w:sz w:val="17"/>
              </w:rPr>
              <w:t>A1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b/>
                <w:i w:val="0"/>
                <w:sz w:val="17"/>
              </w:rPr>
              <w:t>Moyuri: unsafe contact, no NID, brother reports</w:t>
            </w:r>
          </w:p>
        </w:tc>
        <w:tc>
          <w:tcPr>
            <w:tcW w:type="dxa" w:w="5783"/>
          </w:tcPr>
          <w:p>
            <w:pPr>
              <w:spacing w:after="0" w:before="0"/>
            </w:pPr>
            <w:r>
              <w:rPr>
                <w:b w:val="0"/>
                <w:i w:val="0"/>
                <w:sz w:val="17"/>
              </w:rPr>
              <w:t xml:space="preserve">Ripon's facts stay </w:t>
            </w:r>
            <w:r>
              <w:rPr>
                <w:rFonts w:ascii="Consolas" w:hAnsi="Consolas" w:cs="Consolas" w:eastAsia="Consolas"/>
                <w:b w:val="0"/>
                <w:i w:val="0"/>
                <w:sz w:val="15"/>
              </w:rPr>
              <w:t>REPRESENTATIVE_REPORTED</w:t>
            </w:r>
            <w:r>
              <w:rPr>
                <w:b w:val="0"/>
                <w:i w:val="0"/>
                <w:sz w:val="17"/>
              </w:rPr>
              <w:t xml:space="preserve"> and identity incomplete until she confirms. Safe-contact profile enforced; if someone else answers, nothing is disclosed. Her correction is appended as </w:t>
            </w:r>
            <w:r>
              <w:rPr>
                <w:rFonts w:ascii="Consolas" w:hAnsi="Consolas" w:cs="Consolas" w:eastAsia="Consolas"/>
                <w:b w:val="0"/>
                <w:i w:val="0"/>
                <w:sz w:val="15"/>
              </w:rPr>
              <w:t>APPLICANT_CONFIRMED</w:t>
            </w:r>
            <w:r>
              <w:rPr>
                <w:b w:val="0"/>
                <w:i w:val="0"/>
                <w:sz w:val="17"/>
              </w:rPr>
              <w:t>; his version stays.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>
              <w:rPr>
                <w:b/>
                <w:color w:val="92400E"/>
                <w:sz w:val="16"/>
                <w:shd w:val="clear" w:color="auto" w:fill="FDF1D8"/>
              </w:rPr>
              <w:t xml:space="preserve"> Partial </w:t>
            </w:r>
          </w:p>
          <w:p>
            <w:pPr>
              <w:spacing w:after="0"/>
            </w:pPr>
            <w:r>
              <w:rPr>
                <w:b w:val="0"/>
                <w:i w:val="0"/>
                <w:color w:val="92400E"/>
                <w:sz w:val="15"/>
              </w:rPr>
              <w:t>Officer-attested correction; no self-service screen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before="0"/>
            </w:pPr>
            <w:r>
              <w:rPr>
                <w:b/>
                <w:i w:val="0"/>
                <w:color w:val="0B6B4F"/>
                <w:sz w:val="17"/>
              </w:rPr>
              <w:t>A2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b/>
                <w:i w:val="0"/>
                <w:sz w:val="17"/>
              </w:rPr>
              <w:t>Ripon: blind representative</w:t>
            </w:r>
          </w:p>
        </w:tc>
        <w:tc>
          <w:tcPr>
            <w:tcW w:type="dxa" w:w="5783"/>
          </w:tcPr>
          <w:p>
            <w:pPr>
              <w:spacing w:after="0" w:before="0"/>
            </w:pPr>
            <w:r>
              <w:rPr>
                <w:b w:val="0"/>
                <w:i w:val="0"/>
                <w:sz w:val="17"/>
              </w:rPr>
              <w:t>Voice or keypad call with 38 recorded Bangla prompts, read-back, ID and PIN spoken; no CAPTCHA, visual OTP or PDF. Representation stays pending.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>
              <w:rPr>
                <w:b/>
                <w:color w:val="92400E"/>
                <w:sz w:val="16"/>
                <w:shd w:val="clear" w:color="auto" w:fill="FDF1D8"/>
              </w:rPr>
              <w:t xml:space="preserve"> Partial </w:t>
            </w:r>
          </w:p>
          <w:p>
            <w:pPr>
              <w:spacing w:after="0"/>
            </w:pPr>
            <w:r>
              <w:rPr>
                <w:b w:val="0"/>
                <w:i w:val="0"/>
                <w:color w:val="92400E"/>
                <w:sz w:val="15"/>
              </w:rPr>
              <w:t>Blind-user test pending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before="0"/>
            </w:pPr>
            <w:r>
              <w:rPr>
                <w:b/>
                <w:i w:val="0"/>
                <w:color w:val="0B6B4F"/>
                <w:sz w:val="17"/>
              </w:rPr>
              <w:t>A3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b/>
                <w:i w:val="0"/>
                <w:sz w:val="17"/>
              </w:rPr>
              <w:t>Nabila: urgent, sensitive images</w:t>
            </w:r>
          </w:p>
        </w:tc>
        <w:tc>
          <w:tcPr>
            <w:tcW w:type="dxa" w:w="5783"/>
          </w:tcPr>
          <w:p>
            <w:pPr>
              <w:spacing w:after="0" w:before="0"/>
            </w:pPr>
            <w:r>
              <w:rPr>
                <w:b w:val="0"/>
                <w:i w:val="0"/>
                <w:sz w:val="17"/>
              </w:rPr>
              <w:t>Urgency reasons with evidence; officer sets priority. Restricted evidence needs a named grant or open referral; every access logged. Tracked referral; no acknowledgement → follow-up task.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>
              <w:rPr>
                <w:b/>
                <w:i w:val="0"/>
                <w:color w:val="0B6B4F"/>
                <w:sz w:val="17"/>
              </w:rPr>
              <w:t>Built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before="0"/>
            </w:pPr>
            <w:r>
              <w:rPr>
                <w:b/>
                <w:i w:val="0"/>
                <w:color w:val="0B6B4F"/>
                <w:sz w:val="17"/>
              </w:rPr>
              <w:t>A4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b/>
                <w:i w:val="0"/>
                <w:sz w:val="17"/>
              </w:rPr>
              <w:t>Nuching: Marma, cannot read, weak network</w:t>
            </w:r>
          </w:p>
        </w:tc>
        <w:tc>
          <w:tcPr>
            <w:tcW w:type="dxa" w:w="5783"/>
          </w:tcPr>
          <w:p>
            <w:pPr>
              <w:spacing w:after="0" w:before="0"/>
            </w:pPr>
            <w:r>
              <w:rPr>
                <w:b w:val="0"/>
                <w:i w:val="0"/>
                <w:sz w:val="17"/>
              </w:rPr>
              <w:t>Applicant, helper, translator and typist recorded separately; Marma original beside translation, read back; helper's phone never becomes applicant contact; drafts survive network loss.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>
              <w:rPr>
                <w:b/>
                <w:i w:val="0"/>
                <w:color w:val="0B6B4F"/>
                <w:sz w:val="17"/>
              </w:rPr>
              <w:t>Built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before="0"/>
            </w:pPr>
            <w:r>
              <w:rPr>
                <w:b/>
                <w:i w:val="0"/>
                <w:color w:val="0B6B4F"/>
                <w:sz w:val="17"/>
              </w:rPr>
              <w:t>A5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b/>
                <w:i w:val="0"/>
                <w:sz w:val="17"/>
              </w:rPr>
              <w:t>Malek: long case, shop phone, silent lawyer</w:t>
            </w:r>
          </w:p>
        </w:tc>
        <w:tc>
          <w:tcPr>
            <w:tcW w:type="dxa" w:w="5783"/>
          </w:tcPr>
          <w:p>
            <w:pPr>
              <w:spacing w:after="0" w:before="0"/>
            </w:pPr>
            <w:r>
              <w:rPr>
                <w:b w:val="0"/>
                <w:i w:val="0"/>
                <w:sz w:val="17"/>
              </w:rPr>
              <w:t>“Ask by Voice”: he speaks his ID and PIN and hears stage, hearing date and next step, after a private-listening check. Failed contacts logged; overdue lawyer updates alert the DLAO.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>
              <w:rPr>
                <w:b/>
                <w:i w:val="0"/>
                <w:color w:val="0B6B4F"/>
                <w:sz w:val="17"/>
              </w:rPr>
              <w:t>Built</w:t>
            </w:r>
          </w:p>
        </w:tc>
      </w:tr>
      <w:tr>
        <w:trPr>
          <w:cantSplit/>
        </w:trPr>
        <w:tc>
          <w:tcPr>
            <w:tcW w:type="dxa" w:w="1474"/>
            <w:gridSpan w:val="4"/>
            <w:shd w:val="clear" w:color="auto" w:fill="E7F3EE"/>
          </w:tcPr>
          <w:p>
            <w:pPr>
              <w:keepNext/>
              <w:spacing w:after="0" w:before="0"/>
            </w:pPr>
            <w:r>
              <w:rPr>
                <w:b/>
                <w:i w:val="0"/>
                <w:color w:val="0B6B4F"/>
                <w:sz w:val="15"/>
              </w:rPr>
              <w:t>PART B: PROVIDERS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before="0"/>
            </w:pPr>
            <w:r>
              <w:rPr>
                <w:b/>
                <w:i w:val="0"/>
                <w:color w:val="0B6B4F"/>
                <w:sz w:val="17"/>
              </w:rPr>
              <w:t>B1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b/>
                <w:i w:val="0"/>
                <w:sz w:val="17"/>
              </w:rPr>
              <w:t>DLAO officer: scattered registers</w:t>
            </w:r>
          </w:p>
        </w:tc>
        <w:tc>
          <w:tcPr>
            <w:tcW w:type="dxa" w:w="5783"/>
          </w:tcPr>
          <w:p>
            <w:pPr>
              <w:spacing w:after="0" w:before="0"/>
            </w:pPr>
            <w:r>
              <w:rPr>
                <w:b w:val="0"/>
                <w:i w:val="0"/>
                <w:sz w:val="17"/>
              </w:rPr>
              <w:t>One office queue: flag reasons, ageing, owner, next action, search; priority override needs a reason and is audited.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>
              <w:rPr>
                <w:b/>
                <w:i w:val="0"/>
                <w:color w:val="0B6B4F"/>
                <w:sz w:val="17"/>
              </w:rPr>
              <w:t>Built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before="0"/>
            </w:pPr>
            <w:r>
              <w:rPr>
                <w:b/>
                <w:i w:val="0"/>
                <w:color w:val="0B6B4F"/>
                <w:sz w:val="17"/>
              </w:rPr>
              <w:t>B2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b/>
                <w:i w:val="0"/>
                <w:sz w:val="17"/>
              </w:rPr>
              <w:t>Mediator</w:t>
            </w:r>
          </w:p>
        </w:tc>
        <w:tc>
          <w:tcPr>
            <w:tcW w:type="dxa" w:w="5783"/>
          </w:tcPr>
          <w:p>
            <w:pPr>
              <w:spacing w:after="0" w:before="0"/>
            </w:pPr>
            <w:r>
              <w:rPr>
                <w:b w:val="0"/>
                <w:i w:val="0"/>
                <w:sz w:val="17"/>
              </w:rPr>
              <w:t>Registration, scheduling (in-person, remote or hybrid), notices, documents, attendance, session and outcome, with T7 drafting and T11 signing.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>
              <w:rPr>
                <w:b/>
                <w:i w:val="0"/>
                <w:color w:val="0B6B4F"/>
                <w:sz w:val="17"/>
              </w:rPr>
              <w:t>Built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before="0"/>
            </w:pPr>
            <w:r>
              <w:rPr>
                <w:b/>
                <w:i w:val="0"/>
                <w:color w:val="0B6B4F"/>
                <w:sz w:val="17"/>
              </w:rPr>
              <w:t>B3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b/>
                <w:i w:val="0"/>
                <w:sz w:val="17"/>
              </w:rPr>
              <w:t>16699 helpline agent</w:t>
            </w:r>
          </w:p>
        </w:tc>
        <w:tc>
          <w:tcPr>
            <w:tcW w:type="dxa" w:w="5783"/>
          </w:tcPr>
          <w:p>
            <w:pPr>
              <w:spacing w:after="0" w:before="0"/>
            </w:pPr>
            <w:r>
              <w:rPr>
                <w:b w:val="0"/>
                <w:i w:val="0"/>
                <w:sz w:val="17"/>
              </w:rPr>
              <w:t>Exact-ID lookup; generic status only after one-time code, verification and safe channel; new intakes join the same record.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>
              <w:rPr>
                <w:b/>
                <w:i w:val="0"/>
                <w:color w:val="0B6B4F"/>
                <w:sz w:val="17"/>
              </w:rPr>
              <w:t>Built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before="0"/>
            </w:pPr>
            <w:r>
              <w:rPr>
                <w:b/>
                <w:i w:val="0"/>
                <w:color w:val="0B6B4F"/>
                <w:sz w:val="17"/>
              </w:rPr>
              <w:t>B4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b/>
                <w:i w:val="0"/>
                <w:sz w:val="17"/>
              </w:rPr>
              <w:t>UDC entrepreneur</w:t>
            </w:r>
          </w:p>
        </w:tc>
        <w:tc>
          <w:tcPr>
            <w:tcW w:type="dxa" w:w="5783"/>
          </w:tcPr>
          <w:p>
            <w:pPr>
              <w:spacing w:after="0" w:before="0"/>
            </w:pPr>
            <w:r>
              <w:rPr>
                <w:b w:val="0"/>
                <w:i w:val="0"/>
                <w:sz w:val="17"/>
              </w:rPr>
              <w:t>Free-service notice, checklist, consent, provenance, safe contact; access ends at DLAO review or 24 hours.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>
              <w:rPr>
                <w:b/>
                <w:i w:val="0"/>
                <w:color w:val="0B6B4F"/>
                <w:sz w:val="17"/>
              </w:rPr>
              <w:t>Built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before="0"/>
            </w:pPr>
            <w:r>
              <w:rPr>
                <w:b/>
                <w:i w:val="0"/>
                <w:color w:val="0B6B4F"/>
                <w:sz w:val="17"/>
              </w:rPr>
              <w:t>B5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b/>
                <w:i w:val="0"/>
                <w:sz w:val="17"/>
              </w:rPr>
              <w:t>Panel lawyer</w:t>
            </w:r>
          </w:p>
        </w:tc>
        <w:tc>
          <w:tcPr>
            <w:tcW w:type="dxa" w:w="5783"/>
          </w:tcPr>
          <w:p>
            <w:pPr>
              <w:spacing w:after="0" w:before="0"/>
            </w:pPr>
            <w:r>
              <w:rPr>
                <w:b w:val="0"/>
                <w:i w:val="0"/>
                <w:sz w:val="17"/>
              </w:rPr>
              <w:t>Worklist, accept/decline, hearings, update schedule, reports, fee claims, overdue reminders; client contact only after acceptance.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>
              <w:rPr>
                <w:b/>
                <w:i w:val="0"/>
                <w:color w:val="0B6B4F"/>
                <w:sz w:val="17"/>
              </w:rPr>
              <w:t>Built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before="0"/>
            </w:pPr>
            <w:r>
              <w:rPr>
                <w:b/>
                <w:i w:val="0"/>
                <w:color w:val="0B6B4F"/>
                <w:sz w:val="17"/>
              </w:rPr>
              <w:t>B6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b/>
                <w:i w:val="0"/>
                <w:sz w:val="17"/>
              </w:rPr>
              <w:t>Receiving DLAO</w:t>
            </w:r>
          </w:p>
        </w:tc>
        <w:tc>
          <w:tcPr>
            <w:tcW w:type="dxa" w:w="5783"/>
          </w:tcPr>
          <w:p>
            <w:pPr>
              <w:spacing w:after="0" w:before="0"/>
            </w:pPr>
            <w:r>
              <w:rPr>
                <w:b w:val="0"/>
                <w:i w:val="0"/>
                <w:sz w:val="17"/>
              </w:rPr>
              <w:t>Package: reason, history, documents, responsible officer, expected action, deadline; accept or return with reason; both offices see status.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>
              <w:rPr>
                <w:b/>
                <w:i w:val="0"/>
                <w:color w:val="0B6B4F"/>
                <w:sz w:val="17"/>
              </w:rPr>
              <w:t>Built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before="0"/>
            </w:pPr>
            <w:r>
              <w:rPr>
                <w:b/>
                <w:i w:val="0"/>
                <w:color w:val="0B6B4F"/>
                <w:sz w:val="17"/>
              </w:rPr>
              <w:t>B7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b/>
                <w:i w:val="0"/>
                <w:sz w:val="17"/>
              </w:rPr>
              <w:t>Case-support staff</w:t>
            </w:r>
          </w:p>
        </w:tc>
        <w:tc>
          <w:tcPr>
            <w:tcW w:type="dxa" w:w="5783"/>
          </w:tcPr>
          <w:p>
            <w:pPr>
              <w:spacing w:after="0" w:before="0"/>
            </w:pPr>
            <w:r>
              <w:rPr>
                <w:b w:val="0"/>
                <w:i w:val="0"/>
                <w:sz w:val="17"/>
              </w:rPr>
              <w:t>Structured record, search, versions, tasks, audit reconstruction, reports from data captured once; restricted evidence hidden.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>
              <w:rPr>
                <w:b/>
                <w:i w:val="0"/>
                <w:color w:val="0B6B4F"/>
                <w:sz w:val="17"/>
              </w:rPr>
              <w:t>Built</w:t>
            </w:r>
          </w:p>
        </w:tc>
      </w:tr>
      <w:tr>
        <w:trPr>
          <w:cantSplit/>
        </w:trPr>
        <w:tc>
          <w:tcPr>
            <w:tcW w:type="dxa" w:w="1474"/>
            <w:gridSpan w:val="4"/>
            <w:shd w:val="clear" w:color="auto" w:fill="E7F3EE"/>
          </w:tcPr>
          <w:p>
            <w:pPr>
              <w:keepNext/>
              <w:spacing w:after="0" w:before="0"/>
            </w:pPr>
            <w:r>
              <w:rPr>
                <w:b/>
                <w:i w:val="0"/>
                <w:color w:val="0B6B4F"/>
                <w:sz w:val="15"/>
              </w:rPr>
              <w:t>PART C: TECHNICAL CHALLENGES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before="0"/>
            </w:pPr>
            <w:r>
              <w:rPr>
                <w:b/>
                <w:i w:val="0"/>
                <w:color w:val="0B6B4F"/>
                <w:sz w:val="17"/>
              </w:rPr>
              <w:t>T1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b/>
                <w:i w:val="0"/>
                <w:sz w:val="17"/>
              </w:rPr>
              <w:t>Lawyer change, inactivity, payment</w:t>
            </w:r>
          </w:p>
        </w:tc>
        <w:tc>
          <w:tcPr>
            <w:tcW w:type="dxa" w:w="5783"/>
          </w:tcPr>
          <w:p>
            <w:pPr>
              <w:spacing w:after="0" w:before="0"/>
            </w:pPr>
            <w:r>
              <w:rPr>
                <w:b w:val="0"/>
                <w:i w:val="0"/>
                <w:sz w:val="17"/>
              </w:rPr>
              <w:t>Change request → DLAO review → replacement; stage payment history; two missed updates → review and temporary assignment hold, not a misconduct finding.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>
              <w:rPr>
                <w:b/>
                <w:i w:val="0"/>
                <w:color w:val="0B6B4F"/>
                <w:sz w:val="17"/>
              </w:rPr>
              <w:t>Built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before="0"/>
            </w:pPr>
            <w:r>
              <w:rPr>
                <w:b/>
                <w:i w:val="0"/>
                <w:color w:val="0B6B4F"/>
                <w:sz w:val="17"/>
              </w:rPr>
              <w:t>T2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b/>
                <w:i w:val="0"/>
                <w:sz w:val="17"/>
              </w:rPr>
              <w:t>Jurisdiction ping-pong</w:t>
            </w:r>
          </w:p>
        </w:tc>
        <w:tc>
          <w:tcPr>
            <w:tcW w:type="dxa" w:w="5783"/>
          </w:tcPr>
          <w:p>
            <w:pPr>
              <w:spacing w:after="0" w:before="0"/>
            </w:pPr>
            <w:r>
              <w:rPr>
                <w:b w:val="0"/>
                <w:i w:val="0"/>
                <w:sz w:val="17"/>
              </w:rPr>
              <w:t>Two returns escalate; transfers blocked until a DLAO records a reasoned routing decision.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>
              <w:rPr>
                <w:b/>
                <w:i w:val="0"/>
                <w:color w:val="0B6B4F"/>
                <w:sz w:val="17"/>
              </w:rPr>
              <w:t>Built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before="0"/>
            </w:pPr>
            <w:r>
              <w:rPr>
                <w:b/>
                <w:i w:val="0"/>
                <w:color w:val="0B6B4F"/>
                <w:sz w:val="17"/>
              </w:rPr>
              <w:t>T3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b/>
                <w:i w:val="0"/>
                <w:sz w:val="17"/>
              </w:rPr>
              <w:t>One incident, many applicants</w:t>
            </w:r>
          </w:p>
        </w:tc>
        <w:tc>
          <w:tcPr>
            <w:tcW w:type="dxa" w:w="5783"/>
          </w:tcPr>
          <w:p>
            <w:pPr>
              <w:spacing w:after="0" w:before="0"/>
            </w:pPr>
            <w:r>
              <w:rPr>
                <w:b w:val="0"/>
                <w:i w:val="0"/>
                <w:sz w:val="17"/>
              </w:rPr>
              <w:t>Three Cases linked, never merged; common document uploaded once, shared by reference.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>
              <w:rPr>
                <w:b/>
                <w:i w:val="0"/>
                <w:color w:val="0B6B4F"/>
                <w:sz w:val="17"/>
              </w:rPr>
              <w:t>Built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before="0"/>
            </w:pPr>
            <w:r>
              <w:rPr>
                <w:b/>
                <w:i w:val="0"/>
                <w:color w:val="0B6B4F"/>
                <w:sz w:val="17"/>
              </w:rPr>
              <w:t>T4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b/>
                <w:i w:val="0"/>
                <w:sz w:val="17"/>
              </w:rPr>
              <w:t>Duplicate / fraud risk</w:t>
            </w:r>
          </w:p>
        </w:tc>
        <w:tc>
          <w:tcPr>
            <w:tcW w:type="dxa" w:w="5783"/>
          </w:tcPr>
          <w:p>
            <w:pPr>
              <w:spacing w:after="0" w:before="0"/>
            </w:pPr>
            <w:r>
              <w:rPr>
                <w:b w:val="0"/>
                <w:i w:val="0"/>
                <w:sz w:val="17"/>
              </w:rPr>
              <w:t>Multi-attribute fuzzy matching over 12 profiles; side-by-side human review with reason; never merges or rejects; two traps stay separate.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>
              <w:rPr>
                <w:b/>
                <w:i w:val="0"/>
                <w:color w:val="0B6B4F"/>
                <w:sz w:val="17"/>
              </w:rPr>
              <w:t>Built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before="0"/>
            </w:pPr>
            <w:r>
              <w:rPr>
                <w:b/>
                <w:i w:val="0"/>
                <w:color w:val="0B6B4F"/>
                <w:sz w:val="17"/>
              </w:rPr>
              <w:t>T5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b/>
                <w:i w:val="0"/>
                <w:sz w:val="17"/>
              </w:rPr>
              <w:t>Bangla intake agent</w:t>
            </w:r>
          </w:p>
        </w:tc>
        <w:tc>
          <w:tcPr>
            <w:tcW w:type="dxa" w:w="5783"/>
          </w:tcPr>
          <w:p>
            <w:pPr>
              <w:spacing w:after="0" w:before="0"/>
            </w:pPr>
            <w:r>
              <w:rPr>
                <w:b w:val="0"/>
                <w:i w:val="0"/>
                <w:sz w:val="17"/>
              </w:rPr>
              <w:t>AI fills only approved fields, re-validated and marked AI-inferred; unclear safety answers go to an officer with the transcript.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>
              <w:rPr>
                <w:b/>
                <w:i w:val="0"/>
                <w:color w:val="0B6B4F"/>
                <w:sz w:val="17"/>
              </w:rPr>
              <w:t>Built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before="0"/>
            </w:pPr>
            <w:r>
              <w:rPr>
                <w:b/>
                <w:i w:val="0"/>
                <w:color w:val="0B6B4F"/>
                <w:sz w:val="17"/>
              </w:rPr>
              <w:t>T6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b/>
                <w:i w:val="0"/>
                <w:sz w:val="17"/>
              </w:rPr>
              <w:t>Document agent</w:t>
            </w:r>
          </w:p>
        </w:tc>
        <w:tc>
          <w:tcPr>
            <w:tcW w:type="dxa" w:w="5783"/>
          </w:tcPr>
          <w:p>
            <w:pPr>
              <w:spacing w:after="0" w:before="0"/>
            </w:pPr>
            <w:r>
              <w:rPr>
                <w:b w:val="0"/>
                <w:i w:val="0"/>
                <w:sz w:val="17"/>
              </w:rPr>
              <w:t>Six documents → briefing quoting source version and line; flags a missing and an unreadable item; officer approves.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>
              <w:rPr>
                <w:b/>
                <w:i w:val="0"/>
                <w:color w:val="0B6B4F"/>
                <w:sz w:val="17"/>
              </w:rPr>
              <w:t>Built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before="0"/>
            </w:pPr>
            <w:r>
              <w:rPr>
                <w:b/>
                <w:i w:val="0"/>
                <w:color w:val="0B6B4F"/>
                <w:sz w:val="17"/>
              </w:rPr>
              <w:t>T7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b/>
                <w:i w:val="0"/>
                <w:sz w:val="17"/>
              </w:rPr>
              <w:t>Settlement drafting</w:t>
            </w:r>
          </w:p>
        </w:tc>
        <w:tc>
          <w:tcPr>
            <w:tcW w:type="dxa" w:w="5783"/>
          </w:tcPr>
          <w:p>
            <w:pPr>
              <w:spacing w:after="0" w:before="0"/>
            </w:pPr>
            <w:r>
              <w:rPr>
                <w:b w:val="0"/>
                <w:i w:val="0"/>
                <w:sz w:val="17"/>
              </w:rPr>
              <w:t>Maintenance, property and labour templates; AI-filled fields and inconsistencies marked; human review before signing.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>
              <w:rPr>
                <w:b/>
                <w:i w:val="0"/>
                <w:color w:val="0B6B4F"/>
                <w:sz w:val="17"/>
              </w:rPr>
              <w:t>Built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before="0"/>
            </w:pPr>
            <w:r>
              <w:rPr>
                <w:b/>
                <w:i w:val="0"/>
                <w:color w:val="0B6B4F"/>
                <w:sz w:val="17"/>
              </w:rPr>
              <w:t>T8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b/>
                <w:i w:val="0"/>
                <w:sz w:val="17"/>
              </w:rPr>
              <w:t>Multi-agent triage</w:t>
            </w:r>
          </w:p>
        </w:tc>
        <w:tc>
          <w:tcPr>
            <w:tcW w:type="dxa" w:w="5783"/>
          </w:tcPr>
          <w:p>
            <w:pPr>
              <w:spacing w:after="0" w:before="0"/>
            </w:pPr>
            <w:r>
              <w:rPr>
                <w:b w:val="0"/>
                <w:i w:val="0"/>
                <w:sz w:val="17"/>
              </w:rPr>
              <w:t>Categorisation, process/safety and urgency components; disagreements shown; no names sent to AI; DLAO decides. Five cases, one conflict.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>
              <w:rPr>
                <w:b/>
                <w:i w:val="0"/>
                <w:color w:val="0B6B4F"/>
                <w:sz w:val="17"/>
              </w:rPr>
              <w:t>Built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before="0"/>
            </w:pPr>
            <w:r>
              <w:rPr>
                <w:b/>
                <w:i w:val="0"/>
                <w:color w:val="0B6B4F"/>
                <w:sz w:val="17"/>
              </w:rPr>
              <w:t>T9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b/>
                <w:i w:val="0"/>
                <w:sz w:val="17"/>
              </w:rPr>
              <w:t>Offline sync, integrity</w:t>
            </w:r>
          </w:p>
        </w:tc>
        <w:tc>
          <w:tcPr>
            <w:tcW w:type="dxa" w:w="5783"/>
          </w:tcPr>
          <w:p>
            <w:pPr>
              <w:spacing w:after="0" w:before="0"/>
            </w:pPr>
            <w:r>
              <w:rPr>
                <w:b w:val="0"/>
                <w:i w:val="0"/>
                <w:sz w:val="17"/>
              </w:rPr>
              <w:t>Encrypted drafts with temporary and mutation IDs sync once; conflicts go to a human; hash chain verified.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>
              <w:rPr>
                <w:b/>
                <w:i w:val="0"/>
                <w:color w:val="0B6B4F"/>
                <w:sz w:val="17"/>
              </w:rPr>
              <w:t>Built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before="0"/>
            </w:pPr>
            <w:r>
              <w:rPr>
                <w:b/>
                <w:i w:val="0"/>
                <w:color w:val="0B6B4F"/>
                <w:sz w:val="17"/>
              </w:rPr>
              <w:t>T10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b/>
                <w:i w:val="0"/>
                <w:sz w:val="17"/>
              </w:rPr>
              <w:t>Low-bandwidth PWA</w:t>
            </w:r>
          </w:p>
        </w:tc>
        <w:tc>
          <w:tcPr>
            <w:tcW w:type="dxa" w:w="5783"/>
          </w:tcPr>
          <w:p>
            <w:pPr>
              <w:spacing w:after="0" w:before="0"/>
            </w:pPr>
            <w:r>
              <w:rPr>
                <w:b w:val="0"/>
                <w:i w:val="0"/>
                <w:sz w:val="17"/>
              </w:rPr>
              <w:t>Installable; caches static shell only; light mode (automatic on Save-Data/2G) cuts call start 468 → 304 ms at 50 KB/s.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>
              <w:rPr>
                <w:b/>
                <w:i w:val="0"/>
                <w:color w:val="0B6B4F"/>
                <w:sz w:val="17"/>
              </w:rPr>
              <w:t>Built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before="0"/>
            </w:pPr>
            <w:r>
              <w:rPr>
                <w:b/>
                <w:i w:val="0"/>
                <w:color w:val="0B6B4F"/>
                <w:sz w:val="17"/>
              </w:rPr>
              <w:t>T11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b/>
                <w:i w:val="0"/>
                <w:sz w:val="17"/>
              </w:rPr>
              <w:t>Offline e-signature</w:t>
            </w:r>
          </w:p>
        </w:tc>
        <w:tc>
          <w:tcPr>
            <w:tcW w:type="dxa" w:w="5783"/>
          </w:tcPr>
          <w:p>
            <w:pPr>
              <w:spacing w:after="0" w:before="0"/>
            </w:pPr>
            <w:r>
              <w:rPr>
                <w:b w:val="0"/>
                <w:i w:val="0"/>
                <w:sz w:val="17"/>
              </w:rPr>
              <w:t>Parties sign separately with P-256 keys, one offline then synced; mediator last; a changed copy fails verification.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>
              <w:rPr>
                <w:b/>
                <w:i w:val="0"/>
                <w:color w:val="0B6B4F"/>
                <w:sz w:val="17"/>
              </w:rPr>
              <w:t>Built</w:t>
            </w:r>
          </w:p>
        </w:tc>
      </w:tr>
    </w:tbl>
    <w:p>
      <w:pPr>
        <w:spacing w:before="40"/>
      </w:pPr>
      <w:r>
        <w:rPr>
          <w:b/>
          <w:i w:val="0"/>
          <w:color w:val="52606D"/>
          <w:sz w:val="16"/>
        </w:rPr>
        <w:t>Built:</w:t>
      </w:r>
      <w:r>
        <w:rPr>
          <w:b w:val="0"/>
          <w:i w:val="0"/>
          <w:color w:val="52606D"/>
          <w:sz w:val="16"/>
        </w:rPr>
        <w:t xml:space="preserve"> implemented, integrated and covered by automated tests.</w:t>
      </w:r>
    </w:p>
    <w:p>
      <w:pPr>
        <w:pStyle w:val="Heading1"/>
      </w:pPr>
      <w:r>
        <w:t>3. Human safeguards</w:t>
      </w:r>
    </w:p>
    <w:p>
      <w:pPr>
        <w:pStyle w:val="ListBullet"/>
      </w:pPr>
      <w:r>
        <w:rPr>
          <w:b/>
          <w:i w:val="0"/>
        </w:rPr>
        <w:t>AI proposes, humans decide:</w:t>
      </w:r>
      <w:r>
        <w:rPr>
          <w:b w:val="0"/>
          <w:i w:val="0"/>
        </w:rPr>
        <w:t xml:space="preserve"> AI never sets eligibility, priority, route, lawyer, outcome or provenance.</w:t>
      </w:r>
    </w:p>
    <w:p>
      <w:pPr>
        <w:pStyle w:val="ListBullet"/>
      </w:pPr>
      <w:r>
        <w:rPr>
          <w:b w:val="0"/>
          <w:i w:val="0"/>
        </w:rPr>
        <w:t>Every override and decision needs a reason and is audited.</w:t>
      </w:r>
    </w:p>
    <w:p>
      <w:pPr>
        <w:pStyle w:val="ListBullet"/>
      </w:pPr>
      <w:r>
        <w:rPr>
          <w:b w:val="0"/>
          <w:i w:val="0"/>
        </w:rPr>
        <w:t>Scores and alerts open reviews; they never reject, merge or find misconduct.</w:t>
      </w:r>
    </w:p>
    <w:p>
      <w:pPr>
        <w:pStyle w:val="ListBullet"/>
      </w:pPr>
      <w:r>
        <w:rPr>
          <w:b w:val="0"/>
          <w:i w:val="0"/>
        </w:rPr>
        <w:t>Signatures are not a decree; CLAO certification is a separate authorised step.</w:t>
      </w:r>
    </w:p>
    <w:p>
      <w:pPr>
        <w:pStyle w:val="ListBullet"/>
      </w:pPr>
      <w:r>
        <w:rPr>
          <w:b w:val="0"/>
          <w:i w:val="0"/>
        </w:rPr>
        <w:t>Demo thresholds await law-team approval.</w:t>
      </w:r>
    </w:p>
    <w:p>
      <w:pPr>
        <w:pStyle w:val="Heading1"/>
      </w:pPr>
      <w:r>
        <w:t>4. Resilience and failure model</w:t>
      </w:r>
    </w:p>
    <w:tbl>
      <w:tblPr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single" w:sz="4" w:space="0" w:color="D5DCE3"/>
          <w:right w:val="nil" w:sz="0" w:space="0" w:color="auto"/>
          <w:insideH w:val="single" w:sz="4" w:space="0" w:color="D5DCE3"/>
          <w:insideV w:val="single" w:sz="4" w:space="0" w:color="D5DCE3"/>
        </w:tblBorders>
        <w:tblLayout w:type="fixed"/>
        <w:tblCellMar>
          <w:top w:w="35" w:type="dxa"/>
          <w:left w:w="85" w:type="dxa"/>
          <w:bottom w:w="35" w:type="dxa"/>
          <w:right w:w="85" w:type="dxa"/>
        </w:tblCellMar>
        <w:tblLayout w:type="fixed"/>
        <w:tblW w:w="10318" w:type="dxa"/>
      </w:tblPr>
      <w:tblGrid>
        <w:gridCol w:w="2268"/>
        <w:gridCol w:w="2891"/>
        <w:gridCol w:w="2268"/>
        <w:gridCol w:w="2891"/>
      </w:tblGrid>
      <w:tr>
        <w:trPr>
          <w:cantSplit/>
          <w:tblHeader/>
        </w:trPr>
        <w:tc>
          <w:tcPr>
            <w:tcW w:type="dxa" w:w="2268"/>
            <w:tcBorders>
              <w:bottom w:val="single" w:sz="8" w:space="0" w:color="1C2530"/>
            </w:tcBorders>
          </w:tcPr>
          <w:p>
            <w:pPr>
              <w:spacing w:after="0" w:before="0"/>
            </w:pPr>
            <w:r>
              <w:rPr>
                <w:b/>
                <w:i w:val="0"/>
                <w:color w:val="52606D"/>
                <w:sz w:val="15"/>
              </w:rPr>
              <w:t>FAILURE</w:t>
            </w:r>
          </w:p>
        </w:tc>
        <w:tc>
          <w:tcPr>
            <w:tcW w:type="dxa" w:w="2891"/>
            <w:tcBorders>
              <w:bottom w:val="single" w:sz="8" w:space="0" w:color="1C2530"/>
            </w:tcBorders>
          </w:tcPr>
          <w:p>
            <w:pPr>
              <w:spacing w:after="0" w:before="0"/>
            </w:pPr>
            <w:r>
              <w:rPr>
                <w:b/>
                <w:i w:val="0"/>
                <w:color w:val="52606D"/>
                <w:sz w:val="15"/>
              </w:rPr>
              <w:t>RESPONSE</w:t>
            </w:r>
          </w:p>
        </w:tc>
        <w:tc>
          <w:tcPr>
            <w:tcW w:type="dxa" w:w="2268"/>
            <w:tcBorders>
              <w:bottom w:val="single" w:sz="8" w:space="0" w:color="1C2530"/>
            </w:tcBorders>
          </w:tcPr>
          <w:p>
            <w:pPr>
              <w:spacing w:after="0" w:before="0"/>
            </w:pPr>
            <w:r>
              <w:rPr>
                <w:b/>
                <w:i w:val="0"/>
                <w:color w:val="52606D"/>
                <w:sz w:val="15"/>
              </w:rPr>
              <w:t>FAILURE</w:t>
            </w:r>
          </w:p>
        </w:tc>
        <w:tc>
          <w:tcPr>
            <w:tcW w:type="dxa" w:w="2891"/>
            <w:tcBorders>
              <w:bottom w:val="single" w:sz="8" w:space="0" w:color="1C2530"/>
            </w:tcBorders>
          </w:tcPr>
          <w:p>
            <w:pPr>
              <w:spacing w:after="0" w:before="0"/>
            </w:pPr>
            <w:r>
              <w:rPr>
                <w:b/>
                <w:i w:val="0"/>
                <w:color w:val="52606D"/>
                <w:sz w:val="15"/>
              </w:rPr>
              <w:t>RESPONSE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 w:before="0"/>
            </w:pPr>
            <w:r>
              <w:rPr>
                <w:b/>
                <w:i w:val="0"/>
                <w:sz w:val="17"/>
              </w:rPr>
              <w:t>Unknown person answers</w:t>
            </w:r>
          </w:p>
        </w:tc>
        <w:tc>
          <w:tcPr>
            <w:tcW w:type="dxa" w:w="2891"/>
          </w:tcPr>
          <w:p>
            <w:pPr>
              <w:spacing w:after="0" w:before="0"/>
            </w:pPr>
            <w:r>
              <w:rPr>
                <w:b w:val="0"/>
                <w:i w:val="0"/>
                <w:sz w:val="17"/>
              </w:rPr>
              <w:t>No disclosure; safer follow-up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>
              <w:rPr>
                <w:b/>
                <w:i w:val="0"/>
                <w:sz w:val="17"/>
              </w:rPr>
              <w:t>Referral unacknowledged</w:t>
            </w:r>
          </w:p>
        </w:tc>
        <w:tc>
          <w:tcPr>
            <w:tcW w:type="dxa" w:w="2891"/>
          </w:tcPr>
          <w:p>
            <w:pPr>
              <w:spacing w:after="0" w:before="0"/>
            </w:pPr>
            <w:r>
              <w:rPr>
                <w:b w:val="0"/>
                <w:i w:val="0"/>
                <w:sz w:val="17"/>
              </w:rPr>
              <w:t>Follow-up task, audit event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 w:before="0"/>
            </w:pPr>
            <w:r>
              <w:rPr>
                <w:b/>
                <w:i w:val="0"/>
                <w:sz w:val="17"/>
              </w:rPr>
              <w:t>Network drop</w:t>
            </w:r>
          </w:p>
        </w:tc>
        <w:tc>
          <w:tcPr>
            <w:tcW w:type="dxa" w:w="2891"/>
          </w:tcPr>
          <w:p>
            <w:pPr>
              <w:spacing w:after="0" w:before="0"/>
            </w:pPr>
            <w:r>
              <w:rPr>
                <w:b w:val="0"/>
                <w:i w:val="0"/>
                <w:sz w:val="17"/>
              </w:rPr>
              <w:t>Encrypted draft; no duplicate on sync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>
              <w:rPr>
                <w:b/>
                <w:i w:val="0"/>
                <w:sz w:val="17"/>
              </w:rPr>
              <w:t>Offline edit conflict</w:t>
            </w:r>
          </w:p>
        </w:tc>
        <w:tc>
          <w:tcPr>
            <w:tcW w:type="dxa" w:w="2891"/>
          </w:tcPr>
          <w:p>
            <w:pPr>
              <w:spacing w:after="0" w:before="0"/>
            </w:pPr>
            <w:r>
              <w:rPr>
                <w:b w:val="0"/>
                <w:i w:val="0"/>
                <w:sz w:val="17"/>
              </w:rPr>
              <w:t>Human chooses, with reason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 w:before="0"/>
            </w:pPr>
            <w:r>
              <w:rPr>
                <w:b/>
                <w:i w:val="0"/>
                <w:sz w:val="17"/>
              </w:rPr>
              <w:t>Lawyer misses two updates</w:t>
            </w:r>
          </w:p>
        </w:tc>
        <w:tc>
          <w:tcPr>
            <w:tcW w:type="dxa" w:w="2891"/>
          </w:tcPr>
          <w:p>
            <w:pPr>
              <w:spacing w:after="0" w:before="0"/>
            </w:pPr>
            <w:r>
              <w:rPr>
                <w:b w:val="0"/>
                <w:i w:val="0"/>
                <w:sz w:val="17"/>
              </w:rPr>
              <w:t>Review and assignment hold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>
              <w:rPr>
                <w:b/>
                <w:i w:val="0"/>
                <w:sz w:val="17"/>
              </w:rPr>
              <w:t>AI unavailable</w:t>
            </w:r>
          </w:p>
        </w:tc>
        <w:tc>
          <w:tcPr>
            <w:tcW w:type="dxa" w:w="2891"/>
          </w:tcPr>
          <w:p>
            <w:pPr>
              <w:spacing w:after="0" w:before="0"/>
            </w:pPr>
            <w:r>
              <w:rPr>
                <w:b w:val="0"/>
                <w:i w:val="0"/>
                <w:sz w:val="17"/>
              </w:rPr>
              <w:t>Deterministic or keyboard path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 w:before="0"/>
            </w:pPr>
            <w:r>
              <w:rPr>
                <w:b/>
                <w:i w:val="0"/>
                <w:sz w:val="17"/>
              </w:rPr>
              <w:t>Signed text altered</w:t>
            </w:r>
          </w:p>
        </w:tc>
        <w:tc>
          <w:tcPr>
            <w:tcW w:type="dxa" w:w="2891"/>
          </w:tcPr>
          <w:p>
            <w:pPr>
              <w:spacing w:after="0" w:before="0"/>
            </w:pPr>
            <w:r>
              <w:rPr>
                <w:b w:val="0"/>
                <w:i w:val="0"/>
                <w:sz w:val="17"/>
              </w:rPr>
              <w:t>Verification fails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>
              <w:rPr>
                <w:b/>
                <w:i w:val="0"/>
                <w:sz w:val="17"/>
              </w:rPr>
              <w:t>Wrong role opens evidence</w:t>
            </w:r>
          </w:p>
        </w:tc>
        <w:tc>
          <w:tcPr>
            <w:tcW w:type="dxa" w:w="2891"/>
          </w:tcPr>
          <w:p>
            <w:pPr>
              <w:spacing w:after="0" w:before="0"/>
            </w:pPr>
            <w:r>
              <w:rPr>
                <w:b w:val="0"/>
                <w:i w:val="0"/>
                <w:sz w:val="17"/>
              </w:rPr>
              <w:t>Denied and logged</w:t>
            </w:r>
          </w:p>
        </w:tc>
      </w:tr>
    </w:tbl>
    <w:p>
      <w:pPr>
        <w:spacing w:before="40"/>
      </w:pPr>
      <w:r>
        <w:rPr>
          <w:b w:val="0"/>
          <w:i w:val="0"/>
          <w:color w:val="52606D"/>
          <w:sz w:val="16"/>
        </w:rPr>
        <w:t>Audit is tamper-evident (SHA-256 chain), not tamper-proof.</w:t>
      </w:r>
    </w:p>
    <w:p>
      <w:pPr>
        <w:pStyle w:val="Heading1"/>
      </w:pPr>
      <w:r>
        <w:t>5. Five success indicators</w:t>
      </w:r>
    </w:p>
    <w:tbl>
      <w:tblPr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single" w:sz="4" w:space="0" w:color="D5DCE3"/>
          <w:right w:val="nil" w:sz="0" w:space="0" w:color="auto"/>
          <w:insideH w:val="single" w:sz="4" w:space="0" w:color="D5DCE3"/>
          <w:insideV w:val="nil" w:sz="0" w:space="0" w:color="auto"/>
        </w:tblBorders>
        <w:tblLayout w:type="fixed"/>
        <w:tblCellMar>
          <w:top w:w="40" w:type="dxa"/>
          <w:left w:w="85" w:type="dxa"/>
          <w:bottom w:w="40" w:type="dxa"/>
          <w:right w:w="85" w:type="dxa"/>
        </w:tblCellMar>
        <w:tblLayout w:type="fixed"/>
        <w:tblW w:w="10318" w:type="dxa"/>
      </w:tblPr>
      <w:tblGrid>
        <w:gridCol w:w="2381"/>
        <w:gridCol w:w="6917"/>
        <w:gridCol w:w="1020"/>
      </w:tblGrid>
      <w:tr>
        <w:trPr>
          <w:cantSplit/>
          <w:tblHeader/>
        </w:trPr>
        <w:tc>
          <w:tcPr>
            <w:tcW w:type="dxa" w:w="2381"/>
            <w:tcBorders>
              <w:bottom w:val="single" w:sz="8" w:space="0" w:color="1C2530"/>
            </w:tcBorders>
          </w:tcPr>
          <w:p>
            <w:pPr>
              <w:spacing w:after="0" w:before="0"/>
            </w:pPr>
            <w:r>
              <w:rPr>
                <w:b/>
                <w:i w:val="0"/>
                <w:color w:val="52606D"/>
                <w:sz w:val="15"/>
              </w:rPr>
              <w:t>INDICATOR</w:t>
            </w:r>
          </w:p>
        </w:tc>
        <w:tc>
          <w:tcPr>
            <w:tcW w:type="dxa" w:w="6917"/>
            <w:tcBorders>
              <w:bottom w:val="single" w:sz="8" w:space="0" w:color="1C2530"/>
            </w:tcBorders>
          </w:tcPr>
          <w:p>
            <w:pPr>
              <w:spacing w:after="0" w:before="0"/>
            </w:pPr>
            <w:r>
              <w:rPr>
                <w:b/>
                <w:i w:val="0"/>
                <w:color w:val="52606D"/>
                <w:sz w:val="15"/>
              </w:rPr>
              <w:t>MEASURE AND PROTOTYPE EVIDENCE</w:t>
            </w:r>
          </w:p>
        </w:tc>
        <w:tc>
          <w:tcPr>
            <w:tcW w:type="dxa" w:w="1020"/>
            <w:tcBorders>
              <w:bottom w:val="single" w:sz="8" w:space="0" w:color="1C2530"/>
            </w:tcBorders>
          </w:tcPr>
          <w:p>
            <w:pPr>
              <w:spacing w:after="0" w:before="0"/>
            </w:pPr>
            <w:r>
              <w:rPr>
                <w:b/>
                <w:i w:val="0"/>
                <w:color w:val="52606D"/>
                <w:sz w:val="15"/>
              </w:rPr>
              <w:t>TARGET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 w:before="0"/>
            </w:pPr>
            <w:r>
              <w:rPr>
                <w:b/>
                <w:i w:val="0"/>
                <w:sz w:val="17"/>
              </w:rPr>
              <w:t>Safe-contact compliance</w:t>
            </w:r>
          </w:p>
        </w:tc>
        <w:tc>
          <w:tcPr>
            <w:tcW w:type="dxa" w:w="6917"/>
          </w:tcPr>
          <w:p>
            <w:pPr>
              <w:spacing w:after="0" w:before="0"/>
            </w:pPr>
            <w:r>
              <w:rPr>
                <w:b w:val="0"/>
                <w:i w:val="0"/>
                <w:sz w:val="17"/>
              </w:rPr>
              <w:t>Contact attempts with zero unauthorised disclosure; unknown-person test passes.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>
              <w:rPr>
                <w:b/>
                <w:i w:val="0"/>
                <w:color w:val="0B6B4F"/>
                <w:sz w:val="17"/>
              </w:rPr>
              <w:t>100%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 w:before="0"/>
            </w:pPr>
            <w:r>
              <w:rPr>
                <w:b/>
                <w:i w:val="0"/>
                <w:sz w:val="17"/>
              </w:rPr>
              <w:t>One-record continuity</w:t>
            </w:r>
          </w:p>
        </w:tc>
        <w:tc>
          <w:tcPr>
            <w:tcW w:type="dxa" w:w="6917"/>
          </w:tcPr>
          <w:p>
            <w:pPr>
              <w:spacing w:after="0" w:before="0"/>
            </w:pPr>
            <w:r>
              <w:rPr>
                <w:b w:val="0"/>
                <w:i w:val="0"/>
                <w:sz w:val="17"/>
              </w:rPr>
              <w:t>Journeys where all doors and roles share one Application/Case ID; six jury flows.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>
              <w:rPr>
                <w:b/>
                <w:i w:val="0"/>
                <w:color w:val="0B6B4F"/>
                <w:sz w:val="17"/>
              </w:rPr>
              <w:t>100%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 w:before="0"/>
            </w:pPr>
            <w:r>
              <w:rPr>
                <w:b/>
                <w:i w:val="0"/>
                <w:sz w:val="17"/>
              </w:rPr>
              <w:t>Accessible completion</w:t>
            </w:r>
          </w:p>
        </w:tc>
        <w:tc>
          <w:tcPr>
            <w:tcW w:type="dxa" w:w="6917"/>
          </w:tcPr>
          <w:p>
            <w:pPr>
              <w:spacing w:after="0" w:before="0"/>
            </w:pPr>
            <w:r>
              <w:rPr>
                <w:b w:val="0"/>
                <w:i w:val="0"/>
                <w:sz w:val="17"/>
              </w:rPr>
              <w:t>Ripon, Nuching and Malek tasks done without an excluded step; blind-user test pending.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>
              <w:rPr>
                <w:b/>
                <w:i w:val="0"/>
                <w:color w:val="0B6B4F"/>
                <w:sz w:val="17"/>
              </w:rPr>
              <w:t>≥ 90%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 w:before="0"/>
            </w:pPr>
            <w:r>
              <w:rPr>
                <w:b/>
                <w:i w:val="0"/>
                <w:sz w:val="17"/>
              </w:rPr>
              <w:t>Tracked responsibility</w:t>
            </w:r>
          </w:p>
        </w:tc>
        <w:tc>
          <w:tcPr>
            <w:tcW w:type="dxa" w:w="6917"/>
          </w:tcPr>
          <w:p>
            <w:pPr>
              <w:spacing w:after="0" w:before="0"/>
            </w:pPr>
            <w:r>
              <w:rPr>
                <w:b w:val="0"/>
                <w:i w:val="0"/>
                <w:sz w:val="17"/>
              </w:rPr>
              <w:t>Referrals, lawyer updates and mediation steps with owner, deadline and escalation.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>
              <w:rPr>
                <w:b/>
                <w:i w:val="0"/>
                <w:color w:val="0B6B4F"/>
                <w:sz w:val="17"/>
              </w:rPr>
              <w:t>100%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 w:before="0"/>
            </w:pPr>
            <w:r>
              <w:rPr>
                <w:b/>
                <w:i w:val="0"/>
                <w:sz w:val="17"/>
              </w:rPr>
              <w:t>Resilient recovery</w:t>
            </w:r>
          </w:p>
        </w:tc>
        <w:tc>
          <w:tcPr>
            <w:tcW w:type="dxa" w:w="6917"/>
          </w:tcPr>
          <w:p>
            <w:pPr>
              <w:spacing w:after="0" w:before="0"/>
            </w:pPr>
            <w:r>
              <w:rPr>
                <w:b w:val="0"/>
                <w:i w:val="0"/>
                <w:sz w:val="17"/>
              </w:rPr>
              <w:t>Failure tests recovered without loss or duplicates; 12 bad-day tests automated.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>
              <w:rPr>
                <w:b/>
                <w:i w:val="0"/>
                <w:color w:val="0B6B4F"/>
                <w:sz w:val="17"/>
              </w:rPr>
              <w:t>100%</w:t>
            </w:r>
          </w:p>
        </w:tc>
      </w:tr>
    </w:tbl>
    <w:p>
      <w:pPr>
        <w:spacing w:before="80"/>
      </w:pPr>
      <w:r>
        <w:rPr>
          <w:b/>
          <w:i w:val="0"/>
          <w:color w:val="52606D"/>
          <w:sz w:val="16"/>
        </w:rPr>
        <w:t>Stated limits:</w:t>
      </w:r>
      <w:r>
        <w:rPr>
          <w:b w:val="0"/>
          <w:i w:val="0"/>
          <w:color w:val="52606D"/>
          <w:sz w:val="16"/>
        </w:rPr>
        <w:t xml:space="preserve"> 16699 telephony, SMS/USSD, government ID, payments and notifications are simulated or not connected. Pending: blind-user and real-caller validation, scanned-PDF OCR, multi-server timers, law-team approval. Targets are proposals.</w:t>
      </w:r>
    </w:p>
    <w:sectPr w:rsidR="00FC693F" w:rsidRPr="0006063C" w:rsidSect="00034616">
      <w:footerReference w:type="default" r:id="rId9"/>
      <w:pgSz w:w="11906" w:h="16838"/>
      <w:pgMar w:top="680" w:right="794" w:bottom="624" w:left="794" w:header="34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10318" w:val="right"/>
      </w:tabs>
    </w:pPr>
    <w:r>
      <w:rPr>
        <w:b w:val="0"/>
        <w:i w:val="0"/>
        <w:color w:val="52606D"/>
        <w:sz w:val="15"/>
      </w:rPr>
      <w:t>Five Doors, One Record · DLAS solution paper</w:t>
    </w:r>
    <w:r>
      <w:tab/>
    </w:r>
    <w:r>
      <w:rPr>
        <w:color w:val="52606D"/>
        <w:sz w:val="15"/>
      </w:rPr>
      <w:t xml:space="preserve">Page </w:t>
    </w:r>
    <w:r>
      <w:rPr>
        <w:color w:val="52606D"/>
        <w:sz w:val="15"/>
      </w:rPr>
      <w:fldChar w:fldCharType="begin"/>
      <w:instrText xml:space="preserve"> PAGE </w:instrText>
      <w:fldChar w:fldCharType="separate"/>
    </w:r>
    <w:r>
      <w:rPr>
        <w:color w:val="52606D"/>
        <w:sz w:val="15"/>
      </w:rPr>
      <w:t>1</w:t>
    </w:r>
    <w:r>
      <w:rPr>
        <w:color w:val="52606D"/>
        <w:sz w:val="15"/>
      </w:rPr>
      <w:fldChar w:fldCharType="end"/>
    </w:r>
    <w:r>
      <w:rPr>
        <w:color w:val="52606D"/>
        <w:sz w:val="15"/>
      </w:rPr>
      <w:t xml:space="preserve"> of </w:t>
    </w:r>
    <w:r>
      <w:rPr>
        <w:color w:val="52606D"/>
        <w:sz w:val="15"/>
      </w:rPr>
      <w:fldChar w:fldCharType="begin"/>
      <w:instrText xml:space="preserve"> NUMPAGES </w:instrText>
      <w:fldChar w:fldCharType="separate"/>
    </w:r>
    <w:r>
      <w:rPr>
        <w:color w:val="52606D"/>
        <w:sz w:val="15"/>
      </w:rPr>
      <w:t>1</w:t>
    </w:r>
    <w:r>
      <w:rPr>
        <w:color w:val="52606D"/>
        <w:sz w:val="15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 w:line="259" w:lineRule="auto"/>
    </w:pPr>
    <w:rPr>
      <w:rFonts w:ascii="Calibri" w:hAnsi="Calibri" w:cs="Calibri" w:eastAsia="Calibri"/>
      <w:color w:val="1C253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="Calibri" w:hAnsi="Calibri" w:cs="Calibri" w:eastAsia="Calibri"/>
      <w:b/>
      <w:bCs/>
      <w:caps/>
      <w:color w:val="0B6B4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" w:line="240" w:lineRule="auto"/>
      <w:contextualSpacing/>
    </w:pPr>
    <w:rPr>
      <w:rFonts w:ascii="Calibri" w:hAnsi="Calibri" w:cs="Calibri" w:eastAsia="Calibri"/>
      <w:b/>
      <w:color w:val="0B6B4F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</w:pPr>
    <w:rPr>
      <w:rFonts w:ascii="Calibri" w:hAnsi="Calibri" w:cs="Calibri" w:eastAsia="Calibri"/>
      <w:i w:val="0"/>
      <w:iCs/>
      <w:color w:val="52606D"/>
      <w:sz w:val="1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0"/>
      <w:contextualSpacing/>
    </w:pPr>
    <w:rPr>
      <w:rFonts w:ascii="Calibri" w:hAnsi="Calibri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Five Doors, One Record: DLAS Solution Paper</dc:title>
  <dc:subject>ADLASB Grand Finale solution paper</dc:subject>
  <dc:creator>DLAS team</dc:creator>
  <cp:keywords>DLAS, legal aid, Bangladesh, solution paper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