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P2 Thesis Package: Read Me First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RAHC-LoRA: Reward-Aware Hessian-Free Consolidation for Continual Reinforcement Learning in LLMs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1. What is in this folder</w:t>
      </w:r>
    </w:p>
    <w:tbl>
      <w:tblPr>
        <w:tblW w:type="dxa" w:w="9026"/>
        <w:tblBorders>
          <w:top w:val="single" w:color="C3C2B7" w:sz="4"/>
          <w:left w:val="none" w:color="FFFFFF" w:sz="0"/>
          <w:bottom w:val="single" w:color="C3C2B7" w:sz="4"/>
          <w:right w:val="none" w:color="FFFFFF" w:sz="0"/>
          <w:insideH w:val="single" w:color="E1E0D9" w:sz="2"/>
          <w:insideV w:val="none" w:color="FFFFFF" w:sz="0"/>
        </w:tblBorders>
      </w:tblPr>
      <w:tblGrid>
        <w:gridCol w:w="3069"/>
        <w:gridCol w:w="5957"/>
      </w:tblGrid>
      <w:tr>
        <w:trPr>
          <w:cantSplit/>
          <w:tblHeader/>
        </w:trPr>
        <w:tc>
          <w:tcPr>
            <w:tcW w:type="dxa" w:w="3069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5957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01_Full_Thesis_P2_RAHC-LoRA.docx</w:t>
            </w:r>
          </w:p>
        </w:tc>
        <w:tc>
          <w:tcPr>
            <w:tcW w:type="dxa" w:w="59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Complete P2 thesis (front matter, 7 chapters, bibliography, appendices) with embedded figures, native Word tables, numbered equations, table of contents, and lists of figures and tables.</w:t>
            </w:r>
          </w:p>
        </w:tc>
      </w:tr>
      <w:tr>
        <w:trPr>
          <w:cantSplit/>
        </w:trPr>
        <w:tc>
          <w:tcPr>
            <w:tcW w:type="dxa" w:w="306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chapters/*.docx</w:t>
            </w:r>
          </w:p>
        </w:tc>
        <w:tc>
          <w:tcPr>
            <w:tcW w:type="dxa" w:w="5957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 same text split per chapter (00 front matter to 09 appendices) for parallel editing or chapter-by-chapter LaTeX conversion.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figures/fig_X_Y_*.png</w:t>
            </w:r>
          </w:p>
        </w:tc>
        <w:tc>
          <w:tcPr>
            <w:tcW w:type="dxa" w:w="59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 figures at 300 dpi; X_Y equals the figure number in the thesis.</w:t>
            </w:r>
          </w:p>
        </w:tc>
      </w:tr>
      <w:tr>
        <w:trPr>
          <w:cantSplit/>
        </w:trPr>
        <w:tc>
          <w:tcPr>
            <w:tcW w:type="dxa" w:w="306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tables/tab_X_Y_*.png</w:t>
            </w:r>
          </w:p>
        </w:tc>
        <w:tc>
          <w:tcPr>
            <w:tcW w:type="dxa" w:w="5957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 tables rendered as images; the editable rows are the native Word tables and data/tables.json.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latex_support/references.bib</w:t>
            </w:r>
          </w:p>
        </w:tc>
        <w:tc>
          <w:tcPr>
            <w:tcW w:type="dxa" w:w="59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86 BibTeX entries in citation order; citation_key_map.txt maps [n] to keys.</w:t>
            </w:r>
          </w:p>
        </w:tc>
      </w:tr>
      <w:tr>
        <w:trPr>
          <w:cantSplit/>
        </w:trPr>
        <w:tc>
          <w:tcPr>
            <w:tcW w:type="dxa" w:w="306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latex_support/equations.tex</w:t>
            </w:r>
          </w:p>
        </w:tc>
        <w:tc>
          <w:tcPr>
            <w:tcW w:type="dxa" w:w="5957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 display equations with \label{eq:...}, numbered as in the Word file.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latex_support/figures_and_tables.tex</w:t>
            </w:r>
          </w:p>
        </w:tc>
        <w:tc>
          <w:tcPr>
            <w:tcW w:type="dxa" w:w="59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Ready-made figure and table environments with captions and labels.</w:t>
            </w:r>
          </w:p>
        </w:tc>
      </w:tr>
      <w:tr>
        <w:trPr>
          <w:cantSplit/>
        </w:trPr>
        <w:tc>
          <w:tcPr>
            <w:tcW w:type="dxa" w:w="306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data/results_summary.json, master_run_table.csv</w:t>
            </w:r>
          </w:p>
        </w:tc>
        <w:tc>
          <w:tcPr>
            <w:tcW w:type="dxa" w:w="5957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Every number in the thesis, derived from the raw run artifacts by source/analyze_runs.py.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source/</w:t>
            </w:r>
          </w:p>
        </w:tc>
        <w:tc>
          <w:tcPr>
            <w:tcW w:type="dxa" w:w="595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Scripts that regenerate everything: analyze_runs.py, make_diagrams.py, make_charts.py, make_tables.py, build_document.py, build_docx.js, and the chapter text (content/*.txt).</w:t>
            </w:r>
          </w:p>
        </w:tc>
      </w:tr>
    </w:tbl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2. Research status at a glance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Complete: specification; Phases 0-2 (platform, tasks, rewards, sandbox, evaluation, standard RL-LoRA); 59 tests pass.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Partial: Phase 3 (direct HLoRA-to-RL baseline implemented and piloted; supervised HLoRA reproduction not run).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Not started: Phases 4-7 (the RAHC-LoRA components). The thesis presents RAHC-LoRA as the proposed method with its full design; results in Chapter 6 are baseline and pilot evidence only.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Key results: no stream reached the 10-point forgetting threshold (-1.30 to +3.12 pp); HLoRA-RL did not reduce forgetting but learned GSM8K better in one seed (32.8% vs 3.1%, n = 64); its softmax layer weights collapsed onto one module.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3. Items the team must fill in or confirm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Title page and approval page: submission month ([Month] 2026), semester ([Semester], 2026), and approval date ([Date]).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Declaration: signatures of all five members.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Section 3.8: the assignment of subsystems to team members (marked [Team to complete ...]).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Figure 3.1: the proposed schedule for the final-thesis phases (confirm with the supervisor).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Examining committee names and titles (copied from P1; confirm they are current).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Update all fields in Word (Ctrl+A, then F9) after any edit so that the table of contents, list pages, and cross-reference page numbers refresh.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4. Figure index</w:t>
      </w:r>
    </w:p>
    <w:tbl>
      <w:tblPr>
        <w:tblW w:type="dxa" w:w="9026"/>
        <w:tblBorders>
          <w:top w:val="single" w:color="C3C2B7" w:sz="4"/>
          <w:left w:val="none" w:color="FFFFFF" w:sz="0"/>
          <w:bottom w:val="single" w:color="C3C2B7" w:sz="4"/>
          <w:right w:val="none" w:color="FFFFFF" w:sz="0"/>
          <w:insideH w:val="single" w:color="E1E0D9" w:sz="2"/>
          <w:insideV w:val="none" w:color="FFFFFF" w:sz="0"/>
        </w:tblBorders>
      </w:tblPr>
      <w:tblGrid>
        <w:gridCol w:w="632"/>
        <w:gridCol w:w="3249"/>
        <w:gridCol w:w="5145"/>
      </w:tblGrid>
      <w:tr>
        <w:trPr>
          <w:cantSplit/>
          <w:tblHeader/>
        </w:trPr>
        <w:tc>
          <w:tcPr>
            <w:tcW w:type="dxa" w:w="632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249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145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Caption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figures/fig_1_1_research_roadmap.png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Research roadmap from the P1 literature review to the final study. Stages 1-4 are complete, stage 5 is partly complete, and stages 6-8 form the final-thesis plan.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figures/fig_2_1_evaluation_protocol.png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Evaluation protocol. (a) The performance matrix A[i, j]: entries above the diagonal refer to tasks not yet learned and are explicitly missing. (b) The metrics derived from the complete matrix.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figures/fig_2_2_cl_taxonomy.png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Taxonomy of forgetting-mitigation strategies reviewed in this chapter and the strands that RAHC-LoRA combines.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figures/fig_3_1_work_plan.png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Work plan. Completed work is shown at repository dates; the final-thesis phases are a proposed schedule.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figures/fig_4_1_rahc_lora_architecture.png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Architecture of RAHC-LoRA. One frozen backbone and one shared LoRA adapter serve both current-task learning and old-task retention. Retention terms are zero on the first task. State is consolidated at each task boundary, and the adapter is updated only by the AdamW step.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figures/fig_4_2_gauge_invariance.png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Gauge invariance. (a) LoRA factors and the protected effective update. (b) Under the rescaling A′ = kA, B′ = B/k, a factor-level penalty changes by orders of magnitude while the effective-weight penalty is invariant.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figures/fig_4_3_grpo_pipeline.png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Current-task learning pipeline with GRPO and deterministic verifiers, with worked examples of informative and zero-variance groups.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figures/fig_4_4_factorized_penalty.png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Factorized importance and the efficient penalty. (a) A dense nonnegative importance matrix. (b) Its mass-preserving rank-one approximation. (c) The Gram-form penalty and the storage it saves on Qwen2.5-1.5B.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figures/fig_4_5_update_sequence.png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 of operations in one RAHC-LoRA optimizer update, by owning component.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figures/fig_4_6_task_lifecycle.png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Lifecycle of a continual run. On task 1 every retention term is zero, so the update equals standard RL-LoRA.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figures/fig_5_1_software_layers.png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Layered software architecture of the rahc_lora package.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figures/fig_5_2_data_isolation.png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Data roles and isolation. Split sizes of the four RL tasks and the evaluation-only suite, with the flows each role is allowed to feed.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figures/fig_5_3_code_sandbox.png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Security boundary for code rewards. Generated code runs only in an ephemeral, network-disabled, resource-limited container, and only the test outcome leaves it.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figures/fig_5_4_hlora_rl_implementation.png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 implemented direct HLoRA-to-RL baseline, with the coefficient collapse observed in the pilots.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figures/fig_5_5_artifact_contract.png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Run artifacts and checkpoint contract.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figures/fig_6_1_phase2_performance_matrices.png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Performance matrices of the standard RL-LoRA Phase 2 pilots (held-out accuracy, n = 128 per cell).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figures/fig_6_2_continuation_rule.png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Measured task-1 forgetting of standard RL-LoRA in every stream, compared with the 10-point continuation threshold. The tick shows the largest loss that was possible given the task-1 score.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figures/fig_6_3_arc_gsm_comparison.png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Held-out accuracy on ARC-Challenge → GSM8K for RL-LoRA and HLoRA-RL at (a) 100 and (b) 150 updates per task. Error bars are Wilson 95% intervals over 64 examples.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figures/fig_6_4_training_reward_curves.png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Training reward (15-update moving mean) for RL-LoRA and HLoRA-RL at (a) 100 and (b) 150 updates per task. The task-1 curves are identical.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figures/fig_6_5_learning_signal_diagnostics.png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Learning-signal diagnostics on the ARC-first runs: batches with positive reward, zero-variance prompt groups, and updates with exactly zero gradient.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figures/fig_6_6_parse_failure_trend.png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Fraction of unparseable training responses (15-update moving mean) at 150 updates per task.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figures/fig_6_7_general_capabilities.png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General-capability suite for the 150-update ARC → GSM8K runs (n = 64 per point, Wilson 95% intervals).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figures/fig_6_8_perplexity_drift.png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WikiText-2 perplexity change from the frozen model after task 1 and task 2 in all eight runs.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6.9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figures/fig_6_9_importance_heatmap.png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Dense path-integral importance norms per layer and projection in HLoRA-RL (150 updates per task) after (a) ARC-Challenge and (b) GSM8K.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6.10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figures/fig_6_10_layer_coefficient_collapse.png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Layer coefficients sorted by importance norm: the implemented softmax of raw norms (one-hot) compared with two non-degenerate normalizations.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6.11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figures/fig_6_11_penalty_vs_rl_loss.png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Magnitude of the consolidation penalty and of the GRPO loss during GSM8K training. Ticks mark updates whose GRPO loss was exactly zero.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6.12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figures/fig_6_12_trajectory_divergence.png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(a) Absolute difference of per-step gradient norms between the two 150-update runs; (b) cumulative training reward.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6.13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figures/fig_6_13_compute_profile.png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Compute profile of all runs: mean time per update, peak GPU memory allocated, and total optimizer time.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6.14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figures/fig_6_14_storage_comparison.png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Persistent state for Qwen2.5-1.5B (log scale): the frozen backbone, dense importance (implemented), the adapter and its reference, and rank-one importance (planned).</w:t>
            </w:r>
          </w:p>
        </w:tc>
      </w:tr>
    </w:tbl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5. Table index</w:t>
      </w:r>
    </w:p>
    <w:tbl>
      <w:tblPr>
        <w:tblW w:type="dxa" w:w="9026"/>
        <w:tblBorders>
          <w:top w:val="single" w:color="C3C2B7" w:sz="4"/>
          <w:left w:val="none" w:color="FFFFFF" w:sz="0"/>
          <w:bottom w:val="single" w:color="C3C2B7" w:sz="4"/>
          <w:right w:val="none" w:color="FFFFFF" w:sz="0"/>
          <w:insideH w:val="single" w:color="E1E0D9" w:sz="2"/>
          <w:insideV w:val="none" w:color="FFFFFF" w:sz="0"/>
        </w:tblBorders>
      </w:tblPr>
      <w:tblGrid>
        <w:gridCol w:w="632"/>
        <w:gridCol w:w="3249"/>
        <w:gridCol w:w="5145"/>
      </w:tblGrid>
      <w:tr>
        <w:trPr>
          <w:cantSplit/>
          <w:tblHeader/>
        </w:trPr>
        <w:tc>
          <w:tcPr>
            <w:tcW w:type="dxa" w:w="632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249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145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Caption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tables/tab_2_1_literature_comparison.png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Comparison of representative continual-learning and forgetting studies relevant to sequential RL fine-tuning with one shared LoRA adapter.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tables/tab_3_1_requirements.png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Final specifications and requirements of the RAHC-LoRA research platform and their verification status.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tables/tab_3_2_platform.png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Hardware and software platform recorded in the run manifests.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tables/tab_3_3_risk_register.png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Risk register: risks anticipated in the specification, controls, and what was observed during P2.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tables/tab_4_1_notation.png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Notation used in the RAHC-LoRA formulation.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tables/tab_4_2_method_matrix.png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Methods compared in the study and the retention components each one enables (all run through the same trainer).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tables/tab_4_3_ablations.png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Planned ablations; each is a configuration switch, never a source edit.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tables/tab_4_4_rahc_hyperparameters.png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Default RAHC-LoRA hyperparameters fixed in the specification before any method pilot.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tables/tab_5_1_datasets.png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Pinned datasets, project roles, split sizes, and training rewards.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tables/tab_5_2_experimental_configuration.png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Experimental configuration shared by all GPU pilots (values from the resolved run configurations).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tables/tab_5_3_run_inventory.png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Inventory of the GPU runs analysed in this report (seed 1 in every run).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tables/tab_5_4_validation.png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Engineering validation evidence (cheap checks before GPU runs).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tables/tab_5_5_phase_status.png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Phase-by-phase implementation status established from repository evidence (29 September 2026).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tables/tab_6_1_phase2_results.png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Standard RL-LoRA pilots: performance matrices and continual metrics (percent; seed 1).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tables/tab_6_2_arc_gsm_results.png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ARC-Challenge -&gt; GSM8K pilots: held-out accuracy with Wilson 95% intervals (n = 64 per cell) and continual metrics.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tables/tab_6_3_paired_tests.png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Example-level paired analysis on identical held-out examples: paired bootstrap 95% intervals (10,000 resamples) and exact McNemar tests.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tables/tab_6_4_training_diagnostics.png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Training-rollout diagnostics (training data only, never used as held-out evidence).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tables/tab_6_5_capabilities.png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General-capability suite for the 150-update ARC -&gt; GSM8K pilots (n = 64 per metric; percent except perplexity).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tables/tab_6_6_efficiency.png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Compute and persistent-state cost on the RTX 4070 Ti SUPER (Qwen2.5-1.5B unless noted).</w:t>
            </w:r>
          </w:p>
        </w:tc>
      </w:tr>
      <w:tr>
        <w:trPr>
          <w:cantSplit/>
        </w:trPr>
        <w:tc>
          <w:tcPr>
            <w:tcW w:type="dxa" w:w="632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3249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tables/tab_6_7_findings_summary.png</w:t>
            </w:r>
          </w:p>
        </w:tc>
        <w:tc>
          <w:tcPr>
            <w:tcW w:type="dxa" w:w="5145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Summary of findings against the research questions and hypotheses.</w:t>
            </w:r>
          </w:p>
        </w:tc>
      </w:tr>
      <w:tr>
        <w:trPr>
          <w:cantSplit/>
        </w:trPr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D.1</w:t>
            </w:r>
          </w:p>
        </w:tc>
        <w:tc>
          <w:tcPr>
            <w:tcW w:type="dxa" w:w="3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tables/tab_D_1_reconciliation.png</w:t>
            </w:r>
          </w:p>
        </w:tc>
        <w:tc>
          <w:tcPr>
            <w:tcW w:type="dxa" w:w="51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Reconciliation of statements in earlier internal reports with the verified run artifacts.</w:t>
            </w:r>
          </w:p>
        </w:tc>
      </w:tr>
    </w:tbl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6. Equation index</w:t>
      </w:r>
    </w:p>
    <w:tbl>
      <w:tblPr>
        <w:tblW w:type="dxa" w:w="9026"/>
        <w:tblBorders>
          <w:top w:val="single" w:color="C3C2B7" w:sz="4"/>
          <w:left w:val="none" w:color="FFFFFF" w:sz="0"/>
          <w:bottom w:val="single" w:color="C3C2B7" w:sz="4"/>
          <w:right w:val="none" w:color="FFFFFF" w:sz="0"/>
          <w:insideH w:val="single" w:color="E1E0D9" w:sz="2"/>
          <w:insideV w:val="none" w:color="FFFFFF" w:sz="0"/>
        </w:tblBorders>
      </w:tblPr>
      <w:tblGrid>
        <w:gridCol w:w="903"/>
        <w:gridCol w:w="3610"/>
        <w:gridCol w:w="903"/>
        <w:gridCol w:w="3610"/>
      </w:tblGrid>
      <w:tr>
        <w:trPr>
          <w:cantSplit/>
          <w:tblHeader/>
        </w:trPr>
        <w:tc>
          <w:tcPr>
            <w:tcW w:type="dxa" w:w="903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610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LaTeX label</w:t>
            </w:r>
          </w:p>
        </w:tc>
        <w:tc>
          <w:tcPr>
            <w:tcW w:type="dxa" w:w="903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3610"/>
            <w:shd w:fill="E3EEF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LaTeX label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(2.1)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eq:eq_lora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(2.2)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eq:eq_rl_objective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(2.3)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eq:eq_ewc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(2.4)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eq:eq_si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eq:eq_stream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(4.2)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eq:eq_policy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(4.3)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eq:eq_effective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(4.4)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eq:eq_gauge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(4.5)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eq:eq_grpo_adv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(4.6)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eq:eq_grpo_loss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(4.7)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eq:eq_taylor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(4.8)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eq:eq_eff_grad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(4.9)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eq:eq_step_delta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(4.10)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eq:eq_raw_score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(4.11)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eq:eq_ema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(4.12)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eq:eq_rank1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(4.13)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eq:eq_storage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(4.14)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eq:eq_D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(4.15)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eq:eq_R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(4.16)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eq:eq_gram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(4.17)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eq:eq_kl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(4.18)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eq:eq_conflict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(4.19)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eq:eq_coef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(4.20)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eq:eq_dual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(4.21)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eq:eq_total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(4.22)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eq:eq_forgetting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(4.23)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eq:eq_final_avg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(4.24)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eq:eq_wilson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(5.1)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eq:eq_hlora_path</w:t>
            </w:r>
          </w:p>
        </w:tc>
        <w:tc>
          <w:tcPr>
            <w:tcW w:type="dxa" w:w="9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(5.2)</w:t>
            </w:r>
          </w:p>
        </w:tc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eq:eq_hlora_omega</w:t>
            </w:r>
          </w:p>
        </w:tc>
      </w:tr>
      <w:tr>
        <w:trPr>
          <w:cantSplit/>
        </w:trPr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(5.3)</w:t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eq:eq_hlora_loss</w:t>
            </w:r>
          </w:p>
        </w:tc>
        <w:tc>
          <w:tcPr>
            <w:tcW w:type="dxa" w:w="903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610"/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7. Converting to LaTeX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Use the BRAC thesis LaTeX template; copy figures/ and tables/ next to it and set \graphicspath{{figures/}{tables/}}.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Add latex_support/references.bib and cite with \cite{key}; citation_key_map.txt maps each [n] in the Word text to its key.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Paste equations from latex_support/equations.tex (they need \usepackage{amsmath,amssymb}).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Figure and table environments with the same captions and labels are in latex_support/figures_and_tables.tex. For editable LaTeX tables, convert the native Word tables (or data/tables.json) with a tool such as pandoc or tablesgenerator.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Cross-references in the Word text (Figure 4.1, Table 5.2, Section 4.3) correspond to \ref{fig:...}, \ref{tab:...}, and \ref{sec:...} labels.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8. Verification notes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</w:rPr>
        <w:t xml:space="preserve">All numbers were re-derived from the raw run artifacts. Earlier internal reports contained several discrepancies (for example, LoRA rank 16 and G = 8 instead of the actual rank 8 and G = 4, and 'retention' or 'breakthrough' claims that the data do not support). They are listed in Appendix D (Table D.1). The thesis uses only the verified values.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</w:rPr>
        <w:t xml:space="preserve">Bibliography: all entries were checked, and the most recent ones were verified online (for example HLoRA/HLER arXiv:2501.13669 by Song et al.). Several entries in the P1 bibliography appear to have incorrect author lists and are worth correcting if P1 is reused: HLER is by S. Song et al. (not Zhao et al.); I-LoRA (arXiv:2402.18865) is by W. Ren et al.; MbPA++ is by C. de Masson d'Autume et al. (NeurIPS 2019); the implicit-inference paper is by S. Kotha et al. (ICLR 2024); spurious forgetting (arXiv:2501.13453) is by J. Zheng et al.; the COLING 2020 continual-learning survey is by M. Biesialska et al. (the Parisi et al. review appeared in Neural Networks, 2019); and P1 entry [23] reuses the arXiv ID of entry [2].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</w:rPr>
        <w:t xml:space="preserve">Two implementation issues surfaced during the analysis and are reported in the thesis: the captured effective gradient applies the LoRA scale twice (a constant factor of 2), and the multiple-choice parser accepts hedged answers such as 'Answer: A or B'. Both are scheduled for correction before Phase 4.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9. Regenerating the package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From the repository root</w:t>
      </w:r>
    </w:p>
    <w:p>
      <w:pPr>
        <w:keepNext/>
        <w:keepLines/>
        <w:shd w:fill="F4F4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Thesis_Paper/source/analyze_runs.py</w:t>
      </w:r>
    </w:p>
    <w:p>
      <w:pPr>
        <w:keepNext/>
        <w:keepLines/>
        <w:shd w:fill="F4F4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Thesis_Paper/source/make_diagrams.py</w:t>
      </w:r>
    </w:p>
    <w:p>
      <w:pPr>
        <w:keepNext/>
        <w:keepLines/>
        <w:shd w:fill="F4F4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Thesis_Paper/source/make_charts.py</w:t>
      </w:r>
    </w:p>
    <w:p>
      <w:pPr>
        <w:keepNext/>
        <w:keepLines/>
        <w:shd w:fill="F4F4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Thesis_Paper/source/build_document.py</w:t>
      </w:r>
    </w:p>
    <w:p>
      <w:pPr>
        <w:keepNext w:val="false"/>
        <w:keepLines/>
        <w:shd w:fill="F4F4F2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  Thesis_Paper/source/build_docx.js      # needs the npm package 'docx' (v9)</w:t>
      </w:r>
    </w:p>
    <w:p>
      <w:pPr>
        <w:spacing w:after="160"/>
      </w:pPr>
    </w:p>
    <w:sectPr>
      <w:footerReference w:type="default" r:id="rId6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/>
      <w:outlineLvl w:val="0"/>
    </w:pPr>
    <w:rPr>
      <w:rFonts w:ascii="Times New Roman" w:cs="Times New Roman" w:eastAsia="Times New Roman" w:hAnsi="Times New Roman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 thesis package index</dc:title>
  <dc:creator>RAHC-LoRA thesis team</dc:creator>
  <cp:lastModifiedBy>Un-named</cp:lastModifiedBy>
  <cp:revision>1</cp:revision>
  <dcterms:created xsi:type="dcterms:W3CDTF">2026-09-28T20:15:58.253Z</dcterms:created>
  <dcterms:modified xsi:type="dcterms:W3CDTF">2026-09-28T20:15:58.253Z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