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rPr>
          <w:rFonts w:ascii="Times New Roman" w:cs="Times New Roman" w:eastAsia="Times New Roman" w:hAnsi="Times New Roman"/>
        </w:rPr>
        <w:t xml:space="preserve">Chapter 4: Proposed Methodology</w:t>
      </w:r>
    </w:p>
    <w:p>
      <w:pPr>
        <w:spacing w:after="140" w:line="360"/>
        <w:jc w:val="both"/>
      </w:pPr>
      <w:r>
        <w:rPr>
          <w:rFonts w:ascii="Times New Roman" w:cs="Times New Roman" w:eastAsia="Times New Roman" w:hAnsi="Times New Roman"/>
        </w:rPr>
        <w:t xml:space="preserve">This chapter presents the complete design of RAHC-LoRA. It begins with the design process and the alternatives considered, formalizes the continual-RL problem, defines each component of the method mathematically, and ends with the baselines, ablations, evaluation protocol, and statistical plan that will be used to test it. Components already implemented are described in Chapter 5, and the chapter marks clearly which parts are specified but not yet implemented.</w:t>
      </w:r>
    </w:p>
    <w:p>
      <w:pPr>
        <w:pStyle w:val="Heading2"/>
        <w:keepNext/>
      </w:pPr>
      <w:r>
        <w:rPr>
          <w:rFonts w:ascii="Times New Roman" w:cs="Times New Roman" w:eastAsia="Times New Roman" w:hAnsi="Times New Roman"/>
        </w:rPr>
        <w:t xml:space="preserve">4.1  Design Process and Methodology Overview</w:t>
      </w:r>
    </w:p>
    <w:p>
      <w:pPr>
        <w:pStyle w:val="Heading3"/>
        <w:keepNext/>
      </w:pPr>
      <w:r>
        <w:rPr>
          <w:rFonts w:ascii="Times New Roman" w:cs="Times New Roman" w:eastAsia="Times New Roman" w:hAnsi="Times New Roman"/>
        </w:rPr>
        <w:t xml:space="preserve">4.1.1  Design objectives</w:t>
      </w:r>
    </w:p>
    <w:p>
      <w:pPr>
        <w:spacing w:after="140" w:line="360"/>
        <w:jc w:val="both"/>
      </w:pPr>
      <w:r>
        <w:rPr>
          <w:rFonts w:ascii="Times New Roman" w:cs="Times New Roman" w:eastAsia="Times New Roman" w:hAnsi="Times New Roman"/>
        </w:rPr>
        <w:t xml:space="preserve">The method was designed to meet five objectives derived from the problem statement (Section 1.3):</w:t>
      </w:r>
    </w:p>
    <w:p>
      <w:pPr>
        <w:pStyle w:val="ListParagraph"/>
        <w:numPr>
          <w:ilvl w:val="0"/>
          <w:numId w:val="2"/>
        </w:numPr>
        <w:spacing w:after="80" w:line="340"/>
        <w:jc w:val="both"/>
      </w:pPr>
      <w:r>
        <w:rPr>
          <w:rFonts w:ascii="Times New Roman" w:cs="Times New Roman" w:eastAsia="Times New Roman" w:hAnsi="Times New Roman"/>
          <w:b/>
          <w:bCs/>
        </w:rPr>
        <w:t xml:space="preserve">Stability with plasticity:</w:t>
      </w:r>
      <w:r>
        <w:rPr>
          <w:rFonts w:ascii="Times New Roman" w:cs="Times New Roman" w:eastAsia="Times New Roman" w:hAnsi="Times New Roman"/>
        </w:rPr>
        <w:t xml:space="preserve"> reduce forgetting of earlier tasks without materially reducing learning of the current task.</w:t>
      </w:r>
    </w:p>
    <w:p>
      <w:pPr>
        <w:pStyle w:val="ListParagraph"/>
        <w:numPr>
          <w:ilvl w:val="0"/>
          <w:numId w:val="2"/>
        </w:numPr>
        <w:spacing w:after="80" w:line="340"/>
        <w:jc w:val="both"/>
      </w:pPr>
      <w:r>
        <w:rPr>
          <w:rFonts w:ascii="Times New Roman" w:cs="Times New Roman" w:eastAsia="Times New Roman" w:hAnsi="Times New Roman"/>
          <w:b/>
          <w:bCs/>
        </w:rPr>
        <w:t xml:space="preserve">One shared policy:</w:t>
      </w:r>
      <w:r>
        <w:rPr>
          <w:rFonts w:ascii="Times New Roman" w:cs="Times New Roman" w:eastAsia="Times New Roman" w:hAnsi="Times New Roman"/>
        </w:rPr>
        <w:t xml:space="preserve"> a single frozen backbone and one LoRA adapter for all tasks, with no per-task parameters.</w:t>
      </w:r>
    </w:p>
    <w:p>
      <w:pPr>
        <w:pStyle w:val="ListParagraph"/>
        <w:numPr>
          <w:ilvl w:val="0"/>
          <w:numId w:val="2"/>
        </w:numPr>
        <w:spacing w:after="80" w:line="340"/>
        <w:jc w:val="both"/>
      </w:pPr>
      <w:r>
        <w:rPr>
          <w:rFonts w:ascii="Times New Roman" w:cs="Times New Roman" w:eastAsia="Times New Roman" w:hAnsi="Times New Roman"/>
          <w:b/>
          <w:bCs/>
        </w:rPr>
        <w:t xml:space="preserve">Correct protected object:</w:t>
      </w:r>
      <w:r>
        <w:rPr>
          <w:rFonts w:ascii="Times New Roman" w:cs="Times New Roman" w:eastAsia="Times New Roman" w:hAnsi="Times New Roman"/>
        </w:rPr>
        <w:t xml:space="preserve"> retention defined on the effective update ΔW, not on the arbitrary LoRA factors.</w:t>
      </w:r>
    </w:p>
    <w:p>
      <w:pPr>
        <w:pStyle w:val="ListParagraph"/>
        <w:numPr>
          <w:ilvl w:val="0"/>
          <w:numId w:val="2"/>
        </w:numPr>
        <w:spacing w:after="80" w:line="340"/>
        <w:jc w:val="both"/>
      </w:pPr>
      <w:r>
        <w:rPr>
          <w:rFonts w:ascii="Times New Roman" w:cs="Times New Roman" w:eastAsia="Times New Roman" w:hAnsi="Times New Roman"/>
          <w:b/>
          <w:bCs/>
        </w:rPr>
        <w:t xml:space="preserve">Bounded state:</w:t>
      </w:r>
      <w:r>
        <w:rPr>
          <w:rFonts w:ascii="Times New Roman" w:cs="Times New Roman" w:eastAsia="Times New Roman" w:hAnsi="Times New Roman"/>
        </w:rPr>
        <w:t xml:space="preserve"> persistent retention state independent of the number of tasks and far smaller than dense importance.</w:t>
      </w:r>
    </w:p>
    <w:p>
      <w:pPr>
        <w:pStyle w:val="ListParagraph"/>
        <w:numPr>
          <w:ilvl w:val="0"/>
          <w:numId w:val="2"/>
        </w:numPr>
        <w:spacing w:after="80" w:line="340"/>
        <w:jc w:val="both"/>
      </w:pPr>
      <w:r>
        <w:rPr>
          <w:rFonts w:ascii="Times New Roman" w:cs="Times New Roman" w:eastAsia="Times New Roman" w:hAnsi="Times New Roman"/>
          <w:b/>
          <w:bCs/>
        </w:rPr>
        <w:t xml:space="preserve">Removable parts:</w:t>
      </w:r>
      <w:r>
        <w:rPr>
          <w:rFonts w:ascii="Times New Roman" w:cs="Times New Roman" w:eastAsia="Times New Roman" w:hAnsi="Times New Roman"/>
        </w:rPr>
        <w:t xml:space="preserve"> each component switchable by configuration, so its contribution can be measured by ablation.</w:t>
      </w:r>
    </w:p>
    <w:p>
      <w:pPr>
        <w:pStyle w:val="Heading3"/>
        <w:keepNext/>
      </w:pPr>
      <w:r>
        <w:rPr>
          <w:rFonts w:ascii="Times New Roman" w:cs="Times New Roman" w:eastAsia="Times New Roman" w:hAnsi="Times New Roman"/>
        </w:rPr>
        <w:t xml:space="preserve">4.1.2  Alternatives considered</w:t>
      </w:r>
    </w:p>
    <w:p>
      <w:pPr>
        <w:spacing w:after="140" w:line="360"/>
        <w:jc w:val="both"/>
      </w:pPr>
      <w:r>
        <w:rPr>
          <w:rFonts w:ascii="Times New Roman" w:cs="Times New Roman" w:eastAsia="Times New Roman" w:hAnsi="Times New Roman"/>
        </w:rPr>
        <w:t xml:space="preserve">Several designs were considered and rejected for the primary method. </w:t>
      </w:r>
      <w:r>
        <w:rPr>
          <w:rFonts w:ascii="Times New Roman" w:cs="Times New Roman" w:eastAsia="Times New Roman" w:hAnsi="Times New Roman"/>
          <w:i/>
          <w:iCs/>
        </w:rPr>
        <w:t xml:space="preserve">Per-task adapters or orthogonal subspaces</w:t>
      </w:r>
      <w:r>
        <w:rPr>
          <w:rFonts w:ascii="Times New Roman" w:cs="Times New Roman" w:eastAsia="Times New Roman" w:hAnsi="Times New Roman"/>
        </w:rPr>
        <w:t xml:space="preserve"> [21], [22] avoid interference but violate objective 2 and grow with the task count, so they are kept as baselines. </w:t>
      </w:r>
      <w:r>
        <w:rPr>
          <w:rFonts w:ascii="Times New Roman" w:cs="Times New Roman" w:eastAsia="Times New Roman" w:hAnsi="Times New Roman"/>
          <w:i/>
          <w:iCs/>
        </w:rPr>
        <w:t xml:space="preserve">Full replay of old rewards</w:t>
      </w:r>
      <w:r>
        <w:rPr>
          <w:rFonts w:ascii="Times New Roman" w:cs="Times New Roman" w:eastAsia="Times New Roman" w:hAnsi="Times New Roman"/>
        </w:rPr>
        <w:t xml:space="preserve"> needs stored rewards and sandbox executions for old tasks and grows with the stream; a fixed anchor memory of prompts with compact reference distributions is cheaper and does not require re-running old reward functions. </w:t>
      </w:r>
      <w:r>
        <w:rPr>
          <w:rFonts w:ascii="Times New Roman" w:cs="Times New Roman" w:eastAsia="Times New Roman" w:hAnsi="Times New Roman"/>
          <w:i/>
          <w:iCs/>
        </w:rPr>
        <w:t xml:space="preserve">Fisher-based importance</w:t>
      </w:r>
      <w:r>
        <w:rPr>
          <w:rFonts w:ascii="Times New Roman" w:cs="Times New Roman" w:eastAsia="Times New Roman" w:hAnsi="Times New Roman"/>
        </w:rPr>
        <w:t xml:space="preserve"> (EWC) requires sampling and squaring gradients under the current policy, is sensitive to reward sparsity, and does not account for the actual optimizer step. </w:t>
      </w:r>
      <w:r>
        <w:rPr>
          <w:rFonts w:ascii="Times New Roman" w:cs="Times New Roman" w:eastAsia="Times New Roman" w:hAnsi="Times New Roman"/>
          <w:i/>
          <w:iCs/>
        </w:rPr>
        <w:t xml:space="preserve">Gradient projection</w:t>
      </w:r>
      <w:r>
        <w:rPr>
          <w:rFonts w:ascii="Times New Roman" w:cs="Times New Roman" w:eastAsia="Times New Roman" w:hAnsi="Times New Roman"/>
        </w:rPr>
        <w:t xml:space="preserve"> [39], [40] imposes hard constraints that can block learning and requires per-step memory gradients for every protected task. </w:t>
      </w:r>
      <w:r>
        <w:rPr>
          <w:rFonts w:ascii="Times New Roman" w:cs="Times New Roman" w:eastAsia="Times New Roman" w:hAnsi="Times New Roman"/>
          <w:i/>
          <w:iCs/>
        </w:rPr>
        <w:t xml:space="preserve">Static softmax layer weights</w:t>
      </w:r>
      <w:r>
        <w:rPr>
          <w:rFonts w:ascii="Times New Roman" w:cs="Times New Roman" w:eastAsia="Times New Roman" w:hAnsi="Times New Roman"/>
        </w:rPr>
        <w:t xml:space="preserve"> (as in HLoRA) cannot react to whether the current task actually conflicts with the old ones. Our pilots later showed that they can collapse entirely (Section 6.6).</w:t>
      </w:r>
    </w:p>
    <w:p>
      <w:pPr>
        <w:spacing w:after="140" w:line="360"/>
        <w:jc w:val="both"/>
      </w:pPr>
      <w:r>
        <w:rPr>
          <w:rFonts w:ascii="Times New Roman" w:cs="Times New Roman" w:eastAsia="Times New Roman" w:hAnsi="Times New Roman"/>
        </w:rPr>
        <w:t xml:space="preserve">The chosen design combines two complementary protections. </w:t>
      </w:r>
      <w:r>
        <w:rPr>
          <w:rFonts w:ascii="Times New Roman" w:cs="Times New Roman" w:eastAsia="Times New Roman" w:hAnsi="Times New Roman"/>
          <w:i/>
          <w:iCs/>
        </w:rPr>
        <w:t xml:space="preserve">Parameter protection</w:t>
      </w:r>
      <w:r>
        <w:rPr>
          <w:rFonts w:ascii="Times New Roman" w:cs="Times New Roman" w:eastAsia="Times New Roman" w:hAnsi="Times New Roman"/>
        </w:rPr>
        <w:t xml:space="preserve"> resists movement of effective weights that were important for the reward of earlier tasks. </w:t>
      </w:r>
      <w:r>
        <w:rPr>
          <w:rFonts w:ascii="Times New Roman" w:cs="Times New Roman" w:eastAsia="Times New Roman" w:hAnsi="Times New Roman"/>
          <w:i/>
          <w:iCs/>
        </w:rPr>
        <w:t xml:space="preserve">Functional protection</w:t>
      </w:r>
      <w:r>
        <w:rPr>
          <w:rFonts w:ascii="Times New Roman" w:cs="Times New Roman" w:eastAsia="Times New Roman" w:hAnsi="Times New Roman"/>
        </w:rPr>
        <w:t xml:space="preserve"> keeps the policy's output distribution close to its old behaviour on a small memory of old prompts. Protection is scaled up only where the current RL gradient opposes the anchor gradient, and the strength of the behavioural term is controlled to meet an explicit drift budget. Figure 4.1 shows the architecture.</w:t>
      </w:r>
    </w:p>
    <w:p>
      <w:pPr>
        <w:keepNext/>
        <w:spacing w:after="60" w:before="120"/>
        <w:jc w:val="center"/>
      </w:pPr>
      <w:r>
        <w:drawing>
          <wp:inline distT="0" distB="0" distL="0" distR="0">
            <wp:extent cx="5667375" cy="3600450"/>
            <wp:effectExtent t="0" r="0" b="0" l="0"/>
            <wp:docPr id="69" name="fig_4_1_rahc_lora_architecture" descr="Architecture of RAHC-LoRA. One frozen backbone and one shared LoRA adapter serve both current-task learning and old-task retention. Retention terms are zero on the first task. State is consolidated at each task boundary, and the adapter is updated only by the AdamW step."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600450"/>
                    </a:xfrm>
                    <a:prstGeom prst="rect">
                      <a:avLst/>
                    </a:prstGeom>
                  </pic:spPr>
                </pic:pic>
              </a:graphicData>
            </a:graphic>
          </wp:inline>
        </w:drawing>
      </w:r>
    </w:p>
    <w:p>
      <w:pPr>
        <w:spacing w:after="240" w:before="60" w:line="276"/>
        <w:jc w:val="center"/>
      </w:pPr>
      <w:bookmarkStart w:name="bm_fig_4_1_rahc_lora_architecture" w:id="59"/>
      <w:r>
        <w:rPr>
          <w:rFonts w:ascii="Times New Roman" w:cs="Times New Roman" w:eastAsia="Times New Roman" w:hAnsi="Times New Roman"/>
          <w:b/>
          <w:bCs/>
          <w:sz w:val="21"/>
          <w:szCs w:val="21"/>
        </w:rPr>
        <w:t xml:space="preserve">Figure 4.1: </w:t>
      </w:r>
      <w:bookmarkEnd w:id="59"/>
      <w:r>
        <w:rPr>
          <w:rFonts w:ascii="Times New Roman" w:cs="Times New Roman" w:eastAsia="Times New Roman" w:hAnsi="Times New Roman"/>
          <w:sz w:val="21"/>
          <w:szCs w:val="21"/>
        </w:rPr>
        <w:t xml:space="preserve">Architecture of RAHC-LoRA. One frozen backbone and one shared LoRA adapter serve both current-task learning and old-task retention. Retention terms are zero on the first task. State is consolidated at each task boundary, and the adapter is updated only by the AdamW step.</w:t>
      </w:r>
    </w:p>
    <w:p>
      <w:pPr>
        <w:pStyle w:val="Heading2"/>
        <w:keepNext/>
      </w:pPr>
      <w:r>
        <w:rPr>
          <w:rFonts w:ascii="Times New Roman" w:cs="Times New Roman" w:eastAsia="Times New Roman" w:hAnsi="Times New Roman"/>
        </w:rPr>
        <w:t xml:space="preserve">4.2  Problem Formulation</w:t>
      </w:r>
    </w:p>
    <w:p>
      <w:pPr>
        <w:spacing w:after="140" w:line="360"/>
        <w:jc w:val="both"/>
      </w:pPr>
      <w:r>
        <w:rPr>
          <w:rFonts w:ascii="Times New Roman" w:cs="Times New Roman" w:eastAsia="Times New Roman" w:hAnsi="Times New Roman"/>
        </w:rPr>
        <w:t xml:space="preserve">Table 4.1 summarizes the notation.</w:t>
      </w:r>
    </w:p>
    <w:p>
      <w:pPr>
        <w:keepNext/>
        <w:spacing w:after="100" w:before="200" w:line="276"/>
        <w:jc w:val="center"/>
      </w:pPr>
      <w:bookmarkStart w:name="bm_tab_4_1_notation" w:id="60"/>
      <w:r>
        <w:rPr>
          <w:rFonts w:ascii="Times New Roman" w:cs="Times New Roman" w:eastAsia="Times New Roman" w:hAnsi="Times New Roman"/>
          <w:b/>
          <w:bCs/>
          <w:sz w:val="21"/>
          <w:szCs w:val="21"/>
        </w:rPr>
        <w:t xml:space="preserve">Table 4.1: </w:t>
      </w:r>
      <w:bookmarkEnd w:id="60"/>
      <w:r>
        <w:rPr>
          <w:rFonts w:ascii="Times New Roman" w:cs="Times New Roman" w:eastAsia="Times New Roman" w:hAnsi="Times New Roman"/>
          <w:sz w:val="21"/>
          <w:szCs w:val="21"/>
        </w:rPr>
        <w:t xml:space="preserve">Notation used in the RAHC-LoRA formulation.</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527"/>
        <w:gridCol w:w="6499"/>
      </w:tblGrid>
      <w:tr>
        <w:trPr>
          <w:cantSplit/>
          <w:tblHeader/>
        </w:trPr>
        <w:tc>
          <w:tcPr>
            <w:tcW w:type="dxa" w:w="252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Symbol</w:t>
            </w:r>
          </w:p>
        </w:tc>
        <w:tc>
          <w:tcPr>
            <w:tcW w:type="dxa" w:w="6499"/>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Meaning</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 t</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number of tasks in the stream; index of the current task</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W0, l</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frozen backbone weight of a target linear layer; index of a protected LoRA module</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A_l, B_l, r, α</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LoRA down-projection (r x I), up-projection (O x r), rank, scaling numerator</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s_l = α / r</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LoRA scale (2.0 in all pilots: r = 8, α = 16)</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ΔW_l = s_l B_l A_l</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effective LoRA update, the protected object</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responses sampled per prompt (group size, 4 in the pilots)</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r_i, Â_i</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deterministic reward of response i and its group-normalized advantage</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L_RL</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clipped GRPO objective of the current task</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g_l^RL, g_l^anc</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effective-weight gradients of the RL loss and of the anchor KL</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δ_l</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observed post-step change of ΔW_l</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S_l, p_l, q_l</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importance matrix and its rank-1 nonnegative row / column factors</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R_l</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effective-weight consolidation penalty of module l</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c_l</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detached conflict-aware layer coefficient</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L_KL</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compact forward KL between stored anchor references and the current policy</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λ_f, λ_p</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adaptive functional (KL) multiplier and fixed parameter-penalty weight</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A[i, j]</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held-out score on task j after finishing task i</w:t>
            </w:r>
          </w:p>
        </w:tc>
      </w:tr>
    </w:tbl>
    <w:p>
      <w:pPr>
        <w:spacing w:after="120"/>
      </w:pPr>
    </w:p>
    <w:p>
      <w:pPr>
        <w:spacing w:after="140" w:line="360"/>
        <w:jc w:val="both"/>
      </w:pPr>
      <w:r>
        <w:rPr>
          <w:rFonts w:ascii="Times New Roman" w:cs="Times New Roman" w:eastAsia="Times New Roman" w:hAnsi="Times New Roman"/>
        </w:rPr>
        <w:t xml:space="preserve">A task stream is an ordered sequence of T datasets, each split into four disjoint roles: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676775" cy="238125"/>
                  <wp:effectExtent t="0" r="0" b="0" l="0"/>
                  <wp:docPr id="70" name="eq_stream" descr="eq_stream" title="Equatio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2381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w:t>
            </w:r>
          </w:p>
        </w:tc>
      </w:tr>
    </w:tbl>
    <w:p>
      <w:pPr>
        <w:spacing w:after="80" w:before="0"/>
      </w:pPr>
    </w:p>
    <w:p>
      <w:pPr>
        <w:spacing w:after="140" w:line="360"/>
        <w:jc w:val="both"/>
      </w:pPr>
      <w:r>
        <w:rPr>
          <w:rFonts w:ascii="Times New Roman" w:cs="Times New Roman" w:eastAsia="Times New Roman" w:hAnsi="Times New Roman"/>
        </w:rPr>
        <w:t xml:space="preserve">The policy is the frozen backbone plus one shared set of LoRA factors θ over L protected modules: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972050" cy="533400"/>
                  <wp:effectExtent t="0" r="0" b="0" l="0"/>
                  <wp:docPr id="71" name="eq_policy" descr="eq_policy" title="Equatio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72050" cy="5334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(4.2)</w:t>
            </w:r>
          </w:p>
        </w:tc>
      </w:tr>
    </w:tbl>
    <w:p>
      <w:pPr>
        <w:spacing w:after="80" w:before="0"/>
      </w:pPr>
    </w:p>
    <w:p>
      <w:pPr>
        <w:spacing w:after="140" w:line="360"/>
        <w:jc w:val="both"/>
      </w:pPr>
      <w:r>
        <w:rPr>
          <w:rFonts w:ascii="Times New Roman" w:cs="Times New Roman" w:eastAsia="Times New Roman" w:hAnsi="Times New Roman"/>
        </w:rPr>
        <w:t xml:space="preserve">While training on task t, the learner may access only D</w:t>
      </w:r>
      <w:r>
        <w:rPr>
          <w:rFonts w:ascii="Times New Roman" w:cs="Times New Roman" w:eastAsia="Times New Roman" w:hAnsi="Times New Roman"/>
          <w:vertAlign w:val="subscript"/>
        </w:rPr>
        <w:t xml:space="preserve">t</w:t>
      </w:r>
      <w:r>
        <w:rPr>
          <w:rFonts w:ascii="Times New Roman" w:cs="Times New Roman" w:eastAsia="Times New Roman" w:hAnsi="Times New Roman"/>
          <w:vertAlign w:val="superscript"/>
        </w:rPr>
        <w:t xml:space="preserve">train</w:t>
      </w:r>
      <w:r>
        <w:rPr>
          <w:rFonts w:ascii="Times New Roman" w:cs="Times New Roman" w:eastAsia="Times New Roman" w:hAnsi="Times New Roman"/>
        </w:rPr>
        <w:t xml:space="preserve"> for RL updates, D</w:t>
      </w:r>
      <w:r>
        <w:rPr>
          <w:rFonts w:ascii="Times New Roman" w:cs="Times New Roman" w:eastAsia="Times New Roman" w:hAnsi="Times New Roman"/>
          <w:vertAlign w:val="subscript"/>
        </w:rPr>
        <w:t xml:space="preserve">t</w:t>
      </w:r>
      <w:r>
        <w:rPr>
          <w:rFonts w:ascii="Times New Roman" w:cs="Times New Roman" w:eastAsia="Times New Roman" w:hAnsi="Times New Roman"/>
          <w:vertAlign w:val="superscript"/>
        </w:rPr>
        <w:t xml:space="preserve">val</w:t>
      </w:r>
      <w:r>
        <w:rPr>
          <w:rFonts w:ascii="Times New Roman" w:cs="Times New Roman" w:eastAsia="Times New Roman" w:hAnsi="Times New Roman"/>
        </w:rPr>
        <w:t xml:space="preserve"> for tuning, and the anchor candidates of completed tasks, under a fixed global memory budget. Test splits are used only at task boundaries for evaluation. The goal is to maximize the final average performance Ā</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while minimizing the average forgetting F, both defined on the full performance matrix (Section 4.6).</w:t>
      </w:r>
    </w:p>
    <w:p>
      <w:pPr>
        <w:pStyle w:val="Heading2"/>
        <w:keepNext/>
      </w:pPr>
      <w:r>
        <w:rPr>
          <w:rFonts w:ascii="Times New Roman" w:cs="Times New Roman" w:eastAsia="Times New Roman" w:hAnsi="Times New Roman"/>
        </w:rPr>
        <w:t xml:space="preserve">4.3  The RAHC-LoRA Method</w:t>
      </w:r>
    </w:p>
    <w:p>
      <w:pPr>
        <w:pStyle w:val="Heading3"/>
        <w:keepNext/>
      </w:pPr>
      <w:r>
        <w:rPr>
          <w:rFonts w:ascii="Times New Roman" w:cs="Times New Roman" w:eastAsia="Times New Roman" w:hAnsi="Times New Roman"/>
        </w:rPr>
        <w:t xml:space="preserve">4.3.1  Effective LoRA weight space and gauge invariance</w:t>
      </w:r>
    </w:p>
    <w:p>
      <w:pPr>
        <w:spacing w:after="140" w:line="360"/>
        <w:jc w:val="both"/>
      </w:pPr>
      <w:r>
        <w:rPr>
          <w:rFonts w:ascii="Times New Roman" w:cs="Times New Roman" w:eastAsia="Times New Roman" w:hAnsi="Times New Roman"/>
        </w:rPr>
        <w:t xml:space="preserve">For each protected module l, RAHC-LoRA defines importance and consolidation on the effective update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1752600" cy="209550"/>
                  <wp:effectExtent t="0" r="0" b="0" l="0"/>
                  <wp:docPr id="72" name="eq_effective" descr="eq_effective" title="Equatio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52600" cy="2095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(4.3)</w:t>
            </w:r>
          </w:p>
        </w:tc>
      </w:tr>
    </w:tbl>
    <w:p>
      <w:pPr>
        <w:spacing w:after="80" w:before="0"/>
      </w:pPr>
    </w:p>
    <w:p>
      <w:pPr>
        <w:spacing w:after="140" w:line="360"/>
        <w:jc w:val="both"/>
      </w:pPr>
      <w:r>
        <w:rPr>
          <w:rFonts w:ascii="Times New Roman" w:cs="Times New Roman" w:eastAsia="Times New Roman" w:hAnsi="Times New Roman"/>
        </w:rPr>
        <w:t xml:space="preserve">rather than on A</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and B</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separately. The reason is the rescaling (gauge) symmetry of the factorization: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5029200" cy="228600"/>
                  <wp:effectExtent t="0" r="0" b="0" l="0"/>
                  <wp:docPr id="73" name="eq_gauge" descr="eq_gauge" title="Equatio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286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(4.4)</w:t>
            </w:r>
          </w:p>
        </w:tc>
      </w:tr>
    </w:tbl>
    <w:p>
      <w:pPr>
        <w:spacing w:after="80" w:before="0"/>
      </w:pPr>
    </w:p>
    <w:p>
      <w:pPr>
        <w:spacing w:after="140" w:line="360"/>
        <w:jc w:val="both"/>
      </w:pPr>
      <w:r>
        <w:rPr>
          <w:rFonts w:ascii="Times New Roman" w:cs="Times New Roman" w:eastAsia="Times New Roman" w:hAnsi="Times New Roman"/>
        </w:rPr>
        <w:t xml:space="preserve">Any quantity computed on the factors, such as ‖A − A</w:t>
      </w:r>
      <w:r>
        <w:rPr>
          <w:rFonts w:ascii="Times New Roman" w:cs="Times New Roman" w:eastAsia="Times New Roman" w:hAnsi="Times New Roman"/>
          <w:vertAlign w:val="superscript"/>
        </w:rPr>
        <w:t xml:space="preserve">ref</w:t>
      </w:r>
      <w:r>
        <w:rPr>
          <w:rFonts w:ascii="Times New Roman" w:cs="Times New Roman" w:eastAsia="Times New Roman" w:hAnsi="Times New Roman"/>
        </w:rPr>
        <w:t xml:space="preserve">‖² + ‖B − B</w:t>
      </w:r>
      <w:r>
        <w:rPr>
          <w:rFonts w:ascii="Times New Roman" w:cs="Times New Roman" w:eastAsia="Times New Roman" w:hAnsi="Times New Roman"/>
          <w:vertAlign w:val="superscript"/>
        </w:rPr>
        <w:t xml:space="preserve">ref</w:t>
      </w:r>
      <w:r>
        <w:rPr>
          <w:rFonts w:ascii="Times New Roman" w:cs="Times New Roman" w:eastAsia="Times New Roman" w:hAnsi="Times New Roman"/>
        </w:rPr>
        <w:t xml:space="preserve">‖², changes under this transformation even though the model is unchanged. A quantity computed on ΔW does not. Figure 4.2 verifies this numerically. For random 64×8 and 8×48 factors, the factor-level penalty varies by more than four orders of magnitude as the rescaling factor k goes from 0.03 to 30, while the effective-weight penalty stays constant to within a relative spread of 3×10⁻¹⁶ (machine precision). The implementation must pass the same invariance test on real LoRA modules.</w:t>
      </w:r>
    </w:p>
    <w:p>
      <w:pPr>
        <w:keepNext/>
        <w:spacing w:after="60" w:before="120"/>
        <w:jc w:val="center"/>
      </w:pPr>
      <w:r>
        <w:drawing>
          <wp:inline distT="0" distB="0" distL="0" distR="0">
            <wp:extent cx="5667375" cy="2476500"/>
            <wp:effectExtent t="0" r="0" b="0" l="0"/>
            <wp:docPr id="74" name="fig_4_2_gauge_invariance" descr="Gauge invariance. (a) LoRA factors and the protected effective update. (b) Under the rescaling A′ = kA, B′ = B/k, a factor-level penalty changes by orders of magnitude while the effective-weight penalty is invariant."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476500"/>
                    </a:xfrm>
                    <a:prstGeom prst="rect">
                      <a:avLst/>
                    </a:prstGeom>
                  </pic:spPr>
                </pic:pic>
              </a:graphicData>
            </a:graphic>
          </wp:inline>
        </w:drawing>
      </w:r>
    </w:p>
    <w:p>
      <w:pPr>
        <w:spacing w:after="240" w:before="60" w:line="276"/>
        <w:jc w:val="center"/>
      </w:pPr>
      <w:bookmarkStart w:name="bm_fig_4_2_gauge_invariance" w:id="61"/>
      <w:r>
        <w:rPr>
          <w:rFonts w:ascii="Times New Roman" w:cs="Times New Roman" w:eastAsia="Times New Roman" w:hAnsi="Times New Roman"/>
          <w:b/>
          <w:bCs/>
          <w:sz w:val="21"/>
          <w:szCs w:val="21"/>
        </w:rPr>
        <w:t xml:space="preserve">Figure 4.2: </w:t>
      </w:r>
      <w:bookmarkEnd w:id="61"/>
      <w:r>
        <w:rPr>
          <w:rFonts w:ascii="Times New Roman" w:cs="Times New Roman" w:eastAsia="Times New Roman" w:hAnsi="Times New Roman"/>
          <w:sz w:val="21"/>
          <w:szCs w:val="21"/>
        </w:rPr>
        <w:t xml:space="preserve">Gauge invariance. (a) LoRA factors and the protected effective update. (b) Under the rescaling A′ = kA, B′ = B/k, a factor-level penalty changes by orders of magnitude while the effective-weight penalty is invariant.</w:t>
      </w:r>
    </w:p>
    <w:p>
      <w:pPr>
        <w:pStyle w:val="Heading3"/>
        <w:keepNext/>
      </w:pPr>
      <w:r>
        <w:rPr>
          <w:rFonts w:ascii="Times New Roman" w:cs="Times New Roman" w:eastAsia="Times New Roman" w:hAnsi="Times New Roman"/>
        </w:rPr>
        <w:t xml:space="preserve">4.3.2  Current-task learning with GRPO</w:t>
      </w:r>
    </w:p>
    <w:p>
      <w:pPr>
        <w:spacing w:after="140" w:line="360"/>
        <w:jc w:val="both"/>
      </w:pPr>
      <w:r>
        <w:rPr>
          <w:rFonts w:ascii="Times New Roman" w:cs="Times New Roman" w:eastAsia="Times New Roman" w:hAnsi="Times New Roman"/>
        </w:rPr>
        <w:t xml:space="preserve">The current-task objective is the clipped GRPO loss [9] with verifiable rewards, implemented inside the project with explicitly documented semantics (Figure 4.3). For each prompt, G responses are sampled and scored by a deterministic reward r</w:t>
      </w:r>
      <w:r>
        <w:rPr>
          <w:rFonts w:ascii="Times New Roman" w:cs="Times New Roman" w:eastAsia="Times New Roman" w:hAnsi="Times New Roman"/>
          <w:vertAlign w:val="subscript"/>
        </w:rPr>
        <w:t xml:space="preserve">i</w:t>
      </w:r>
      <w:r>
        <w:rPr>
          <w:rFonts w:ascii="Times New Roman" w:cs="Times New Roman" w:eastAsia="Times New Roman" w:hAnsi="Times New Roman"/>
        </w:rPr>
        <w:t xml:space="preserve"> ∈ [0, 1]. The advantage is normalized within the group using the population standard deviation and clipped: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3848100" cy="276225"/>
                  <wp:effectExtent t="0" r="0" b="0" l="0"/>
                  <wp:docPr id="75" name="eq_grpo_adv" descr="eq_grpo_adv" title="Equatio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48100" cy="2762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(4.5)</w:t>
            </w:r>
          </w:p>
        </w:tc>
      </w:tr>
    </w:tbl>
    <w:p>
      <w:pPr>
        <w:spacing w:after="80" w:before="0"/>
      </w:pPr>
    </w:p>
    <w:p>
      <w:pPr>
        <w:spacing w:after="140" w:line="360"/>
        <w:jc w:val="both"/>
      </w:pPr>
      <w:r>
        <w:rPr>
          <w:rFonts w:ascii="Times New Roman" w:cs="Times New Roman" w:eastAsia="Times New Roman" w:hAnsi="Times New Roman"/>
        </w:rPr>
        <w:t xml:space="preserve">The loss is the token-mean clipped surrogate over all valid response tokens: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5029200" cy="514350"/>
                  <wp:effectExtent t="0" r="0" b="0" l="0"/>
                  <wp:docPr id="76" name="eq_grpo_loss" descr="eq_grpo_loss" title="Equatio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5143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(4.6)</w:t>
            </w:r>
          </w:p>
        </w:tc>
      </w:tr>
    </w:tbl>
    <w:p>
      <w:pPr>
        <w:spacing w:after="80" w:before="0"/>
      </w:pPr>
    </w:p>
    <w:p>
      <w:pPr>
        <w:spacing w:after="140" w:line="360"/>
        <w:jc w:val="both"/>
      </w:pPr>
      <w:r>
        <w:rPr>
          <w:rFonts w:ascii="Times New Roman" w:cs="Times New Roman" w:eastAsia="Times New Roman" w:hAnsi="Times New Roman"/>
        </w:rPr>
        <w:t xml:space="preserve">Two details matter for consolidation. First, a group with identical rewards contributes exactly zero advantage and hence zero gradient. This is logged and never replaced by a heuristic reward. Second, the reference RL-LoRA baseline adds no KL term to the initial policy, since that is a separate baseline (Section 4.4).</w:t>
      </w:r>
    </w:p>
    <w:p>
      <w:pPr>
        <w:keepNext/>
        <w:spacing w:after="60" w:before="120"/>
        <w:jc w:val="center"/>
      </w:pPr>
      <w:r>
        <w:drawing>
          <wp:inline distT="0" distB="0" distL="0" distR="0">
            <wp:extent cx="5667375" cy="2114550"/>
            <wp:effectExtent t="0" r="0" b="0" l="0"/>
            <wp:docPr id="77" name="fig_4_3_grpo_pipeline" descr="Current-task learning pipeline with GRPO and deterministic verifiers, with worked examples of informative and zero-variance groups."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114550"/>
                    </a:xfrm>
                    <a:prstGeom prst="rect">
                      <a:avLst/>
                    </a:prstGeom>
                  </pic:spPr>
                </pic:pic>
              </a:graphicData>
            </a:graphic>
          </wp:inline>
        </w:drawing>
      </w:r>
    </w:p>
    <w:p>
      <w:pPr>
        <w:spacing w:after="240" w:before="60" w:line="276"/>
        <w:jc w:val="center"/>
      </w:pPr>
      <w:bookmarkStart w:name="bm_fig_4_3_grpo_pipeline" w:id="62"/>
      <w:r>
        <w:rPr>
          <w:rFonts w:ascii="Times New Roman" w:cs="Times New Roman" w:eastAsia="Times New Roman" w:hAnsi="Times New Roman"/>
          <w:b/>
          <w:bCs/>
          <w:sz w:val="21"/>
          <w:szCs w:val="21"/>
        </w:rPr>
        <w:t xml:space="preserve">Figure 4.3: </w:t>
      </w:r>
      <w:bookmarkEnd w:id="62"/>
      <w:r>
        <w:rPr>
          <w:rFonts w:ascii="Times New Roman" w:cs="Times New Roman" w:eastAsia="Times New Roman" w:hAnsi="Times New Roman"/>
          <w:sz w:val="21"/>
          <w:szCs w:val="21"/>
        </w:rPr>
        <w:t xml:space="preserve">Current-task learning pipeline with GRPO and deterministic verifiers, with worked examples of informative and zero-variance groups.</w:t>
      </w:r>
    </w:p>
    <w:p>
      <w:pPr>
        <w:pStyle w:val="Heading3"/>
        <w:keepNext/>
      </w:pPr>
      <w:r>
        <w:rPr>
          <w:rFonts w:ascii="Times New Roman" w:cs="Times New Roman" w:eastAsia="Times New Roman" w:hAnsi="Times New Roman"/>
        </w:rPr>
        <w:t xml:space="preserve">4.3.3  Reward-aware Hessian-free importance</w:t>
      </w:r>
    </w:p>
    <w:p>
      <w:pPr>
        <w:spacing w:after="140" w:line="360"/>
        <w:jc w:val="both"/>
      </w:pPr>
      <w:r>
        <w:rPr>
          <w:rFonts w:ascii="Times New Roman" w:cs="Times New Roman" w:eastAsia="Times New Roman" w:hAnsi="Times New Roman"/>
        </w:rPr>
        <w:t xml:space="preserve">Consider the change of the RL loss when the effective update moves by δ:</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000500" cy="238125"/>
                  <wp:effectExtent t="0" r="0" b="0" l="0"/>
                  <wp:docPr id="78" name="eq_taylor" descr="eq_taylor" title="Equatio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381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(4.7)</w:t>
            </w:r>
          </w:p>
        </w:tc>
      </w:tr>
    </w:tbl>
    <w:p>
      <w:pPr>
        <w:spacing w:after="80" w:before="0"/>
      </w:pPr>
    </w:p>
    <w:p>
      <w:pPr>
        <w:spacing w:after="140" w:line="360"/>
        <w:jc w:val="both"/>
      </w:pPr>
      <w:r>
        <w:rPr>
          <w:rFonts w:ascii="Times New Roman" w:cs="Times New Roman" w:eastAsia="Times New Roman" w:hAnsi="Times New Roman"/>
        </w:rPr>
        <w:t xml:space="preserve">Second-order consolidation methods approximate the Hessian H, for example with a diagonal Fisher matrix, which is costly and noisy for policy gradients. Following the path-integral view of SI [25], RAHC-LoRA instead credits each element of ΔW with the loss decrease it actually produced during training. No Hessian or Fisher matrix is computed, which is the sense of "Hessian-free" in the method's name [44]. The first ingredient is the effective-weight gradient of the RL loss, captured at the target layer from its input activations x and output gradients: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276475" cy="400050"/>
                  <wp:effectExtent t="0" r="0" b="0" l="0"/>
                  <wp:docPr id="79" name="eq_eff_grad" descr="eq_eff_grad" title="Equatio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76475" cy="4000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(4.8)</w:t>
            </w:r>
          </w:p>
        </w:tc>
      </w:tr>
    </w:tbl>
    <w:p>
      <w:pPr>
        <w:spacing w:after="80" w:before="0"/>
      </w:pPr>
    </w:p>
    <w:p>
      <w:pPr>
        <w:spacing w:after="140" w:line="360"/>
        <w:jc w:val="both"/>
      </w:pPr>
      <w:r>
        <w:rPr>
          <w:rFonts w:ascii="Times New Roman" w:cs="Times New Roman" w:eastAsia="Times New Roman" w:hAnsi="Times New Roman"/>
        </w:rPr>
        <w:t xml:space="preserve">The second is the movement actually taken by the optimizer, observed after gradient clipping and the AdamW update, not reconstructed from an assumed SGD step:</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5029200" cy="276225"/>
                  <wp:effectExtent t="0" r="0" b="0" l="0"/>
                  <wp:docPr id="80" name="eq_step_delta" descr="eq_step_delta" title="Equatio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2762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(4.9)</w:t>
            </w:r>
          </w:p>
        </w:tc>
      </w:tr>
    </w:tbl>
    <w:p>
      <w:pPr>
        <w:spacing w:after="80" w:before="0"/>
      </w:pPr>
    </w:p>
    <w:p>
      <w:pPr>
        <w:spacing w:after="140" w:line="360"/>
        <w:jc w:val="both"/>
      </w:pPr>
      <w:r>
        <w:rPr>
          <w:rFonts w:ascii="Times New Roman" w:cs="Times New Roman" w:eastAsia="Times New Roman" w:hAnsi="Times New Roman"/>
        </w:rPr>
        <w:t xml:space="preserve">The per-step raw score keeps only positive contributions, those where the element moved in the direction that reduced the RL loss, and normalizes by the squared movement: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1419225" cy="390525"/>
                  <wp:effectExtent t="0" r="0" b="0" l="0"/>
                  <wp:docPr id="81" name="eq_raw_score" descr="eq_raw_score" title="Equatio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19225" cy="3905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(4.10)</w:t>
            </w:r>
          </w:p>
        </w:tc>
      </w:tr>
    </w:tbl>
    <w:p>
      <w:pPr>
        <w:spacing w:after="80" w:before="0"/>
      </w:pPr>
    </w:p>
    <w:p>
      <w:pPr>
        <w:spacing w:after="140" w:line="360"/>
        <w:jc w:val="both"/>
      </w:pPr>
      <w:r>
        <w:rPr>
          <w:rFonts w:ascii="Times New Roman" w:cs="Times New Roman" w:eastAsia="Times New Roman" w:hAnsi="Times New Roman"/>
        </w:rPr>
        <w:t xml:space="preserve">Scores are robustly clipped at the 99.5th percentile and accumulated with an exponential moving average in FP32:</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029075" cy="295275"/>
                  <wp:effectExtent t="0" r="0" b="0" l="0"/>
                  <wp:docPr id="82" name="eq_ema" descr="eq_ema" title="Equation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29075" cy="29527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(4.11)</w:t>
            </w:r>
          </w:p>
        </w:tc>
      </w:tr>
    </w:tbl>
    <w:p>
      <w:pPr>
        <w:spacing w:after="80" w:before="0"/>
      </w:pPr>
    </w:p>
    <w:p>
      <w:pPr>
        <w:spacing w:after="140" w:line="360"/>
        <w:jc w:val="both"/>
      </w:pPr>
      <w:r>
        <w:rPr>
          <w:rFonts w:ascii="Times New Roman" w:cs="Times New Roman" w:eastAsia="Times New Roman" w:hAnsi="Times New Roman"/>
        </w:rPr>
        <w:t xml:space="preserve">The estimator is </w:t>
      </w:r>
      <w:r>
        <w:rPr>
          <w:rFonts w:ascii="Times New Roman" w:cs="Times New Roman" w:eastAsia="Times New Roman" w:hAnsi="Times New Roman"/>
          <w:b/>
          <w:bCs/>
        </w:rPr>
        <w:t xml:space="preserve">reward-aware</w:t>
      </w:r>
      <w:r>
        <w:rPr>
          <w:rFonts w:ascii="Times New Roman" w:cs="Times New Roman" w:eastAsia="Times New Roman" w:hAnsi="Times New Roman"/>
        </w:rPr>
        <w:t xml:space="preserve"> because g</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is the gradient of the clipped-advantage GRPO objective, not of a likelihood or a supervised loss. Elements that moved to increase the probability of high-advantage responses receive credit in proportion to the reward signal that drove them. Groups with zero reward variance contribute nothing, so importance reflects only informative learning. Any non-finite gradient, movement, or score stops the step with a diagnostic instead of being skipped silently. This is Phase 4 of the implementation plan.</w:t>
      </w:r>
    </w:p>
    <w:p>
      <w:pPr>
        <w:pStyle w:val="Heading3"/>
        <w:keepNext/>
      </w:pPr>
      <w:r>
        <w:rPr>
          <w:rFonts w:ascii="Times New Roman" w:cs="Times New Roman" w:eastAsia="Times New Roman" w:hAnsi="Times New Roman"/>
        </w:rPr>
        <w:t xml:space="preserve">4.3.4  Rank-one factorized importance and efficient penalty</w:t>
      </w:r>
    </w:p>
    <w:p>
      <w:pPr>
        <w:spacing w:after="140" w:line="360"/>
        <w:jc w:val="both"/>
      </w:pPr>
      <w:r>
        <w:rPr>
          <w:rFonts w:ascii="Times New Roman" w:cs="Times New Roman" w:eastAsia="Times New Roman" w:hAnsi="Times New Roman"/>
        </w:rPr>
        <w:t xml:space="preserve">Dense importance S</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 ℝ</w:t>
      </w:r>
      <w:r>
        <w:rPr>
          <w:rFonts w:ascii="Times New Roman" w:cs="Times New Roman" w:eastAsia="Times New Roman" w:hAnsi="Times New Roman"/>
          <w:vertAlign w:val="superscript"/>
        </w:rPr>
        <w:t xml:space="preserve">O×I</w:t>
      </w:r>
      <w:r>
        <w:rPr>
          <w:rFonts w:ascii="Times New Roman" w:cs="Times New Roman" w:eastAsia="Times New Roman" w:hAnsi="Times New Roman"/>
        </w:rPr>
        <w:t xml:space="preserve"> is as large as the module itself. RAHC-LoRA stores only a nonnegative rank-one approximation built from the row and column marginals: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276725" cy="323850"/>
                  <wp:effectExtent t="0" r="0" b="0" l="0"/>
                  <wp:docPr id="83" name="eq_rank1" descr="eq_rank1" title="Equation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76725" cy="3238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(4.12)</w:t>
            </w:r>
          </w:p>
        </w:tc>
      </w:tr>
    </w:tbl>
    <w:p>
      <w:pPr>
        <w:spacing w:after="80" w:before="0"/>
      </w:pPr>
    </w:p>
    <w:p>
      <w:pPr>
        <w:spacing w:after="140" w:line="360"/>
        <w:jc w:val="both"/>
      </w:pPr>
      <w:r>
        <w:rPr>
          <w:rFonts w:ascii="Times New Roman" w:cs="Times New Roman" w:eastAsia="Times New Roman" w:hAnsi="Times New Roman"/>
        </w:rPr>
        <w:t xml:space="preserve">This choice is exact for any importance matrix that is itself an outer product. It preserves the total importance mass exactly and is always nonnegative, and it reduces storage from O·I to O + I values per module: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924175" cy="371475"/>
                  <wp:effectExtent t="0" r="0" b="0" l="0"/>
                  <wp:docPr id="84" name="eq_storage" descr="eq_storage" title="Equation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24175" cy="37147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(4.13)</w:t>
            </w:r>
          </w:p>
        </w:tc>
      </w:tr>
    </w:tbl>
    <w:p>
      <w:pPr>
        <w:spacing w:after="80" w:before="0"/>
      </w:pPr>
    </w:p>
    <w:p>
      <w:pPr>
        <w:spacing w:after="140" w:line="360"/>
        <w:jc w:val="both"/>
      </w:pPr>
      <w:r>
        <w:rPr>
          <w:rFonts w:ascii="Times New Roman" w:cs="Times New Roman" w:eastAsia="Times New Roman" w:hAnsi="Times New Roman"/>
        </w:rPr>
        <w:t xml:space="preserve">For the q/k/v/o projections of the 28 layers of Qwen2.5-1.5B, this is 154.1 million versus 272,384 values, a reduction of 566 times. Higher-rank nonnegative factorizations [73] are a possible extension. The factorization module must report reconstruction error, rank correlation with dense importance, storage, and update time on small models. This role is similar to that of Kronecker-factored curvature approximations in second-order methods [43], [42].</w:t>
      </w:r>
    </w:p>
    <w:p>
      <w:pPr>
        <w:spacing w:after="140" w:line="360"/>
        <w:jc w:val="both"/>
      </w:pPr>
      <w:r>
        <w:rPr>
          <w:rFonts w:ascii="Times New Roman" w:cs="Times New Roman" w:eastAsia="Times New Roman" w:hAnsi="Times New Roman"/>
        </w:rPr>
        <w:t xml:space="preserve">At each task boundary the current factors are stored as the reference. The consolidation penalty is defined on the difference of effective updates: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781300" cy="247650"/>
                  <wp:effectExtent t="0" r="0" b="0" l="0"/>
                  <wp:docPr id="85" name="eq_D" descr="eq_D" title="Equation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81300" cy="2476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(4.14)</w:t>
            </w:r>
          </w:p>
        </w:tc>
      </w:tr>
    </w:tbl>
    <w:p>
      <w:pPr>
        <w:spacing w:after="80" w:before="0"/>
      </w:pPr>
    </w:p>
    <w:p>
      <w:pPr>
        <w:spacing w:after="140" w:line="360"/>
        <w:jc w:val="both"/>
      </w:pPr>
      <w:r>
        <w:rPr>
          <w:rFonts w:ascii="Times New Roman" w:cs="Times New Roman" w:eastAsia="Times New Roman" w:hAnsi="Times New Roman"/>
        </w:rPr>
        <w:t xml:space="preserve">and weights it by the factorized importance: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3324225" cy="390525"/>
                  <wp:effectExtent t="0" r="0" b="0" l="0"/>
                  <wp:docPr id="86" name="eq_R" descr="eq_R" title="Equation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24225" cy="3905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(4.15)</w:t>
            </w:r>
          </w:p>
        </w:tc>
      </w:tr>
    </w:tbl>
    <w:p>
      <w:pPr>
        <w:spacing w:after="80" w:before="0"/>
      </w:pPr>
    </w:p>
    <w:p>
      <w:pPr>
        <w:spacing w:after="140" w:line="360"/>
        <w:jc w:val="both"/>
      </w:pPr>
      <w:r>
        <w:rPr>
          <w:rFonts w:ascii="Times New Roman" w:cs="Times New Roman" w:eastAsia="Times New Roman" w:hAnsi="Times New Roman"/>
        </w:rPr>
        <w:t xml:space="preserve">Materializing D</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costs O·I memory. With P = diag(√p</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and Q = diag(√q</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the same value is computed from rank-2r Gram matrices without ever forming D</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5029200" cy="200025"/>
                  <wp:effectExtent t="0" r="0" b="0" l="0"/>
                  <wp:docPr id="87" name="eq_gram" descr="eq_gram" title="Equation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29200" cy="2000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(4.16)</w:t>
            </w:r>
          </w:p>
        </w:tc>
      </w:tr>
    </w:tbl>
    <w:p>
      <w:pPr>
        <w:spacing w:after="80" w:before="0"/>
      </w:pPr>
    </w:p>
    <w:p>
      <w:pPr>
        <w:spacing w:after="140" w:line="360"/>
        <w:jc w:val="both"/>
      </w:pPr>
      <w:r>
        <w:rPr>
          <w:rFonts w:ascii="Times New Roman" w:cs="Times New Roman" w:eastAsia="Times New Roman" w:hAnsi="Times New Roman"/>
        </w:rPr>
        <w:t xml:space="preserve">This costs O(r²(O + I)) time and memory per module. Unit tests must confirm that the Gram form equals the dense computation on random matrices. Figure 4.4 illustrates the construction.</w:t>
      </w:r>
    </w:p>
    <w:p>
      <w:pPr>
        <w:keepNext/>
        <w:spacing w:after="60" w:before="120"/>
        <w:jc w:val="center"/>
      </w:pPr>
      <w:r>
        <w:drawing>
          <wp:inline distT="0" distB="0" distL="0" distR="0">
            <wp:extent cx="5667375" cy="1914525"/>
            <wp:effectExtent t="0" r="0" b="0" l="0"/>
            <wp:docPr id="88" name="fig_4_4_factorized_penalty" descr="Factorized importance and the efficient penalty. (a) A dense nonnegative importance matrix. (b) Its mass-preserving rank-one approximation. (c) The Gram-form penalty and the storage it saves on Qwen2.5-1.5B."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1914525"/>
                    </a:xfrm>
                    <a:prstGeom prst="rect">
                      <a:avLst/>
                    </a:prstGeom>
                  </pic:spPr>
                </pic:pic>
              </a:graphicData>
            </a:graphic>
          </wp:inline>
        </w:drawing>
      </w:r>
    </w:p>
    <w:p>
      <w:pPr>
        <w:spacing w:after="240" w:before="60" w:line="276"/>
        <w:jc w:val="center"/>
      </w:pPr>
      <w:bookmarkStart w:name="bm_fig_4_4_factorized_penalty" w:id="63"/>
      <w:r>
        <w:rPr>
          <w:rFonts w:ascii="Times New Roman" w:cs="Times New Roman" w:eastAsia="Times New Roman" w:hAnsi="Times New Roman"/>
          <w:b/>
          <w:bCs/>
          <w:sz w:val="21"/>
          <w:szCs w:val="21"/>
        </w:rPr>
        <w:t xml:space="preserve">Figure 4.4: </w:t>
      </w:r>
      <w:bookmarkEnd w:id="63"/>
      <w:r>
        <w:rPr>
          <w:rFonts w:ascii="Times New Roman" w:cs="Times New Roman" w:eastAsia="Times New Roman" w:hAnsi="Times New Roman"/>
          <w:sz w:val="21"/>
          <w:szCs w:val="21"/>
        </w:rPr>
        <w:t xml:space="preserve">Factorized importance and the efficient penalty. (a) A dense nonnegative importance matrix. (b) Its mass-preserving rank-one approximation. (c) The Gram-form penalty and the storage it saves on Qwen2.5-1.5B.</w:t>
      </w:r>
    </w:p>
    <w:p>
      <w:pPr>
        <w:pStyle w:val="Heading3"/>
        <w:keepNext/>
      </w:pPr>
      <w:r>
        <w:rPr>
          <w:rFonts w:ascii="Times New Roman" w:cs="Times New Roman" w:eastAsia="Times New Roman" w:hAnsi="Times New Roman"/>
        </w:rPr>
        <w:t xml:space="preserve">4.3.5  Fixed-budget anchor memory and compact behavioural KL</w:t>
      </w:r>
    </w:p>
    <w:p>
      <w:pPr>
        <w:spacing w:after="140" w:line="360"/>
        <w:jc w:val="both"/>
      </w:pPr>
      <w:r>
        <w:rPr>
          <w:rFonts w:ascii="Times New Roman" w:cs="Times New Roman" w:eastAsia="Times New Roman" w:hAnsi="Times New Roman"/>
        </w:rPr>
        <w:t xml:space="preserve">Parameter penalties protect weights, but the quantity that matters is behaviour on old-task inputs [19]. At each task boundary, RAHC-LoRA selects anchor records from the completed task's anchor-candidate split, which is a subset of its training data and never its test data. Each record stores the prompt, the reference completion tokens, the top-k (k = 32) token log-probabilities of the policy at capture time with the residual probability mass, the reward at capture, a selection hash, and the policy version. One global capacity (512 by default) is shared by all tasks. Selection combines reservoir sampling for temporal fairness [74], task balance, diversity by farthest-first selection when embeddings are available [75], and a mixture of easy, medium, and hard examples by reward stratum.</w:t>
      </w:r>
    </w:p>
    <w:p>
      <w:pPr>
        <w:spacing w:after="140" w:line="360"/>
        <w:jc w:val="both"/>
      </w:pPr>
      <w:r>
        <w:rPr>
          <w:rFonts w:ascii="Times New Roman" w:cs="Times New Roman" w:eastAsia="Times New Roman" w:hAnsi="Times New Roman"/>
        </w:rPr>
        <w:t xml:space="preserve">On an anchor minibatch M</w:t>
      </w:r>
      <w:r>
        <w:rPr>
          <w:rFonts w:ascii="Times New Roman" w:cs="Times New Roman" w:eastAsia="Times New Roman" w:hAnsi="Times New Roman"/>
          <w:vertAlign w:val="subscript"/>
        </w:rPr>
        <w:t xml:space="preserve">b</w:t>
      </w:r>
      <w:r>
        <w:rPr>
          <w:rFonts w:ascii="Times New Roman" w:cs="Times New Roman" w:eastAsia="Times New Roman" w:hAnsi="Times New Roman"/>
        </w:rPr>
        <w:t xml:space="preserve">, the behavioural loss is a forward KL over the stored top-k tokens plus one residual bucket: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695825" cy="419100"/>
                  <wp:effectExtent t="0" r="0" b="0" l="0"/>
                  <wp:docPr id="89" name="eq_kl" descr="eq_kl" title="Equation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95825" cy="4191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(4.17)</w:t>
            </w:r>
          </w:p>
        </w:tc>
      </w:tr>
    </w:tbl>
    <w:p>
      <w:pPr>
        <w:spacing w:after="80" w:before="0"/>
      </w:pPr>
    </w:p>
    <w:p>
      <w:pPr>
        <w:spacing w:after="140" w:line="360"/>
        <w:jc w:val="both"/>
      </w:pPr>
      <w:r>
        <w:rPr>
          <w:rFonts w:ascii="Times New Roman" w:cs="Times New Roman" w:eastAsia="Times New Roman" w:hAnsi="Times New Roman"/>
        </w:rPr>
        <w:t xml:space="preserve">Only the current-policy probabilities π</w:t>
      </w:r>
      <w:r>
        <w:rPr>
          <w:rFonts w:ascii="Times New Roman" w:cs="Times New Roman" w:eastAsia="Times New Roman" w:hAnsi="Times New Roman"/>
          <w:vertAlign w:val="subscript"/>
        </w:rPr>
        <w:t xml:space="preserve">θ</w:t>
      </w:r>
      <w:r>
        <w:rPr>
          <w:rFonts w:ascii="Times New Roman" w:cs="Times New Roman" w:eastAsia="Times New Roman" w:hAnsi="Times New Roman"/>
        </w:rPr>
        <w:t xml:space="preserve"> are differentiable, and the references are constants. The compact representation avoids storing full vocabulary distributions (151,936 tokens for Qwen2.5). The anchor KL is logged together with held-out old-task scores, because a low anchor KL alone does not prove that old-task performance is preserved. This is Phase 6.</w:t>
      </w:r>
    </w:p>
    <w:p>
      <w:pPr>
        <w:pStyle w:val="Heading3"/>
        <w:keepNext/>
      </w:pPr>
      <w:r>
        <w:rPr>
          <w:rFonts w:ascii="Times New Roman" w:cs="Times New Roman" w:eastAsia="Times New Roman" w:hAnsi="Times New Roman"/>
        </w:rPr>
        <w:t xml:space="preserve">4.3.6  Conflict-aware layer coefficients</w:t>
      </w:r>
    </w:p>
    <w:p>
      <w:pPr>
        <w:spacing w:after="140" w:line="360"/>
        <w:jc w:val="both"/>
      </w:pPr>
      <w:r>
        <w:rPr>
          <w:rFonts w:ascii="Times New Roman" w:cs="Times New Roman" w:eastAsia="Times New Roman" w:hAnsi="Times New Roman"/>
        </w:rPr>
        <w:t xml:space="preserve">Protection is needed most where the current RL update opposes the old behaviour. For each module, the conflict is the positive part of the negative cosine between the effective RL gradient and the effective anchor-KL gradient: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610100" cy="361950"/>
                  <wp:effectExtent t="0" r="0" b="0" l="0"/>
                  <wp:docPr id="90" name="eq_conflict" descr="eq_conflict" title="Equation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10100" cy="3619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(4.18)</w:t>
            </w:r>
          </w:p>
        </w:tc>
      </w:tr>
    </w:tbl>
    <w:p>
      <w:pPr>
        <w:spacing w:after="80" w:before="0"/>
      </w:pPr>
    </w:p>
    <w:p>
      <w:pPr>
        <w:spacing w:after="140" w:line="360"/>
        <w:jc w:val="both"/>
      </w:pPr>
      <w:r>
        <w:rPr>
          <w:rFonts w:ascii="Times New Roman" w:cs="Times New Roman" w:eastAsia="Times New Roman" w:hAnsi="Times New Roman"/>
        </w:rPr>
        <w:t xml:space="preserve">Aligned or orthogonal gradients give zero conflict, and so does any gradient whose norm is below the threshold τ = 10⁻¹². The conflict is combined with the module's importance mass and normalized across modules: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3952875" cy="514350"/>
                  <wp:effectExtent t="0" r="0" b="0" l="0"/>
                  <wp:docPr id="91" name="eq_coef" descr="eq_coef" title="Equation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52875" cy="5143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(4.19)</w:t>
            </w:r>
          </w:p>
        </w:tc>
      </w:tr>
    </w:tbl>
    <w:p>
      <w:pPr>
        <w:spacing w:after="80" w:before="0"/>
      </w:pPr>
    </w:p>
    <w:p>
      <w:pPr>
        <w:spacing w:after="140" w:line="360"/>
        <w:jc w:val="both"/>
      </w:pPr>
      <w:r>
        <w:rPr>
          <w:rFonts w:ascii="Times New Roman" w:cs="Times New Roman" w:eastAsia="Times New Roman" w:hAnsi="Times New Roman"/>
        </w:rPr>
        <w:t xml:space="preserve">where sg[·] stops gradients (the coefficient is detached) and c</w:t>
      </w:r>
      <w:r>
        <w:rPr>
          <w:rFonts w:ascii="Times New Roman" w:cs="Times New Roman" w:eastAsia="Times New Roman" w:hAnsi="Times New Roman"/>
          <w:vertAlign w:val="subscript"/>
        </w:rPr>
        <w:t xml:space="preserve">max</w:t>
      </w:r>
      <w:r>
        <w:rPr>
          <w:rFonts w:ascii="Times New Roman" w:cs="Times New Roman" w:eastAsia="Times New Roman" w:hAnsi="Times New Roman"/>
        </w:rPr>
        <w:t xml:space="preserve"> = 5 bounds the coefficient. The normalization "normalize across layers" in the specification is interpreted as rescaling to a mean of one across the L modules followed by clipping. This is the simplest testable interpretation, and it will be recorded as a design decision. Unlike a softmax of raw importance norms, this normalization cannot collapse onto a single module because of the scale of the norms (Section 6.6). A static-coefficient ablation keeps c</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fixed. This is Phase 7.</w:t>
      </w:r>
    </w:p>
    <w:p>
      <w:pPr>
        <w:pStyle w:val="Heading3"/>
        <w:keepNext/>
      </w:pPr>
      <w:r>
        <w:rPr>
          <w:rFonts w:ascii="Times New Roman" w:cs="Times New Roman" w:eastAsia="Times New Roman" w:hAnsi="Times New Roman"/>
        </w:rPr>
        <w:t xml:space="preserve">4.3.7  Adaptive functional-retention controller</w:t>
      </w:r>
    </w:p>
    <w:p>
      <w:pPr>
        <w:spacing w:after="140" w:line="360"/>
        <w:jc w:val="both"/>
      </w:pPr>
      <w:r>
        <w:rPr>
          <w:rFonts w:ascii="Times New Roman" w:cs="Times New Roman" w:eastAsia="Times New Roman" w:hAnsi="Times New Roman"/>
        </w:rPr>
        <w:t xml:space="preserve">The strength of the behavioural term is a nonnegative dual variable [69], [70]. It increases when the smoothed anchor KL exceeds a target budget K</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 and decreases otherwise: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5029200" cy="257175"/>
                  <wp:effectExtent t="0" r="0" b="0" l="0"/>
                  <wp:docPr id="92" name="eq_dual" descr="eq_dual" title="Equation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29200" cy="25717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(4.20)</w:t>
            </w:r>
          </w:p>
        </w:tc>
      </w:tr>
    </w:tbl>
    <w:p>
      <w:pPr>
        <w:spacing w:after="80" w:before="0"/>
      </w:pPr>
    </w:p>
    <w:p>
      <w:pPr>
        <w:spacing w:after="140" w:line="360"/>
        <w:jc w:val="both"/>
      </w:pPr>
      <w:r>
        <w:rPr>
          <w:rFonts w:ascii="Times New Roman" w:cs="Times New Roman" w:eastAsia="Times New Roman" w:hAnsi="Times New Roman"/>
        </w:rPr>
        <w:t xml:space="preserve">The defaults are an initial λ</w:t>
      </w:r>
      <w:r>
        <w:rPr>
          <w:rFonts w:ascii="Times New Roman" w:cs="Times New Roman" w:eastAsia="Times New Roman" w:hAnsi="Times New Roman"/>
          <w:vertAlign w:val="subscript"/>
        </w:rPr>
        <w:t xml:space="preserve">f</w:t>
      </w:r>
      <w:r>
        <w:rPr>
          <w:rFonts w:ascii="Times New Roman" w:cs="Times New Roman" w:eastAsia="Times New Roman" w:hAnsi="Times New Roman"/>
        </w:rPr>
        <w:t xml:space="preserve"> of 0.01, η</w:t>
      </w:r>
      <w:r>
        <w:rPr>
          <w:rFonts w:ascii="Times New Roman" w:cs="Times New Roman" w:eastAsia="Times New Roman" w:hAnsi="Times New Roman"/>
          <w:vertAlign w:val="subscript"/>
        </w:rPr>
        <w:t xml:space="preserve">λ</w:t>
      </w:r>
      <w:r>
        <w:rPr>
          <w:rFonts w:ascii="Times New Roman" w:cs="Times New Roman" w:eastAsia="Times New Roman" w:hAnsi="Times New Roman"/>
        </w:rPr>
        <w:t xml:space="preserve"> = 0.001, K</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 = 0.02, β</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 0.95, and λ</w:t>
      </w:r>
      <w:r>
        <w:rPr>
          <w:rFonts w:ascii="Times New Roman" w:cs="Times New Roman" w:eastAsia="Times New Roman" w:hAnsi="Times New Roman"/>
          <w:vertAlign w:val="subscript"/>
        </w:rPr>
        <w:t xml:space="preserve">max</w:t>
      </w:r>
      <w:r>
        <w:rPr>
          <w:rFonts w:ascii="Times New Roman" w:cs="Times New Roman" w:eastAsia="Times New Roman" w:hAnsi="Times New Roman"/>
        </w:rPr>
        <w:t xml:space="preserve"> = 10. If λ</w:t>
      </w:r>
      <w:r>
        <w:rPr>
          <w:rFonts w:ascii="Times New Roman" w:cs="Times New Roman" w:eastAsia="Times New Roman" w:hAnsi="Times New Roman"/>
          <w:vertAlign w:val="subscript"/>
        </w:rPr>
        <w:t xml:space="preserve">f</w:t>
      </w:r>
      <w:r>
        <w:rPr>
          <w:rFonts w:ascii="Times New Roman" w:cs="Times New Roman" w:eastAsia="Times New Roman" w:hAnsi="Times New Roman"/>
        </w:rPr>
        <w:t xml:space="preserve"> saturates while the KL stays above budget for a configured number of steps (100), the run stops with a diagnostic instead of continuing in a regime where the constraint cannot be met. A fixed-coefficient ablation disables the controller.</w:t>
      </w:r>
    </w:p>
    <w:p>
      <w:pPr>
        <w:pStyle w:val="Heading3"/>
        <w:keepNext/>
      </w:pPr>
      <w:r>
        <w:rPr>
          <w:rFonts w:ascii="Times New Roman" w:cs="Times New Roman" w:eastAsia="Times New Roman" w:hAnsi="Times New Roman"/>
        </w:rPr>
        <w:t xml:space="preserve">4.3.8  Combined objective and training algorithm</w:t>
      </w:r>
    </w:p>
    <w:p>
      <w:pPr>
        <w:spacing w:after="140" w:line="360"/>
        <w:jc w:val="both"/>
      </w:pPr>
      <w:r>
        <w:rPr>
          <w:rFonts w:ascii="Times New Roman" w:cs="Times New Roman" w:eastAsia="Times New Roman" w:hAnsi="Times New Roman"/>
        </w:rPr>
        <w:t xml:space="preserve">The full objective for task t is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295525" cy="476250"/>
                  <wp:effectExtent t="0" r="0" b="0" l="0"/>
                  <wp:docPr id="93" name="eq_total" descr="eq_total" title="Equation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95525" cy="4762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(4.21)</w:t>
            </w:r>
          </w:p>
        </w:tc>
      </w:tr>
    </w:tbl>
    <w:p>
      <w:pPr>
        <w:spacing w:after="80" w:before="0"/>
      </w:pPr>
    </w:p>
    <w:p>
      <w:pPr>
        <w:spacing w:after="140" w:line="360"/>
        <w:jc w:val="both"/>
      </w:pPr>
      <w:r>
        <w:rPr>
          <w:rFonts w:ascii="Times New Roman" w:cs="Times New Roman" w:eastAsia="Times New Roman" w:hAnsi="Times New Roman"/>
        </w:rPr>
        <w:t xml:space="preserve">All retention terms are exactly zero on the first task, because the memory and the consolidated state are empty. The method is therefore identical to standard RL-LoRA on task 1, which the pilots verified bit for bit (Chapter 6). The order of operations within one update is fixed (Figure 4.5). In particular, the importance update uses the movement observed after the optimizer step, and the dual variable is updated outside automatic differentiation. At task boundaries the state is consolidated, evaluated, and checkpointed atomically (Figure 4.6). Algorithm 4.1 summarizes the procedure.</w:t>
      </w:r>
    </w:p>
    <w:p>
      <w:pPr>
        <w:keepNext/>
        <w:spacing w:after="60" w:before="120"/>
        <w:jc w:val="center"/>
      </w:pPr>
      <w:r>
        <w:drawing>
          <wp:inline distT="0" distB="0" distL="0" distR="0">
            <wp:extent cx="5667375" cy="3419475"/>
            <wp:effectExtent t="0" r="0" b="0" l="0"/>
            <wp:docPr id="94" name="fig_4_5_update_sequence" descr="Order of operations in one RAHC-LoRA optimizer update, by owning component."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3419475"/>
                    </a:xfrm>
                    <a:prstGeom prst="rect">
                      <a:avLst/>
                    </a:prstGeom>
                  </pic:spPr>
                </pic:pic>
              </a:graphicData>
            </a:graphic>
          </wp:inline>
        </w:drawing>
      </w:r>
    </w:p>
    <w:p>
      <w:pPr>
        <w:spacing w:after="240" w:before="60" w:line="276"/>
        <w:jc w:val="center"/>
      </w:pPr>
      <w:bookmarkStart w:name="bm_fig_4_5_update_sequence" w:id="64"/>
      <w:r>
        <w:rPr>
          <w:rFonts w:ascii="Times New Roman" w:cs="Times New Roman" w:eastAsia="Times New Roman" w:hAnsi="Times New Roman"/>
          <w:b/>
          <w:bCs/>
          <w:sz w:val="21"/>
          <w:szCs w:val="21"/>
        </w:rPr>
        <w:t xml:space="preserve">Figure 4.5: </w:t>
      </w:r>
      <w:bookmarkEnd w:id="64"/>
      <w:r>
        <w:rPr>
          <w:rFonts w:ascii="Times New Roman" w:cs="Times New Roman" w:eastAsia="Times New Roman" w:hAnsi="Times New Roman"/>
          <w:sz w:val="21"/>
          <w:szCs w:val="21"/>
        </w:rPr>
        <w:t xml:space="preserve">Order of operations in one RAHC-LoRA optimizer update, by owning component.</w:t>
      </w:r>
    </w:p>
    <w:p>
      <w:pPr>
        <w:keepNext/>
        <w:spacing w:after="60" w:before="160"/>
      </w:pPr>
      <w:r>
        <w:rPr>
          <w:rFonts w:ascii="Times New Roman" w:cs="Times New Roman" w:eastAsia="Times New Roman" w:hAnsi="Times New Roman"/>
          <w:b/>
          <w:bCs/>
          <w:sz w:val="22"/>
          <w:szCs w:val="22"/>
        </w:rPr>
        <w:t xml:space="preserve">Algorithm 4.1: RAHC-LoRA continual RL training</w:t>
      </w:r>
    </w:p>
    <w:p>
      <w:pPr>
        <w:keepNext/>
        <w:keepLines/>
        <w:shd w:fill="F4F4F2" w:color="auto" w:val="clear"/>
        <w:spacing w:after="0" w:before="0" w:line="240"/>
        <w:ind w:left="120" w:right="120"/>
      </w:pPr>
      <w:r>
        <w:rPr>
          <w:rFonts w:ascii="Consolas" w:cs="Consolas" w:eastAsia="Consolas" w:hAnsi="Consolas"/>
          <w:sz w:val="17"/>
          <w:szCs w:val="17"/>
        </w:rPr>
        <w:t xml:space="preserve">Input: frozen backbone W0, shared LoRA factors {A_l, B_l}, task stream D_1..D_T, memory budget M</w:t>
      </w:r>
    </w:p>
    <w:p>
      <w:pPr>
        <w:keepNext/>
        <w:keepLines/>
        <w:shd w:fill="F4F4F2" w:color="auto" w:val="clear"/>
        <w:spacing w:after="0" w:before="0" w:line="240"/>
        <w:ind w:left="120" w:right="120"/>
      </w:pPr>
      <w:r>
        <w:rPr>
          <w:rFonts w:ascii="Consolas" w:cs="Consolas" w:eastAsia="Consolas" w:hAnsi="Consolas"/>
          <w:sz w:val="17"/>
          <w:szCs w:val="17"/>
        </w:rPr>
        <w:t xml:space="preserve">Initialize: empty anchor memory, zero importance factors p_l, q_l, lambda_f &lt;- lambda_0</w:t>
      </w:r>
    </w:p>
    <w:p>
      <w:pPr>
        <w:keepNext/>
        <w:keepLines/>
        <w:shd w:fill="F4F4F2" w:color="auto" w:val="clear"/>
        <w:spacing w:after="0" w:before="0" w:line="240"/>
        <w:ind w:left="120" w:right="120"/>
      </w:pPr>
      <w:r>
        <w:rPr>
          <w:rFonts w:ascii="Consolas" w:cs="Consolas" w:eastAsia="Consolas" w:hAnsi="Consolas"/>
          <w:sz w:val="17"/>
          <w:szCs w:val="17"/>
        </w:rPr>
        <w:t xml:space="preserve">for t = 1..T:</w:t>
      </w:r>
    </w:p>
    <w:p>
      <w:pPr>
        <w:keepNext/>
        <w:keepLines/>
        <w:shd w:fill="F4F4F2" w:color="auto" w:val="clear"/>
        <w:spacing w:after="0" w:before="0" w:line="240"/>
        <w:ind w:left="120" w:right="120"/>
      </w:pPr>
      <w:r>
        <w:rPr>
          <w:rFonts w:ascii="Consolas" w:cs="Consolas" w:eastAsia="Consolas" w:hAnsi="Consolas"/>
          <w:sz w:val="17"/>
          <w:szCs w:val="17"/>
        </w:rPr>
        <w:t xml:space="preserve">    load only D_t(train); reference &lt;- current LoRA factors (task-start snapshot)</w:t>
      </w:r>
    </w:p>
    <w:p>
      <w:pPr>
        <w:keepNext/>
        <w:keepLines/>
        <w:shd w:fill="F4F4F2" w:color="auto" w:val="clear"/>
        <w:spacing w:after="0" w:before="0" w:line="240"/>
        <w:ind w:left="120" w:right="120"/>
      </w:pPr>
      <w:r>
        <w:rPr>
          <w:rFonts w:ascii="Consolas" w:cs="Consolas" w:eastAsia="Consolas" w:hAnsi="Consolas"/>
          <w:sz w:val="17"/>
          <w:szCs w:val="17"/>
        </w:rPr>
        <w:t xml:space="preserve">    for each update s:</w:t>
      </w:r>
    </w:p>
    <w:p>
      <w:pPr>
        <w:keepNext/>
        <w:keepLines/>
        <w:shd w:fill="F4F4F2" w:color="auto" w:val="clear"/>
        <w:spacing w:after="0" w:before="0" w:line="240"/>
        <w:ind w:left="120" w:right="120"/>
      </w:pPr>
      <w:r>
        <w:rPr>
          <w:rFonts w:ascii="Consolas" w:cs="Consolas" w:eastAsia="Consolas" w:hAnsi="Consolas"/>
          <w:sz w:val="17"/>
          <w:szCs w:val="17"/>
        </w:rPr>
        <w:t xml:space="preserve">        sample 2 prompts, G responses each; compute deterministic rewards</w:t>
      </w:r>
    </w:p>
    <w:p>
      <w:pPr>
        <w:keepNext/>
        <w:keepLines/>
        <w:shd w:fill="F4F4F2" w:color="auto" w:val="clear"/>
        <w:spacing w:after="0" w:before="0" w:line="240"/>
        <w:ind w:left="120" w:right="120"/>
      </w:pPr>
      <w:r>
        <w:rPr>
          <w:rFonts w:ascii="Consolas" w:cs="Consolas" w:eastAsia="Consolas" w:hAnsi="Consolas"/>
          <w:sz w:val="17"/>
          <w:szCs w:val="17"/>
        </w:rPr>
        <w:t xml:space="preserve">        advantages &lt;- group-normalize and clip (zero if group variance &lt;= eps)</w:t>
      </w:r>
    </w:p>
    <w:p>
      <w:pPr>
        <w:keepNext/>
        <w:keepLines/>
        <w:shd w:fill="F4F4F2" w:color="auto" w:val="clear"/>
        <w:spacing w:after="0" w:before="0" w:line="240"/>
        <w:ind w:left="120" w:right="120"/>
      </w:pPr>
      <w:r>
        <w:rPr>
          <w:rFonts w:ascii="Consolas" w:cs="Consolas" w:eastAsia="Consolas" w:hAnsi="Consolas"/>
          <w:sz w:val="17"/>
          <w:szCs w:val="17"/>
        </w:rPr>
        <w:t xml:space="preserve">        L_RL, g_RL &lt;- clipped GRPO loss and effective-weight gradients</w:t>
      </w:r>
    </w:p>
    <w:p>
      <w:pPr>
        <w:keepNext/>
        <w:keepLines/>
        <w:shd w:fill="F4F4F2" w:color="auto" w:val="clear"/>
        <w:spacing w:after="0" w:before="0" w:line="240"/>
        <w:ind w:left="120" w:right="120"/>
      </w:pPr>
      <w:r>
        <w:rPr>
          <w:rFonts w:ascii="Consolas" w:cs="Consolas" w:eastAsia="Consolas" w:hAnsi="Consolas"/>
          <w:sz w:val="17"/>
          <w:szCs w:val="17"/>
        </w:rPr>
        <w:t xml:space="preserve">        if memory not empty:</w:t>
      </w:r>
    </w:p>
    <w:p>
      <w:pPr>
        <w:keepNext/>
        <w:keepLines/>
        <w:shd w:fill="F4F4F2" w:color="auto" w:val="clear"/>
        <w:spacing w:after="0" w:before="0" w:line="240"/>
        <w:ind w:left="120" w:right="120"/>
      </w:pPr>
      <w:r>
        <w:rPr>
          <w:rFonts w:ascii="Consolas" w:cs="Consolas" w:eastAsia="Consolas" w:hAnsi="Consolas"/>
          <w:sz w:val="17"/>
          <w:szCs w:val="17"/>
        </w:rPr>
        <w:t xml:space="preserve">            L_KL, g_anc &lt;- compact top-k KL on an anchor minibatch</w:t>
      </w:r>
    </w:p>
    <w:p>
      <w:pPr>
        <w:keepNext/>
        <w:keepLines/>
        <w:shd w:fill="F4F4F2" w:color="auto" w:val="clear"/>
        <w:spacing w:after="0" w:before="0" w:line="240"/>
        <w:ind w:left="120" w:right="120"/>
      </w:pPr>
      <w:r>
        <w:rPr>
          <w:rFonts w:ascii="Consolas" w:cs="Consolas" w:eastAsia="Consolas" w:hAnsi="Consolas"/>
          <w:sz w:val="17"/>
          <w:szCs w:val="17"/>
        </w:rPr>
        <w:t xml:space="preserve">            c_l &lt;- detached conflict coefficients from g_RL, g_anc, p_l, q_l</w:t>
      </w:r>
    </w:p>
    <w:p>
      <w:pPr>
        <w:keepNext/>
        <w:keepLines/>
        <w:shd w:fill="F4F4F2" w:color="auto" w:val="clear"/>
        <w:spacing w:after="0" w:before="0" w:line="240"/>
        <w:ind w:left="120" w:right="120"/>
      </w:pPr>
      <w:r>
        <w:rPr>
          <w:rFonts w:ascii="Consolas" w:cs="Consolas" w:eastAsia="Consolas" w:hAnsi="Consolas"/>
          <w:sz w:val="17"/>
          <w:szCs w:val="17"/>
        </w:rPr>
        <w:t xml:space="preserve">            R_l &lt;- Gram-form effective-weight penalty vs reference</w:t>
      </w:r>
    </w:p>
    <w:p>
      <w:pPr>
        <w:keepNext/>
        <w:keepLines/>
        <w:shd w:fill="F4F4F2" w:color="auto" w:val="clear"/>
        <w:spacing w:after="0" w:before="0" w:line="240"/>
        <w:ind w:left="120" w:right="120"/>
      </w:pPr>
      <w:r>
        <w:rPr>
          <w:rFonts w:ascii="Consolas" w:cs="Consolas" w:eastAsia="Consolas" w:hAnsi="Consolas"/>
          <w:sz w:val="17"/>
          <w:szCs w:val="17"/>
        </w:rPr>
        <w:t xml:space="preserve">        L_total &lt;- L_RL + lambda_f * L_KL + lambda_p * sum_l c_l * R_l</w:t>
      </w:r>
    </w:p>
    <w:p>
      <w:pPr>
        <w:keepNext/>
        <w:keepLines/>
        <w:shd w:fill="F4F4F2" w:color="auto" w:val="clear"/>
        <w:spacing w:after="0" w:before="0" w:line="240"/>
        <w:ind w:left="120" w:right="120"/>
      </w:pPr>
      <w:r>
        <w:rPr>
          <w:rFonts w:ascii="Consolas" w:cs="Consolas" w:eastAsia="Consolas" w:hAnsi="Consolas"/>
          <w:sz w:val="17"/>
          <w:szCs w:val="17"/>
        </w:rPr>
        <w:t xml:space="preserve">        snapshot DeltaW_l; backward; clip grad norm; AdamW step (LoRA only)</w:t>
      </w:r>
    </w:p>
    <w:p>
      <w:pPr>
        <w:keepNext/>
        <w:keepLines/>
        <w:shd w:fill="F4F4F2" w:color="auto" w:val="clear"/>
        <w:spacing w:after="0" w:before="0" w:line="240"/>
        <w:ind w:left="120" w:right="120"/>
      </w:pPr>
      <w:r>
        <w:rPr>
          <w:rFonts w:ascii="Consolas" w:cs="Consolas" w:eastAsia="Consolas" w:hAnsi="Consolas"/>
          <w:sz w:val="17"/>
          <w:szCs w:val="17"/>
        </w:rPr>
        <w:t xml:space="preserve">        delta_l &lt;- observed change of DeltaW_l</w:t>
      </w:r>
    </w:p>
    <w:p>
      <w:pPr>
        <w:keepNext/>
        <w:keepLines/>
        <w:shd w:fill="F4F4F2" w:color="auto" w:val="clear"/>
        <w:spacing w:after="0" w:before="0" w:line="240"/>
        <w:ind w:left="120" w:right="120"/>
      </w:pPr>
      <w:r>
        <w:rPr>
          <w:rFonts w:ascii="Consolas" w:cs="Consolas" w:eastAsia="Consolas" w:hAnsi="Consolas"/>
          <w:sz w:val="17"/>
          <w:szCs w:val="17"/>
        </w:rPr>
        <w:t xml:space="preserve">        S_l &lt;- EMA of robust-clipped relu(-g_RL * delta_l) / (delta_l^2 + eps)</w:t>
      </w:r>
    </w:p>
    <w:p>
      <w:pPr>
        <w:keepNext/>
        <w:keepLines/>
        <w:shd w:fill="F4F4F2" w:color="auto" w:val="clear"/>
        <w:spacing w:after="0" w:before="0" w:line="240"/>
        <w:ind w:left="120" w:right="120"/>
      </w:pPr>
      <w:r>
        <w:rPr>
          <w:rFonts w:ascii="Consolas" w:cs="Consolas" w:eastAsia="Consolas" w:hAnsi="Consolas"/>
          <w:sz w:val="17"/>
          <w:szCs w:val="17"/>
        </w:rPr>
        <w:t xml:space="preserve">        lambda_f &lt;- clamp(lambda_f + eta * (EMA(L_KL) - K_target), 0, lambda_max)</w:t>
      </w:r>
    </w:p>
    <w:p>
      <w:pPr>
        <w:keepNext/>
        <w:keepLines/>
        <w:shd w:fill="F4F4F2" w:color="auto" w:val="clear"/>
        <w:spacing w:after="0" w:before="0" w:line="240"/>
        <w:ind w:left="120" w:right="120"/>
      </w:pPr>
      <w:r>
        <w:rPr>
          <w:rFonts w:ascii="Consolas" w:cs="Consolas" w:eastAsia="Consolas" w:hAnsi="Consolas"/>
          <w:sz w:val="17"/>
          <w:szCs w:val="17"/>
        </w:rPr>
        <w:t xml:space="preserve">        fail on any non-finite value; log metrics</w:t>
      </w:r>
    </w:p>
    <w:p>
      <w:pPr>
        <w:keepNext/>
        <w:keepLines/>
        <w:shd w:fill="F4F4F2" w:color="auto" w:val="clear"/>
        <w:spacing w:after="0" w:before="0" w:line="240"/>
        <w:ind w:left="120" w:right="120"/>
      </w:pPr>
      <w:r>
        <w:rPr>
          <w:rFonts w:ascii="Consolas" w:cs="Consolas" w:eastAsia="Consolas" w:hAnsi="Consolas"/>
          <w:sz w:val="17"/>
          <w:szCs w:val="17"/>
        </w:rPr>
        <w:t xml:space="preserve">    consolidate: p_l, q_l &lt;- rank-one factors of accumulated importance</w:t>
      </w:r>
    </w:p>
    <w:p>
      <w:pPr>
        <w:keepNext/>
        <w:keepLines/>
        <w:shd w:fill="F4F4F2" w:color="auto" w:val="clear"/>
        <w:spacing w:after="0" w:before="0" w:line="240"/>
        <w:ind w:left="120" w:right="120"/>
      </w:pPr>
      <w:r>
        <w:rPr>
          <w:rFonts w:ascii="Consolas" w:cs="Consolas" w:eastAsia="Consolas" w:hAnsi="Consolas"/>
          <w:sz w:val="17"/>
          <w:szCs w:val="17"/>
        </w:rPr>
        <w:t xml:space="preserve">    store reference factors; add anchors from D_t(anchor), rebalance to budget M</w:t>
      </w:r>
    </w:p>
    <w:p>
      <w:pPr>
        <w:keepNext/>
        <w:keepLines/>
        <w:shd w:fill="F4F4F2" w:color="auto" w:val="clear"/>
        <w:spacing w:after="0" w:before="0" w:line="240"/>
        <w:ind w:left="120" w:right="120"/>
      </w:pPr>
      <w:r>
        <w:rPr>
          <w:rFonts w:ascii="Consolas" w:cs="Consolas" w:eastAsia="Consolas" w:hAnsi="Consolas"/>
          <w:sz w:val="17"/>
          <w:szCs w:val="17"/>
        </w:rPr>
        <w:t xml:space="preserve">    evaluate all learned tasks and the capability suite -&gt; row t of A[i, j]</w:t>
      </w:r>
    </w:p>
    <w:p>
      <w:pPr>
        <w:keepNext/>
        <w:keepLines/>
        <w:shd w:fill="F4F4F2" w:color="auto" w:val="clear"/>
        <w:spacing w:after="0" w:before="0" w:line="240"/>
        <w:ind w:left="120" w:right="120"/>
      </w:pPr>
      <w:r>
        <w:rPr>
          <w:rFonts w:ascii="Consolas" w:cs="Consolas" w:eastAsia="Consolas" w:hAnsi="Consolas"/>
          <w:sz w:val="17"/>
          <w:szCs w:val="17"/>
        </w:rPr>
        <w:t xml:space="preserve">    write atomic checkpoint (policy, optimizer, RNG, retention state, manifests)</w:t>
      </w:r>
    </w:p>
    <w:p>
      <w:pPr>
        <w:keepNext w:val="false"/>
        <w:keepLines/>
        <w:shd w:fill="F4F4F2" w:color="auto" w:val="clear"/>
        <w:spacing w:after="0" w:before="0" w:line="240"/>
        <w:ind w:left="120" w:right="120"/>
      </w:pPr>
      <w:r>
        <w:rPr>
          <w:rFonts w:ascii="Consolas" w:cs="Consolas" w:eastAsia="Consolas" w:hAnsi="Consolas"/>
          <w:sz w:val="17"/>
          <w:szCs w:val="17"/>
        </w:rPr>
        <w:t xml:space="preserve">Output: one continual LoRA policy, compact retention state, anchor memory, full A[i, j]</w:t>
      </w:r>
    </w:p>
    <w:p>
      <w:pPr>
        <w:spacing w:after="160"/>
      </w:pPr>
    </w:p>
    <w:p>
      <w:pPr>
        <w:keepNext/>
        <w:spacing w:after="60" w:before="120"/>
        <w:jc w:val="center"/>
      </w:pPr>
      <w:r>
        <w:drawing>
          <wp:inline distT="0" distB="0" distL="0" distR="0">
            <wp:extent cx="5667375" cy="2066925"/>
            <wp:effectExtent t="0" r="0" b="0" l="0"/>
            <wp:docPr id="95" name="fig_4_6_task_lifecycle" descr="Lifecycle of a continual run. On task 1 every retention term is zero, so the update equals standard RL-LoRA."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67375" cy="2066925"/>
                    </a:xfrm>
                    <a:prstGeom prst="rect">
                      <a:avLst/>
                    </a:prstGeom>
                  </pic:spPr>
                </pic:pic>
              </a:graphicData>
            </a:graphic>
          </wp:inline>
        </w:drawing>
      </w:r>
    </w:p>
    <w:p>
      <w:pPr>
        <w:spacing w:after="240" w:before="60" w:line="276"/>
        <w:jc w:val="center"/>
      </w:pPr>
      <w:bookmarkStart w:name="bm_fig_4_6_task_lifecycle" w:id="65"/>
      <w:r>
        <w:rPr>
          <w:rFonts w:ascii="Times New Roman" w:cs="Times New Roman" w:eastAsia="Times New Roman" w:hAnsi="Times New Roman"/>
          <w:b/>
          <w:bCs/>
          <w:sz w:val="21"/>
          <w:szCs w:val="21"/>
        </w:rPr>
        <w:t xml:space="preserve">Figure 4.6: </w:t>
      </w:r>
      <w:bookmarkEnd w:id="65"/>
      <w:r>
        <w:rPr>
          <w:rFonts w:ascii="Times New Roman" w:cs="Times New Roman" w:eastAsia="Times New Roman" w:hAnsi="Times New Roman"/>
          <w:sz w:val="21"/>
          <w:szCs w:val="21"/>
        </w:rPr>
        <w:t xml:space="preserve">Lifecycle of a continual run. On task 1 every retention term is zero, so the update equals standard RL-LoRA.</w:t>
      </w:r>
    </w:p>
    <w:p>
      <w:pPr>
        <w:pStyle w:val="Heading3"/>
        <w:keepNext/>
      </w:pPr>
      <w:r>
        <w:rPr>
          <w:rFonts w:ascii="Times New Roman" w:cs="Times New Roman" w:eastAsia="Times New Roman" w:hAnsi="Times New Roman"/>
        </w:rPr>
        <w:t xml:space="preserve">4.3.9  Computational complexity</w:t>
      </w:r>
    </w:p>
    <w:p>
      <w:pPr>
        <w:spacing w:after="140" w:line="360"/>
        <w:jc w:val="both"/>
      </w:pPr>
      <w:r>
        <w:rPr>
          <w:rFonts w:ascii="Times New Roman" w:cs="Times New Roman" w:eastAsia="Times New Roman" w:hAnsi="Times New Roman"/>
        </w:rPr>
        <w:t xml:space="preserve">Relative to standard RL-LoRA, RAHC-LoRA adds per update one forward and backward pass on the anchor minibatch, two effective-gradient queries per protected module, and the Gram-form penalty. The effective gradient g</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 Σ (∂L/∂h) x</w:t>
      </w:r>
      <w:r>
        <w:rPr>
          <w:rFonts w:ascii="Times New Roman" w:cs="Times New Roman" w:eastAsia="Times New Roman" w:hAnsi="Times New Roman"/>
          <w:vertAlign w:val="superscript"/>
        </w:rPr>
        <w:t xml:space="preserve">T</w:t>
      </w:r>
      <w:r>
        <w:rPr>
          <w:rFonts w:ascii="Times New Roman" w:cs="Times New Roman" w:eastAsia="Times New Roman" w:hAnsi="Times New Roman"/>
        </w:rPr>
        <w:t xml:space="preserve"> is an O×I matrix and is the dominant transient cost. It can be processed module by module ("chunked hooks") so that at most one dense module-sized tensor is resident at a time. Persistent state is two rank-r factor sets (current and reference), O + I importance values per module, and the anchor memory. For 512 anchors with 128 response tokens and top-32 references, the memory holds about 2.1 million token-probability pairs, a few tens of megabytes, independent of the number of tasks.</w:t>
      </w:r>
    </w:p>
    <w:p>
      <w:pPr>
        <w:pStyle w:val="Heading2"/>
        <w:keepNext/>
      </w:pPr>
      <w:r>
        <w:rPr>
          <w:rFonts w:ascii="Times New Roman" w:cs="Times New Roman" w:eastAsia="Times New Roman" w:hAnsi="Times New Roman"/>
        </w:rPr>
        <w:t xml:space="preserve">4.4  Baselines</w:t>
      </w:r>
    </w:p>
    <w:p>
      <w:pPr>
        <w:spacing w:after="140" w:line="360"/>
        <w:jc w:val="both"/>
      </w:pPr>
      <w:r>
        <w:rPr>
          <w:rFonts w:ascii="Times New Roman" w:cs="Times New Roman" w:eastAsia="Times New Roman" w:hAnsi="Times New Roman"/>
        </w:rPr>
        <w:t xml:space="preserve">All methods run through the same trainer and evaluator and differ only in configuration (Table 4.2). They are matched on backbone, LoRA rank and targets, rollout count, optimizer steps, rewards, task order, seed, generation parameters, and memory budget where applicable. Joint multi-task RL is included only as an upper reference and is clearly marked as violating the sequential-data constraint.</w:t>
      </w:r>
    </w:p>
    <w:p>
      <w:pPr>
        <w:keepNext/>
        <w:spacing w:after="100" w:before="200" w:line="276"/>
        <w:jc w:val="center"/>
      </w:pPr>
      <w:bookmarkStart w:name="bm_tab_4_2_method_matrix" w:id="66"/>
      <w:r>
        <w:rPr>
          <w:rFonts w:ascii="Times New Roman" w:cs="Times New Roman" w:eastAsia="Times New Roman" w:hAnsi="Times New Roman"/>
          <w:b/>
          <w:bCs/>
          <w:sz w:val="21"/>
          <w:szCs w:val="21"/>
        </w:rPr>
        <w:t xml:space="preserve">Table 4.2: </w:t>
      </w:r>
      <w:bookmarkEnd w:id="66"/>
      <w:r>
        <w:rPr>
          <w:rFonts w:ascii="Times New Roman" w:cs="Times New Roman" w:eastAsia="Times New Roman" w:hAnsi="Times New Roman"/>
          <w:sz w:val="21"/>
          <w:szCs w:val="21"/>
        </w:rPr>
        <w:t xml:space="preserve">Methods compared in the study and the retention components each one enables (all run through the same trainer).</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986"/>
        <w:gridCol w:w="1083"/>
        <w:gridCol w:w="993"/>
        <w:gridCol w:w="812"/>
        <w:gridCol w:w="903"/>
        <w:gridCol w:w="993"/>
        <w:gridCol w:w="812"/>
        <w:gridCol w:w="1444"/>
      </w:tblGrid>
      <w:tr>
        <w:trPr>
          <w:cantSplit/>
          <w:tblHeader/>
        </w:trPr>
        <w:tc>
          <w:tcPr>
            <w:tcW w:type="dxa" w:w="198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Method</w:t>
            </w:r>
          </w:p>
        </w:tc>
        <w:tc>
          <w:tcPr>
            <w:tcW w:type="dxa" w:w="108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Param. consolidation</w:t>
            </w:r>
          </w:p>
        </w:tc>
        <w:tc>
          <w:tcPr>
            <w:tcW w:type="dxa" w:w="99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Reward-aware importance</w:t>
            </w:r>
          </w:p>
        </w:tc>
        <w:tc>
          <w:tcPr>
            <w:tcW w:type="dxa" w:w="81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Factorized</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Anchor KL</w:t>
            </w:r>
          </w:p>
        </w:tc>
        <w:tc>
          <w:tcPr>
            <w:tcW w:type="dxa" w:w="99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Conflict gate</w:t>
            </w:r>
          </w:p>
        </w:tc>
        <w:tc>
          <w:tcPr>
            <w:tcW w:type="dxa" w:w="81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Dual controller</w:t>
            </w:r>
          </w:p>
        </w:tc>
        <w:tc>
          <w:tcPr>
            <w:tcW w:type="dxa" w:w="144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Status</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Standard RL-LoRA</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Implemented, piloted</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 KL to initial policy</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current prompts</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Planned baseline</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Balanced replay (same budget)</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replay</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Config stub</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EWC-LoRA / SI-LoRA</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 (Fisher / SI)</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diagnostic</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Config stub</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(direct transfer)</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 (dense SI path)</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 (dense)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 (static softmax)</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Implemented, piloted</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O-LoRA (subspace)</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orthogonality</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Planned baseline</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RAHC-LoRA (proposed)</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rank-1</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w:t>
            </w:r>
          </w:p>
        </w:tc>
        <w:tc>
          <w:tcPr>
            <w:tcW w:type="dxa" w:w="144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Specified; Phases 4-7</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Joint multi-task RL</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Upper reference (violates sequential data)</w:t>
            </w:r>
          </w:p>
        </w:tc>
      </w:tr>
    </w:tbl>
    <w:p>
      <w:pPr>
        <w:spacing w:after="120"/>
      </w:pPr>
    </w:p>
    <w:p>
      <w:pPr>
        <w:pStyle w:val="Heading2"/>
        <w:keepNext/>
      </w:pPr>
      <w:r>
        <w:rPr>
          <w:rFonts w:ascii="Times New Roman" w:cs="Times New Roman" w:eastAsia="Times New Roman" w:hAnsi="Times New Roman"/>
        </w:rPr>
        <w:t xml:space="preserve">4.5  Ablation Design</w:t>
      </w:r>
    </w:p>
    <w:p>
      <w:pPr>
        <w:spacing w:after="140" w:line="360"/>
        <w:jc w:val="both"/>
      </w:pPr>
      <w:r>
        <w:rPr>
          <w:rFonts w:ascii="Times New Roman" w:cs="Times New Roman" w:eastAsia="Times New Roman" w:hAnsi="Times New Roman"/>
        </w:rPr>
        <w:t xml:space="preserve">Each component can be switched off through configuration (Table 4.3). The ablations answer the secondary research questions: whether anchor KL or parameter consolidation carries the effect, what factorization costs, whether reward awareness helps, whether the conflict gate and the dual controller are necessary, how much memory is needed, and whether adapter capacity and gauge invariance matter in practice.</w:t>
      </w:r>
    </w:p>
    <w:p>
      <w:pPr>
        <w:keepNext/>
        <w:spacing w:after="100" w:before="200" w:line="276"/>
        <w:jc w:val="center"/>
      </w:pPr>
      <w:bookmarkStart w:name="bm_tab_4_3_ablations" w:id="67"/>
      <w:r>
        <w:rPr>
          <w:rFonts w:ascii="Times New Roman" w:cs="Times New Roman" w:eastAsia="Times New Roman" w:hAnsi="Times New Roman"/>
          <w:b/>
          <w:bCs/>
          <w:sz w:val="21"/>
          <w:szCs w:val="21"/>
        </w:rPr>
        <w:t xml:space="preserve">Table 4.3: </w:t>
      </w:r>
      <w:bookmarkEnd w:id="67"/>
      <w:r>
        <w:rPr>
          <w:rFonts w:ascii="Times New Roman" w:cs="Times New Roman" w:eastAsia="Times New Roman" w:hAnsi="Times New Roman"/>
          <w:sz w:val="21"/>
          <w:szCs w:val="21"/>
        </w:rPr>
        <w:t xml:space="preserve">Planned ablations; each is a configuration switch, never a source edit.</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708"/>
        <w:gridCol w:w="3791"/>
        <w:gridCol w:w="2527"/>
      </w:tblGrid>
      <w:tr>
        <w:trPr>
          <w:cantSplit/>
          <w:tblHeader/>
        </w:trPr>
        <w:tc>
          <w:tcPr>
            <w:tcW w:type="dxa" w:w="2708"/>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Ablation</w:t>
            </w:r>
          </w:p>
        </w:tc>
        <w:tc>
          <w:tcPr>
            <w:tcW w:type="dxa" w:w="379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Question answered</w:t>
            </w:r>
          </w:p>
        </w:tc>
        <w:tc>
          <w:tcPr>
            <w:tcW w:type="dxa" w:w="252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Configuration switch</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Remove anchor KL</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Is parameter consolidation sufficient under policy shift?</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method.use_anchor_kl=false</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Remove parameter consolidation</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behavioural retention explain the result?</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method.use_parameter_consolidation=false</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Dense vs factorized importance</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What is lost through rank-1 compression?</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method.use_factorized_importance</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Reward-aware vs ordinary importance</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advantage information improve importance?</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method.use_reward_aware_importance</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Remove conflict gate</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dynamic conflict control improve plasticity?</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method.use_conflict_gate=false</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Static vs adaptive KL coefficient</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Is the dual controller necessary?</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method.use_dual_controller=false</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Memory 0 / 128 / 512 / 2048</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How much historical behaviour is needed?</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method.anchor_memory.capacity</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LoRA rank 4 / 8 / 16</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adapter capacity change forgetting?</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method.lora.rank (α scaled)</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Effective-weight vs factor-level penalty</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rescaling invariance matter in practice?</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penalty parameterization flag</w:t>
            </w:r>
          </w:p>
        </w:tc>
      </w:tr>
    </w:tbl>
    <w:p>
      <w:pPr>
        <w:spacing w:after="120"/>
      </w:pPr>
    </w:p>
    <w:p>
      <w:pPr>
        <w:pStyle w:val="Heading2"/>
        <w:keepNext/>
      </w:pPr>
      <w:r>
        <w:rPr>
          <w:rFonts w:ascii="Times New Roman" w:cs="Times New Roman" w:eastAsia="Times New Roman" w:hAnsi="Times New Roman"/>
        </w:rPr>
        <w:t xml:space="preserve">4.6  Evaluation Protocol and Metrics</w:t>
      </w:r>
    </w:p>
    <w:p>
      <w:pPr>
        <w:spacing w:after="140" w:line="360"/>
        <w:jc w:val="both"/>
      </w:pPr>
      <w:r>
        <w:rPr>
          <w:rFonts w:ascii="Times New Roman" w:cs="Times New Roman" w:eastAsia="Times New Roman" w:hAnsi="Times New Roman"/>
        </w:rPr>
        <w:t xml:space="preserve">After each task, the evaluator scores every learned task on its held-out test split and records one row of the performance matrix A[i, j]. Cells for tasks not yet learned are stored explicitly as missing, never as zero. The co-primary metrics are average forgetting and final average performance, with backward transfer as a secondary metric:</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038350" cy="495300"/>
                  <wp:effectExtent t="0" r="0" b="0" l="0"/>
                  <wp:docPr id="96" name="eq_forgetting" descr="eq_forgetting" title="Equation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38350" cy="4953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(4.22)</w:t>
            </w:r>
          </w:p>
        </w:tc>
      </w:tr>
    </w:tbl>
    <w:p>
      <w:pPr>
        <w:spacing w:after="80" w:before="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3286125" cy="495300"/>
                  <wp:effectExtent t="0" r="0" b="0" l="0"/>
                  <wp:docPr id="97" name="eq_final_avg" descr="eq_final_avg" title="Equation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86125" cy="4953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(4.23)</w:t>
            </w:r>
          </w:p>
        </w:tc>
      </w:tr>
    </w:tbl>
    <w:p>
      <w:pPr>
        <w:spacing w:after="80" w:before="0"/>
      </w:pPr>
    </w:p>
    <w:p>
      <w:pPr>
        <w:spacing w:after="140" w:line="360"/>
        <w:jc w:val="both"/>
      </w:pPr>
      <w:r>
        <w:rPr>
          <w:rFonts w:ascii="Times New Roman" w:cs="Times New Roman" w:eastAsia="Times New Roman" w:hAnsi="Times New Roman"/>
        </w:rPr>
        <w:t xml:space="preserve">A fixed general-capability suite is evaluated on the frozen starting model and after every task. It consists of the official IFEval scorer (strict and loose) [76], a fixed four-subject MMLU subset [77], HellaSwag [78], ARC-Easy [79], and WikiText-2 perplexity [80]. Every capability score is reported together with its signed change from the frozen model. Additional diagnostics include current-task learning curves, reward sparsity, parse failures, sampled policy KL, response length and diversity, gradient conflict, importance concentration, the dual multiplier, step time, throughput, and peak CPU and GPU memory.</w:t>
      </w:r>
    </w:p>
    <w:p>
      <w:pPr>
        <w:spacing w:after="140" w:line="360"/>
        <w:jc w:val="both"/>
      </w:pPr>
      <w:r>
        <w:rPr>
          <w:rFonts w:ascii="Times New Roman" w:cs="Times New Roman" w:eastAsia="Times New Roman" w:hAnsi="Times New Roman"/>
          <w:b/>
          <w:bCs/>
        </w:rPr>
        <w:t xml:space="preserve">Statistical plan.</w:t>
      </w:r>
      <w:r>
        <w:rPr>
          <w:rFonts w:ascii="Times New Roman" w:cs="Times New Roman" w:eastAsia="Times New Roman" w:hAnsi="Times New Roman"/>
        </w:rPr>
        <w:t xml:space="preserve"> The primary analysis pairs methods by seed and task order. For each metric it reports the mean, median, standard deviation, a 95% bootstrap confidence interval [81], and an effect size. Paired comparisons use permutation or Wilcoxon signed-rank tests when the sample is small, and secondary ablations are corrected for the false discovery rate [72]. For single-run pilots, where training-seed variance cannot yet be estimated, we report evaluation-sample uncertainty on the identical held-out examples: Wilson intervals for accuracies [82], paired bootstrap intervals for differences, and exact McNemar tests on discordant pairs [83], [71]:</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886325" cy="504825"/>
                  <wp:effectExtent t="0" r="0" b="0" l="0"/>
                  <wp:docPr id="98" name="eq_wilson" descr="eq_wilson" title="Equation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86325" cy="5048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(4.24)</w:t>
            </w:r>
          </w:p>
        </w:tc>
      </w:tr>
    </w:tbl>
    <w:p>
      <w:pPr>
        <w:spacing w:after="80" w:before="0"/>
      </w:pPr>
    </w:p>
    <w:p>
      <w:pPr>
        <w:spacing w:after="140" w:line="360"/>
        <w:jc w:val="both"/>
      </w:pPr>
      <w:r>
        <w:rPr>
          <w:rFonts w:ascii="Times New Roman" w:cs="Times New Roman" w:eastAsia="Times New Roman" w:hAnsi="Times New Roman"/>
        </w:rPr>
        <w:t xml:space="preserve">where b and c are the numbers of examples solved only by the first and only by the second method. These tests do not substitute for multiple seeds [67], [68].</w:t>
      </w:r>
    </w:p>
    <w:p>
      <w:pPr>
        <w:spacing w:after="140" w:line="360"/>
        <w:jc w:val="both"/>
      </w:pPr>
      <w:r>
        <w:rPr>
          <w:rFonts w:ascii="Times New Roman" w:cs="Times New Roman" w:eastAsia="Times New Roman" w:hAnsi="Times New Roman"/>
          <w:b/>
          <w:bCs/>
        </w:rPr>
        <w:t xml:space="preserve">Decision rules.</w:t>
      </w:r>
      <w:r>
        <w:rPr>
          <w:rFonts w:ascii="Times New Roman" w:cs="Times New Roman" w:eastAsia="Times New Roman" w:hAnsi="Times New Roman"/>
        </w:rPr>
        <w:t xml:space="preserve"> The protocol fixes in advance how results will change the method. If anchor KL alone matches the full method, parameter consolidation is reported as unnecessary. If the conflict gate provides no consistent benefit, factorized importance plus anchor KL becomes the main method. If factorization loses substantial retention, a small factorization rank is tested before compression is abandoned. If no forgetting occurs, the stream is redesigned. If forgetting falls but current-task performance falls materially, the result is reported as over-consolidation.</w:t>
      </w:r>
    </w:p>
    <w:p>
      <w:pPr>
        <w:pStyle w:val="Heading2"/>
        <w:keepNext/>
      </w:pPr>
      <w:r>
        <w:rPr>
          <w:rFonts w:ascii="Times New Roman" w:cs="Times New Roman" w:eastAsia="Times New Roman" w:hAnsi="Times New Roman"/>
        </w:rPr>
        <w:t xml:space="preserve">4.7  Hyperparameters</w:t>
      </w:r>
    </w:p>
    <w:p>
      <w:pPr>
        <w:spacing w:after="140" w:line="360"/>
        <w:jc w:val="both"/>
      </w:pPr>
      <w:r>
        <w:rPr>
          <w:rFonts w:ascii="Times New Roman" w:cs="Times New Roman" w:eastAsia="Times New Roman" w:hAnsi="Times New Roman"/>
        </w:rPr>
        <w:t xml:space="preserve">Table 4.4 lists the default hyperparameters, fixed before any method pilot. They are tuned only on validation splits, never on test results.</w:t>
      </w:r>
    </w:p>
    <w:p>
      <w:pPr>
        <w:keepNext/>
        <w:spacing w:after="100" w:before="200" w:line="276"/>
        <w:jc w:val="center"/>
      </w:pPr>
      <w:bookmarkStart w:name="bm_tab_4_4_rahc_hyperparameters" w:id="68"/>
      <w:r>
        <w:rPr>
          <w:rFonts w:ascii="Times New Roman" w:cs="Times New Roman" w:eastAsia="Times New Roman" w:hAnsi="Times New Roman"/>
          <w:b/>
          <w:bCs/>
          <w:sz w:val="21"/>
          <w:szCs w:val="21"/>
        </w:rPr>
        <w:t xml:space="preserve">Table 4.4: </w:t>
      </w:r>
      <w:bookmarkEnd w:id="68"/>
      <w:r>
        <w:rPr>
          <w:rFonts w:ascii="Times New Roman" w:cs="Times New Roman" w:eastAsia="Times New Roman" w:hAnsi="Times New Roman"/>
          <w:sz w:val="21"/>
          <w:szCs w:val="21"/>
        </w:rPr>
        <w:t xml:space="preserve">Default RAHC-LoRA hyperparameters fixed in the specification before any method pilot.</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805"/>
        <w:gridCol w:w="3791"/>
        <w:gridCol w:w="3430"/>
      </w:tblGrid>
      <w:tr>
        <w:trPr>
          <w:cantSplit/>
          <w:tblHeader/>
        </w:trPr>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Component</w:t>
            </w:r>
          </w:p>
        </w:tc>
        <w:tc>
          <w:tcPr>
            <w:tcW w:type="dxa" w:w="379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Hyperparameter</w:t>
            </w:r>
          </w:p>
        </w:tc>
        <w:tc>
          <w:tcPr>
            <w:tcW w:type="dxa" w:w="3430"/>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Default</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LoRA</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rank / α / dropout / targets</w:t>
            </w:r>
          </w:p>
        </w:tc>
        <w:tc>
          <w:tcPr>
            <w:tcW w:type="dxa" w:w="343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 / 16 / 0.0 / q, k, v, o projections (pilots); 8-16 in main study</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Importance</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EMA beta / epsilon / clip quantile / accumulator</w:t>
            </w:r>
          </w:p>
        </w:tc>
        <w:tc>
          <w:tcPr>
            <w:tcW w:type="dxa" w:w="343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0.99 / 1e-8 / 0.995 / FP32</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Anchor memory</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capacity / batch / top-k logits / selection</w:t>
            </w:r>
          </w:p>
        </w:tc>
        <w:tc>
          <w:tcPr>
            <w:tcW w:type="dxa" w:w="343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512 / 16 / 32 / balanced, diverse reservoir</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Conflict gate</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zero-norm threshold / coefficient clip</w:t>
            </w:r>
          </w:p>
        </w:tc>
        <w:tc>
          <w:tcPr>
            <w:tcW w:type="dxa" w:w="343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1e-12 / 5.0</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Dual controller</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initial λ / dual lr / target KL / EMA / max λ / patience</w:t>
            </w:r>
          </w:p>
        </w:tc>
        <w:tc>
          <w:tcPr>
            <w:tcW w:type="dxa" w:w="343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0.01 (specification; rahc_lora.yaml currently inherits 0.0 and must be updated) / 0.001 / 0.02 / 0.95 / 10.0 / 100 steps</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Parameter penalty</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lambda_parameter</w:t>
            </w:r>
          </w:p>
        </w:tc>
        <w:tc>
          <w:tcPr>
            <w:tcW w:type="dxa" w:w="343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GRPO</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group size / prompts per update / clip ε / advantage clip</w:t>
            </w:r>
          </w:p>
        </w:tc>
        <w:tc>
          <w:tcPr>
            <w:tcW w:type="dxa" w:w="343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 / 2 / 0.2 / 5.0</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Optimizer</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AdamW lr / betas / weight decay / grad-norm clip</w:t>
            </w:r>
          </w:p>
        </w:tc>
        <w:tc>
          <w:tcPr>
            <w:tcW w:type="dxa" w:w="343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1e-4 / (0.9, 0.999) / 0.0 / 1.0</w:t>
            </w:r>
          </w:p>
        </w:tc>
      </w:tr>
    </w:tbl>
    <w:p>
      <w:pPr>
        <w:spacing w:after="120"/>
      </w:pPr>
    </w:p>
    <w:sectPr>
      <w:footerReference w:type="default" r:id="rId6"/>
      <w:type w:val="nextPage"/>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5"/>
      <w:szCs w:val="25"/>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271e4ac2fb724206dcb8c764ac127079a0ba388.png"/><Relationship Id="rId9" Type="http://schemas.openxmlformats.org/officeDocument/2006/relationships/image" Target="media/9ca4ecf41e335798c974da4818ce9450bca58e84.png"/><Relationship Id="rId10" Type="http://schemas.openxmlformats.org/officeDocument/2006/relationships/image" Target="media/ce66665cd7c2ad2c786dc43695255a7873bd9c66.png"/><Relationship Id="rId11" Type="http://schemas.openxmlformats.org/officeDocument/2006/relationships/image" Target="media/e2005c8d26351b8b8a55103670842e528dd73bcd.png"/><Relationship Id="rId12" Type="http://schemas.openxmlformats.org/officeDocument/2006/relationships/image" Target="media/61fccc18cead6d8656693a1bf10a623dbeaa6a56.png"/><Relationship Id="rId13" Type="http://schemas.openxmlformats.org/officeDocument/2006/relationships/image" Target="media/a23541691c298e8bce34a942fc8c0b9e6fc552d1.png"/><Relationship Id="rId14" Type="http://schemas.openxmlformats.org/officeDocument/2006/relationships/image" Target="media/cccdc21452031f68871f38537aa196f632ee6fb4.png"/><Relationship Id="rId15" Type="http://schemas.openxmlformats.org/officeDocument/2006/relationships/image" Target="media/313ff485593dd9cb8f1a3e0c2ac41983f71f2136.png"/><Relationship Id="rId16" Type="http://schemas.openxmlformats.org/officeDocument/2006/relationships/image" Target="media/673e1cc68230009e3fca0d06307c2e9106650195.png"/><Relationship Id="rId17" Type="http://schemas.openxmlformats.org/officeDocument/2006/relationships/image" Target="media/233e61a2249a8d2420e858a88fe2007390594e09.png"/><Relationship Id="rId18" Type="http://schemas.openxmlformats.org/officeDocument/2006/relationships/image" Target="media/2f5effa5e2f2f34942dcc69c36d6fc94713cf41f.png"/><Relationship Id="rId19" Type="http://schemas.openxmlformats.org/officeDocument/2006/relationships/image" Target="media/ac592d7ea608f5b11a8e72d536d2b29197612dcf.png"/><Relationship Id="rId20" Type="http://schemas.openxmlformats.org/officeDocument/2006/relationships/image" Target="media/64835ed987f464751c9685595740d2fb9532d19b.png"/><Relationship Id="rId21" Type="http://schemas.openxmlformats.org/officeDocument/2006/relationships/image" Target="media/10cc1530d74e815e2a475a6c9b3e31270aad83e5.png"/><Relationship Id="rId22" Type="http://schemas.openxmlformats.org/officeDocument/2006/relationships/image" Target="media/32c79f1592b727bc75e671acc7298aa15b5a141b.png"/><Relationship Id="rId23" Type="http://schemas.openxmlformats.org/officeDocument/2006/relationships/image" Target="media/3c5b71964df7777527fdb303388f23e8c1f6d3a7.png"/><Relationship Id="rId24" Type="http://schemas.openxmlformats.org/officeDocument/2006/relationships/image" Target="media/fcf56bc56df8c69eb24e05e9e1af65aa8219d8a6.png"/><Relationship Id="rId25" Type="http://schemas.openxmlformats.org/officeDocument/2006/relationships/image" Target="media/280aa26cbe1a3fc6c3352abf2d93ec67b8c0cc24.png"/><Relationship Id="rId26" Type="http://schemas.openxmlformats.org/officeDocument/2006/relationships/image" Target="media/56a5b0ef349bfcbe3a9e083c4a36609dd2625225.png"/><Relationship Id="rId27" Type="http://schemas.openxmlformats.org/officeDocument/2006/relationships/image" Target="media/62eb34d0c682765f27a59cd849fb5a15779ec32b.png"/><Relationship Id="rId28" Type="http://schemas.openxmlformats.org/officeDocument/2006/relationships/image" Target="media/c482b1ac45bc9e188c70f78603cf949c1c1d59a4.png"/><Relationship Id="rId29" Type="http://schemas.openxmlformats.org/officeDocument/2006/relationships/image" Target="media/a34218c84d434f7b6d431122c8ff907c6da4fa27.png"/><Relationship Id="rId30" Type="http://schemas.openxmlformats.org/officeDocument/2006/relationships/image" Target="media/4a8bedd7ce51721179fca2171c5e91837ec16978.png"/><Relationship Id="rId31" Type="http://schemas.openxmlformats.org/officeDocument/2006/relationships/image" Target="media/49b21b43795dbdf5e71ad439082cc70ecaf54682.png"/><Relationship Id="rId32" Type="http://schemas.openxmlformats.org/officeDocument/2006/relationships/image" Target="media/c84f818e7d4f708df2778537913e4de71288ad64.png"/><Relationship Id="rId33" Type="http://schemas.openxmlformats.org/officeDocument/2006/relationships/image" Target="media/2ec9dbfb0a7f13b0d6315cb2232cd8505b4edef2.png"/><Relationship Id="rId34" Type="http://schemas.openxmlformats.org/officeDocument/2006/relationships/image" Target="media/537640e73f1a20156cf8335ff5342f559bcfaa18.png"/><Relationship Id="rId35" Type="http://schemas.openxmlformats.org/officeDocument/2006/relationships/image" Target="media/8b5de4c4a1b9c3642099c4a425365d09c620d85d.png"/><Relationship Id="rId36" Type="http://schemas.openxmlformats.org/officeDocument/2006/relationships/image" Target="media/f749128553bb6e27b6ae81d84098a4f52f5fbe49.png"/><Relationship Id="rId37" Type="http://schemas.openxmlformats.org/officeDocument/2006/relationships/image" Target="media/2d35849e310ca18c187e2ca99daf0ce7f81ccc1f.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RAHC-LoRA: Reward-Aware Hessian-Free Consolidation for Continual Reinforcement Learning in LLMs - 04_Chapter4_Proposed_Methodology</dc:title>
  <dc:creator>RAHC-LoRA thesis team</dc:creator>
  <cp:lastModifiedBy>Un-named</cp:lastModifiedBy>
  <cp:revision>1</cp:revision>
  <dcterms:created xsi:type="dcterms:W3CDTF">2026-09-28T20:15:57.860Z</dcterms:created>
  <dcterms:modified xsi:type="dcterms:W3CDTF">2026-09-28T20:15:57.860Z</dcterms:modified>
</cp:coreProperties>
</file>

<file path=docProps/custom.xml><?xml version="1.0" encoding="utf-8"?>
<Properties xmlns="http://schemas.openxmlformats.org/officeDocument/2006/custom-properties" xmlns:vt="http://schemas.openxmlformats.org/officeDocument/2006/docPropsVTypes"/>
</file>