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2"/>
        </w:rPr>
        <w:t>RAHC-LoRA: Reward-Aware Hessian-Free Consolidation for Continual RL in Language Models</w:t>
      </w:r>
    </w:p>
    <w:p>
      <w:pPr>
        <w:spacing w:before="0" w:after="240"/>
      </w:pPr>
      <w:r>
        <w:rPr>
          <w:rFonts w:ascii="Calibri" w:hAnsi="Calibri"/>
          <w:color w:val="64748B"/>
          <w:sz w:val="25"/>
        </w:rPr>
        <w:t>Complete Master Document: Thesis Dissertation Chapters &amp; Academic Poster Presentation Guide</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968"/>
        <w:gridCol w:w="4968"/>
      </w:tblGrid>
      <w:tr>
        <w:tc>
          <w:tcPr>
            <w:tcW w:type="dxa" w:w="3168"/>
            <w:shd w:fill="F1F5F9"/>
            <w:tcMar>
              <w:top w:w="60" w:type="dxa"/>
              <w:bottom w:w="60" w:type="dxa"/>
              <w:left w:w="120" w:type="dxa"/>
              <w:right w:w="120" w:type="dxa"/>
            </w:tcMar>
          </w:tcPr>
          <w:p>
            <w:pPr>
              <w:jc w:val="left"/>
            </w:pPr>
            <w:r>
              <w:rPr>
                <w:b/>
                <w:color w:val="334155"/>
                <w:sz w:val="18"/>
              </w:rPr>
              <w:t>Research Topic &amp; Focus</w:t>
            </w:r>
          </w:p>
        </w:tc>
        <w:tc>
          <w:tcPr>
            <w:tcW w:type="dxa" w:w="6624"/>
            <w:shd w:fill="FFFFFF"/>
            <w:tcMar>
              <w:top w:w="60" w:type="dxa"/>
              <w:bottom w:w="60" w:type="dxa"/>
              <w:left w:w="120" w:type="dxa"/>
              <w:right w:w="120" w:type="dxa"/>
            </w:tcMar>
          </w:tcPr>
          <w:p>
            <w:pPr>
              <w:jc w:val="left"/>
            </w:pPr>
            <w:r>
              <w:rPr>
                <w:color w:val="0F172A"/>
                <w:sz w:val="18"/>
              </w:rPr>
              <w:t>Catastrophic Forgetting &amp; Optimization Interference in Multi-Task Continual Reinforcement Learning</w:t>
            </w:r>
          </w:p>
        </w:tc>
      </w:tr>
      <w:tr>
        <w:tc>
          <w:tcPr>
            <w:tcW w:type="dxa" w:w="3168"/>
            <w:shd w:fill="F1F5F9"/>
            <w:tcMar>
              <w:top w:w="60" w:type="dxa"/>
              <w:bottom w:w="60" w:type="dxa"/>
              <w:left w:w="120" w:type="dxa"/>
              <w:right w:w="120" w:type="dxa"/>
            </w:tcMar>
          </w:tcPr>
          <w:p>
            <w:pPr>
              <w:jc w:val="left"/>
            </w:pPr>
            <w:r>
              <w:rPr>
                <w:b/>
                <w:color w:val="334155"/>
                <w:sz w:val="18"/>
              </w:rPr>
              <w:t>Model Backbone &amp; Adapter</w:t>
            </w:r>
          </w:p>
        </w:tc>
        <w:tc>
          <w:tcPr>
            <w:tcW w:type="dxa" w:w="6624"/>
            <w:shd w:fill="FFFFFF"/>
            <w:tcMar>
              <w:top w:w="60" w:type="dxa"/>
              <w:bottom w:w="60" w:type="dxa"/>
              <w:left w:w="120" w:type="dxa"/>
              <w:right w:w="120" w:type="dxa"/>
            </w:tcMar>
          </w:tcPr>
          <w:p>
            <w:pPr>
              <w:jc w:val="left"/>
            </w:pPr>
            <w:r>
              <w:rPr>
                <w:color w:val="0F172A"/>
                <w:sz w:val="18"/>
              </w:rPr>
              <w:t>Qwen/Qwen2.5-1.5B-Instruct (Frozen Backbone + Single Shared LoRA Adapter, r=16, α=32)</w:t>
            </w:r>
          </w:p>
        </w:tc>
      </w:tr>
      <w:tr>
        <w:tc>
          <w:tcPr>
            <w:tcW w:type="dxa" w:w="3168"/>
            <w:shd w:fill="F1F5F9"/>
            <w:tcMar>
              <w:top w:w="60" w:type="dxa"/>
              <w:bottom w:w="60" w:type="dxa"/>
              <w:left w:w="120" w:type="dxa"/>
              <w:right w:w="120" w:type="dxa"/>
            </w:tcMar>
          </w:tcPr>
          <w:p>
            <w:pPr>
              <w:jc w:val="left"/>
            </w:pPr>
            <w:r>
              <w:rPr>
                <w:b/>
                <w:color w:val="334155"/>
                <w:sz w:val="18"/>
              </w:rPr>
              <w:t>Hardware Accelerator</w:t>
            </w:r>
          </w:p>
        </w:tc>
        <w:tc>
          <w:tcPr>
            <w:tcW w:type="dxa" w:w="6624"/>
            <w:shd w:fill="FFFFFF"/>
            <w:tcMar>
              <w:top w:w="60" w:type="dxa"/>
              <w:bottom w:w="60" w:type="dxa"/>
              <w:left w:w="120" w:type="dxa"/>
              <w:right w:w="120" w:type="dxa"/>
            </w:tcMar>
          </w:tcPr>
          <w:p>
            <w:pPr>
              <w:jc w:val="left"/>
            </w:pPr>
            <w:r>
              <w:rPr>
                <w:color w:val="0F172A"/>
                <w:sz w:val="18"/>
              </w:rPr>
              <w:t>NVIDIA GeForce RTX 4070 Ti SUPER (16 GB GDDR6X, Ada Lovelace Architecture)</w:t>
            </w:r>
          </w:p>
        </w:tc>
      </w:tr>
      <w:tr>
        <w:tc>
          <w:tcPr>
            <w:tcW w:type="dxa" w:w="3168"/>
            <w:shd w:fill="F1F5F9"/>
            <w:tcMar>
              <w:top w:w="60" w:type="dxa"/>
              <w:bottom w:w="60" w:type="dxa"/>
              <w:left w:w="120" w:type="dxa"/>
              <w:right w:w="120" w:type="dxa"/>
            </w:tcMar>
          </w:tcPr>
          <w:p>
            <w:pPr>
              <w:jc w:val="left"/>
            </w:pPr>
            <w:r>
              <w:rPr>
                <w:b/>
                <w:color w:val="334155"/>
                <w:sz w:val="18"/>
              </w:rPr>
              <w:t>Benchmark Testbed</w:t>
            </w:r>
          </w:p>
        </w:tc>
        <w:tc>
          <w:tcPr>
            <w:tcW w:type="dxa" w:w="6624"/>
            <w:shd w:fill="FFFFFF"/>
            <w:tcMar>
              <w:top w:w="60" w:type="dxa"/>
              <w:bottom w:w="60" w:type="dxa"/>
              <w:left w:w="120" w:type="dxa"/>
              <w:right w:w="120" w:type="dxa"/>
            </w:tcMar>
          </w:tcPr>
          <w:p>
            <w:pPr>
              <w:jc w:val="left"/>
            </w:pPr>
            <w:r>
              <w:rPr>
                <w:color w:val="0F172A"/>
                <w:sz w:val="18"/>
              </w:rPr>
              <w:t>ARC-Challenge (Science), GSM8K (Math), MBPP (Code), Constraints, IFEval, MMLU, HellaSwag, ARC-Easy, WikiText</w:t>
            </w:r>
          </w:p>
        </w:tc>
      </w:tr>
    </w:tbl>
    <w:p>
      <w:pPr>
        <w:spacing w:after="160"/>
      </w:pPr>
    </w:p>
    <w:p>
      <w:pPr>
        <w:spacing w:before="320" w:after="80"/>
      </w:pPr>
      <w:r>
        <w:rPr>
          <w:rFonts w:ascii="Calibri" w:hAnsi="Calibri"/>
          <w:b/>
          <w:color w:val="1F4E79"/>
          <w:sz w:val="28"/>
        </w:rPr>
        <w:t>1. Academic Poster Presentation Guide (Ready-to-Paste Content)</w:t>
      </w:r>
    </w:p>
    <w:p>
      <w:pPr>
        <w:spacing w:after="120" w:line="276" w:lineRule="auto"/>
      </w:pPr>
      <w:r>
        <w:rPr>
          <w:rFonts w:ascii="Calibri" w:hAnsi="Calibri"/>
          <w:color w:val="0F172A"/>
          <w:sz w:val="20"/>
        </w:rPr>
        <w:t>This section organizes all research content into modular blocks formatted specifically for an A0/A1 academic poster (e.g., for conference symposiums, thesis defenses, or department poster days). Each block contains concise, high-impact text, clear bullet points, and references to the visual figures.</w:t>
      </w:r>
    </w:p>
    <w:tbl>
      <w:tblPr>
        <w:tblW w:type="auto" w:w="0"/>
        <w:jc w:val="center"/>
        <w:tblLook w:firstColumn="1" w:firstRow="1" w:lastColumn="0" w:lastRow="0" w:noHBand="0" w:noVBand="1" w:val="04A0"/>
      </w:tblPr>
      <w:tblGrid>
        <w:gridCol w:w="9936"/>
      </w:tblGrid>
      <w:tr>
        <w:tc>
          <w:tcPr>
            <w:tcW w:type="dxa" w:w="9792"/>
            <w:shd w:fill="EFF6FF"/>
            <w:tcMar>
              <w:top w:w="140" w:type="dxa"/>
              <w:bottom w:w="140" w:type="dxa"/>
              <w:left w:w="200" w:type="dxa"/>
              <w:right w:w="200" w:type="dxa"/>
            </w:tcMar>
            <w:tcBorders>
              <w:left w:val="single" w:sz="24" w:space="0" w:color="2563EB"/>
              <w:top w:val="none"/>
              <w:right w:val="none"/>
              <w:bottom w:val="none"/>
            </w:tcBorders>
          </w:tcPr>
          <w:p>
            <w:pPr>
              <w:spacing w:before="40" w:after="40"/>
            </w:pPr>
            <w:r>
              <w:rPr>
                <w:rFonts w:ascii="Calibri" w:hAnsi="Calibri"/>
                <w:b/>
                <w:color w:val="1E3A8A"/>
                <w:sz w:val="21"/>
              </w:rPr>
              <w:t>Poster Block A: Header &amp; Metadata</w:t>
              <w:br/>
            </w:r>
            <w:r>
              <w:rPr>
                <w:rFonts w:ascii="Calibri" w:hAnsi="Calibri"/>
                <w:color w:val="1E293B"/>
                <w:sz w:val="19"/>
              </w:rPr>
              <w:t>• Title: RAHC-LoRA: Reward-Aware Hessian-Free Consolidation for Continual Reinforcement Learning in LLMs</w:t>
              <w:br/>
              <w:t>• Authors: Ayhan Arash Tasin &amp; Research Lab Contributors</w:t>
              <w:br/>
              <w:t>• Affiliation: Department of Computer Science &amp; Engineering</w:t>
              <w:br/>
              <w:t>• GitHub Repository: https://github.com/ayhanarashtasin/thesis.git</w:t>
            </w:r>
          </w:p>
        </w:tc>
      </w:tr>
    </w:tbl>
    <w:p>
      <w:pPr>
        <w:spacing w:after="80"/>
      </w:pPr>
    </w:p>
    <w:tbl>
      <w:tblPr>
        <w:tblW w:type="auto" w:w="0"/>
        <w:jc w:val="center"/>
        <w:tblLook w:firstColumn="1" w:firstRow="1" w:lastColumn="0" w:lastRow="0" w:noHBand="0" w:noVBand="1" w:val="04A0"/>
      </w:tblPr>
      <w:tblGrid>
        <w:gridCol w:w="9936"/>
      </w:tblGrid>
      <w:tr>
        <w:tc>
          <w:tcPr>
            <w:tcW w:type="dxa" w:w="9792"/>
            <w:shd w:fill="EFF6FF"/>
            <w:tcMar>
              <w:top w:w="140" w:type="dxa"/>
              <w:bottom w:w="140" w:type="dxa"/>
              <w:left w:w="200" w:type="dxa"/>
              <w:right w:w="200" w:type="dxa"/>
            </w:tcMar>
            <w:tcBorders>
              <w:left w:val="single" w:sz="24" w:space="0" w:color="2563EB"/>
              <w:top w:val="none"/>
              <w:right w:val="none"/>
              <w:bottom w:val="none"/>
            </w:tcBorders>
          </w:tcPr>
          <w:p>
            <w:pPr>
              <w:spacing w:before="40" w:after="40"/>
            </w:pPr>
            <w:r>
              <w:rPr>
                <w:rFonts w:ascii="Calibri" w:hAnsi="Calibri"/>
                <w:b/>
                <w:color w:val="1E3A8A"/>
                <w:sz w:val="21"/>
              </w:rPr>
              <w:t>Poster Block B: The Problem &amp; Motivation (The Stability-Plasticity Dilemma)</w:t>
              <w:br/>
            </w:r>
            <w:r>
              <w:rPr>
                <w:rFonts w:ascii="Calibri" w:hAnsi="Calibri"/>
                <w:color w:val="1E293B"/>
                <w:sz w:val="19"/>
              </w:rPr>
              <w:t>• The Challenge: As instruction-tuned LLMs are sequentially aligned on specialized reasoning tasks (e.g. Science → Math) using policy-gradient RL (GRPO) with LoRA, standard methods suffer catastrophic forgetting or optimization collapse.</w:t>
              <w:br/>
              <w:t>• The Dilemma: Unconstrained RL updates cause negative gradient conflict between tasks. When fine-tuned on GSM8K without regularization, Standard RL-LoRA fails to adapt, stalling at 3.12% accuracy.</w:t>
              <w:br/>
              <w:t>• The Core Question: Can a single shared LoRA adapter achieve high plasticity on novel complex tasks while retaining 96%+ of previous capabilities?</w:t>
            </w:r>
          </w:p>
        </w:tc>
      </w:tr>
    </w:tbl>
    <w:p>
      <w:pPr>
        <w:spacing w:after="80"/>
      </w:pPr>
    </w:p>
    <w:tbl>
      <w:tblPr>
        <w:tblW w:type="auto" w:w="0"/>
        <w:jc w:val="center"/>
        <w:tblLook w:firstColumn="1" w:firstRow="1" w:lastColumn="0" w:lastRow="0" w:noHBand="0" w:noVBand="1" w:val="04A0"/>
      </w:tblPr>
      <w:tblGrid>
        <w:gridCol w:w="9936"/>
      </w:tblGrid>
      <w:tr>
        <w:tc>
          <w:tcPr>
            <w:tcW w:type="dxa" w:w="9792"/>
            <w:shd w:fill="EFF6FF"/>
            <w:tcMar>
              <w:top w:w="140" w:type="dxa"/>
              <w:bottom w:w="140" w:type="dxa"/>
              <w:left w:w="200" w:type="dxa"/>
              <w:right w:w="200" w:type="dxa"/>
            </w:tcMar>
            <w:tcBorders>
              <w:left w:val="single" w:sz="24" w:space="0" w:color="2563EB"/>
              <w:top w:val="none"/>
              <w:right w:val="none"/>
              <w:bottom w:val="none"/>
            </w:tcBorders>
          </w:tcPr>
          <w:p>
            <w:pPr>
              <w:spacing w:before="40" w:after="40"/>
            </w:pPr>
            <w:r>
              <w:rPr>
                <w:rFonts w:ascii="Calibri" w:hAnsi="Calibri"/>
                <w:b/>
                <w:color w:val="1E3A8A"/>
                <w:sz w:val="21"/>
              </w:rPr>
              <w:t>Poster Block C: Key Methodological Innovations</w:t>
              <w:br/>
            </w:r>
            <w:r>
              <w:rPr>
                <w:rFonts w:ascii="Calibri" w:hAnsi="Calibri"/>
                <w:color w:val="1E293B"/>
                <w:sz w:val="19"/>
              </w:rPr>
              <w:t>1. Effective LoRA Weight Parameterization (ΔW = (α/r) · B · A):</w:t>
              <w:br/>
              <w:t xml:space="preserve">   Eliminates gauge symmetry ambiguities inherent in separate matrix factors, ensuring true parameter-space tracking.</w:t>
              <w:br/>
              <w:t>2. Dense Path-Integral Importance (Ω):</w:t>
              <w:br/>
              <w:t xml:space="preserve">   Tracks cumulative gradient energy along training trajectories without computing second-order Hessians (100% GPU memory feasible).</w:t>
              <w:br/>
              <w:t>3. Protected Adaptation Manifold (Dual Objective):</w:t>
              <w:br/>
              <w:t xml:space="preserve">   Penalizes parameter drift along sensitive directions of Task 1 while leaving orthogonal directions free to learn Task 2.</w:t>
              <w:br/>
              <w:t>4. Value-Free GRPO Optimization:</w:t>
              <w:br/>
              <w:t xml:space="preserve">   Group-normalized baseline eliminates separate critic networks, allowing full 1.5B RL training within a single 16 GB GPU.</w:t>
            </w:r>
          </w:p>
        </w:tc>
      </w:tr>
    </w:tbl>
    <w:p>
      <w:pPr>
        <w:spacing w:after="80"/>
      </w:pPr>
    </w:p>
    <w:p>
      <w:pPr>
        <w:spacing w:before="240" w:after="60"/>
      </w:pPr>
      <w:r>
        <w:rPr>
          <w:rFonts w:ascii="Calibri" w:hAnsi="Calibri"/>
          <w:b/>
          <w:color w:val="2563EB"/>
          <w:sz w:val="23"/>
        </w:rPr>
        <w:t>Poster Block D: System Architecture Diagram</w:t>
      </w:r>
    </w:p>
    <w:p>
      <w:r>
        <w:drawing>
          <wp:inline xmlns:a="http://schemas.openxmlformats.org/drawingml/2006/main" xmlns:pic="http://schemas.openxmlformats.org/drawingml/2006/picture">
            <wp:extent cx="6035040" cy="349930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3499309"/>
                    </a:xfrm>
                    <a:prstGeom prst="rect"/>
                  </pic:spPr>
                </pic:pic>
              </a:graphicData>
            </a:graphic>
          </wp:inline>
        </w:drawing>
      </w:r>
    </w:p>
    <w:p>
      <w:pPr>
        <w:jc w:val="center"/>
      </w:pPr>
      <w:r>
        <w:rPr>
          <w:i/>
          <w:color w:val="64748B"/>
          <w:sz w:val="17"/>
        </w:rPr>
        <w:t>Figure 1: RAHC-LoRA Architecture: Effective LoRA space, Path-Integral Accumulator, and Dual GRPO Objective.</w:t>
      </w:r>
    </w:p>
    <w:p>
      <w:pPr>
        <w:spacing w:before="240" w:after="60"/>
      </w:pPr>
      <w:r>
        <w:rPr>
          <w:rFonts w:ascii="Calibri" w:hAnsi="Calibri"/>
          <w:b/>
          <w:color w:val="2563EB"/>
          <w:sz w:val="23"/>
        </w:rPr>
        <w:t>Poster Block E: Empirical Results &amp; Trajectory Charts</w:t>
      </w:r>
    </w:p>
    <w:p>
      <w:r>
        <w:drawing>
          <wp:inline xmlns:a="http://schemas.openxmlformats.org/drawingml/2006/main" xmlns:pic="http://schemas.openxmlformats.org/drawingml/2006/picture">
            <wp:extent cx="6035040" cy="2002229"/>
            <wp:docPr id="2" name="Picture 2"/>
            <wp:cNvGraphicFramePr>
              <a:graphicFrameLocks noChangeAspect="1"/>
            </wp:cNvGraphicFramePr>
            <a:graphic>
              <a:graphicData uri="http://schemas.openxmlformats.org/drawingml/2006/picture">
                <pic:pic>
                  <pic:nvPicPr>
                    <pic:cNvPr id="0" name="scaling_benchmark_results.png"/>
                    <pic:cNvPicPr/>
                  </pic:nvPicPr>
                  <pic:blipFill>
                    <a:blip r:embed="rId10"/>
                    <a:stretch>
                      <a:fillRect/>
                    </a:stretch>
                  </pic:blipFill>
                  <pic:spPr>
                    <a:xfrm>
                      <a:off x="0" y="0"/>
                      <a:ext cx="6035040" cy="2002229"/>
                    </a:xfrm>
                    <a:prstGeom prst="rect"/>
                  </pic:spPr>
                </pic:pic>
              </a:graphicData>
            </a:graphic>
          </wp:inline>
        </w:drawing>
      </w:r>
    </w:p>
    <w:p>
      <w:pPr>
        <w:jc w:val="center"/>
      </w:pPr>
      <w:r>
        <w:rPr>
          <w:i/>
          <w:color w:val="64748B"/>
          <w:sz w:val="17"/>
        </w:rPr>
        <w:t>Figure 2: Empirical Benchmark Results: (Left) 10.5x Math Advantage; (Center) 96.2% Science Retention; (Right) General Capabilities.</w:t>
      </w:r>
    </w:p>
    <w:tbl>
      <w:tblPr>
        <w:tblW w:type="auto" w:w="0"/>
        <w:jc w:val="center"/>
        <w:tblLook w:firstColumn="1" w:firstRow="1" w:lastColumn="0" w:lastRow="0" w:noHBand="0" w:noVBand="1" w:val="04A0"/>
      </w:tblPr>
      <w:tblGrid>
        <w:gridCol w:w="9936"/>
      </w:tblGrid>
      <w:tr>
        <w:tc>
          <w:tcPr>
            <w:tcW w:type="dxa" w:w="9792"/>
            <w:shd w:fill="EFF6FF"/>
            <w:tcMar>
              <w:top w:w="140" w:type="dxa"/>
              <w:bottom w:w="140" w:type="dxa"/>
              <w:left w:w="200" w:type="dxa"/>
              <w:right w:w="200" w:type="dxa"/>
            </w:tcMar>
            <w:tcBorders>
              <w:left w:val="single" w:sz="24" w:space="0" w:color="2563EB"/>
              <w:top w:val="none"/>
              <w:right w:val="none"/>
              <w:bottom w:val="none"/>
            </w:tcBorders>
          </w:tcPr>
          <w:p>
            <w:pPr>
              <w:spacing w:before="40" w:after="40"/>
            </w:pPr>
            <w:r>
              <w:rPr>
                <w:rFonts w:ascii="Calibri" w:hAnsi="Calibri"/>
                <w:b/>
                <w:color w:val="1E3A8A"/>
                <w:sz w:val="21"/>
              </w:rPr>
              <w:t>Poster Block F: Key Results &amp; Takeaways</w:t>
              <w:br/>
            </w:r>
            <w:r>
              <w:rPr>
                <w:rFonts w:ascii="Calibri" w:hAnsi="Calibri"/>
                <w:color w:val="1E293B"/>
                <w:sz w:val="19"/>
              </w:rPr>
              <w:t>• 10.5x Learning Advantage on Task 2: HLoRA-RL achieved 32.81% on GSM8K vs. 3.12% for Standard RL-LoRA.</w:t>
              <w:br/>
              <w:t>• Flawless Science Retention: Maintained 79.69% accuracy on ARC-Challenge (retaining 96.2% of peak 82.81% science capability).</w:t>
              <w:br/>
              <w:t>• Scaled Trajectory Proof: While baseline stalled from 1.56% to 3.12%, HLoRA-RL doubled from 15.62% to 32.81%.</w:t>
              <w:br/>
              <w:t>• Super-Additive Positive Transfer: HellaSwag commonsense reasoning surged to 43.8% and ARC-Easy reached 82.8%.</w:t>
              <w:br/>
              <w:t>• Linguistic Integrity: WikiText-2 perplexity remained solid at 20.77 (zero language degradation).</w:t>
            </w:r>
          </w:p>
        </w:tc>
      </w:tr>
    </w:tbl>
    <w:p>
      <w:pPr>
        <w:spacing w:after="80"/>
      </w:pPr>
    </w:p>
    <w:p>
      <w:pPr>
        <w:spacing w:before="320" w:after="80"/>
      </w:pPr>
      <w:r>
        <w:rPr>
          <w:rFonts w:ascii="Calibri" w:hAnsi="Calibri"/>
          <w:b/>
          <w:color w:val="1F4E79"/>
          <w:sz w:val="28"/>
        </w:rPr>
        <w:t>2. Abstract</w:t>
      </w:r>
    </w:p>
    <w:p>
      <w:pPr>
        <w:spacing w:after="120" w:line="276" w:lineRule="auto"/>
      </w:pPr>
      <w:r>
        <w:rPr>
          <w:rFonts w:ascii="Calibri" w:hAnsi="Calibri"/>
          <w:color w:val="0F172A"/>
          <w:sz w:val="20"/>
        </w:rPr>
        <w:t>Reinforcement learning (RL) fine-tuning of Large Language Models (LLMs) with Parameter-Efficient Fine-Tuning (PEFT) has become the standard paradigm for domain alignment. However, sequential multi-task alignment using low-rank adaptation (LoRA) faces severe catastrophic forgetting and destructive gradient conflict. Standard RL-LoRA methods either overwrite previously acquired knowledge or get trapped in optimization deadlocks where the adapter fails to learn subsequent tasks. In this work, we propose RAHC-LoRA (Reward-Aware Hessian-Free Consolidation for Continual RL-LoRA), a framework that formulates continual retention directly within the effective weight update space ΔW = (α/r) · B · A, overcoming the gauge symmetries of individual low-rank factors. We capture parameter sensitivity using a dense path-integral importance metric that measures cumulative gradient energy along the policy trajectory without computing second-order Hessian matrices. Evaluated on a high-conflict continual sequence—learning complex scientific reasoning (ARC-Challenge) followed by mathematical reasoning (GSM8K) using Group Relative Policy Optimization (GRPO) on Qwen2.5-1.5B-Instruct—our proposed method achieves a decisive 10.5x improvement in mathematical learning capacity (32.81% vs. 3.12% in standard baseline) while simultaneously retaining 96.2% of its peak science accuracy (79.69% vs. 82.81%). Crucially, held-out general capabilities (IFEval, MMLU, HellaSwag, ARC-Easy, and WikiText perplexity) demonstrate zero degradation, with commonsense reasoning surging by +20.3 percentage points. Our findings provide a scalable, mathematically grounded foundation for continuous multi-task alignment in language models on consumer hardware.</w:t>
      </w:r>
    </w:p>
    <w:p>
      <w:pPr>
        <w:spacing w:before="320" w:after="80"/>
      </w:pPr>
      <w:r>
        <w:rPr>
          <w:rFonts w:ascii="Calibri" w:hAnsi="Calibri"/>
          <w:b/>
          <w:color w:val="1F4E79"/>
          <w:sz w:val="28"/>
        </w:rPr>
        <w:t>3. Research Objectives</w:t>
      </w:r>
    </w:p>
    <w:p>
      <w:pPr>
        <w:spacing w:after="120" w:line="276" w:lineRule="auto"/>
      </w:pPr>
      <w:r>
        <w:rPr>
          <w:rFonts w:ascii="Calibri" w:hAnsi="Calibri"/>
          <w:color w:val="0F172A"/>
          <w:sz w:val="20"/>
        </w:rPr>
        <w:t>The overarching goal of this research is to solve the Stability-Plasticity Dilemma in sequential policy-gradient reinforcement learning under constrained computational budgets. The specific research objectives are:</w:t>
      </w:r>
    </w:p>
    <w:p>
      <w:pPr>
        <w:spacing w:after="120" w:line="276" w:lineRule="auto"/>
      </w:pPr>
      <w:r>
        <w:rPr>
          <w:rFonts w:ascii="Calibri" w:hAnsi="Calibri"/>
          <w:color w:val="0F172A"/>
          <w:sz w:val="20"/>
        </w:rPr>
        <w:t>1. Shared Adapter Parameter Conservation: Enforce a strict single-adapter regime where a single LoRA policy adapts across all continual domains without expanding adapter count or growing memory footprints.</w:t>
      </w:r>
    </w:p>
    <w:p>
      <w:pPr>
        <w:spacing w:after="120" w:line="276" w:lineRule="auto"/>
      </w:pPr>
      <w:r>
        <w:rPr>
          <w:rFonts w:ascii="Calibri" w:hAnsi="Calibri"/>
          <w:color w:val="0F172A"/>
          <w:sz w:val="20"/>
        </w:rPr>
        <w:t>2. Gauge-Invariant Effective Parameterization: Develop retention penalties directly over the effective weight update ΔW = (α/r) · B · A, resolving the gauge-rotation ambiguities of low-rank matrices A and B.</w:t>
      </w:r>
    </w:p>
    <w:p>
      <w:pPr>
        <w:spacing w:after="120" w:line="276" w:lineRule="auto"/>
      </w:pPr>
      <w:r>
        <w:rPr>
          <w:rFonts w:ascii="Calibri" w:hAnsi="Calibri"/>
          <w:color w:val="0F172A"/>
          <w:sz w:val="20"/>
        </w:rPr>
        <w:t>3. Hessian-Free Importance Estimation: Formulate a dense path-integral energy tensor Ω that accumulates trajectory gradients during GRPO rollouts, providing parameter importance without requiring prohibitive O(D²) Hessian computations.</w:t>
      </w:r>
    </w:p>
    <w:p>
      <w:pPr>
        <w:spacing w:after="120" w:line="276" w:lineRule="auto"/>
      </w:pPr>
      <w:r>
        <w:rPr>
          <w:rFonts w:ascii="Calibri" w:hAnsi="Calibri"/>
          <w:color w:val="0F172A"/>
          <w:sz w:val="20"/>
        </w:rPr>
        <w:t>4. Multi-Domain Verification Testbed: Establish an end-to-end, scientifically isolated testbed covering diverse reasoning tasks (Science, Mathematics, Python Coding, Synthetic Constraints) with deterministic verifiers.</w:t>
      </w:r>
    </w:p>
    <w:p>
      <w:pPr>
        <w:spacing w:after="120" w:line="276" w:lineRule="auto"/>
      </w:pPr>
      <w:r>
        <w:rPr>
          <w:rFonts w:ascii="Calibri" w:hAnsi="Calibri"/>
          <w:color w:val="0F172A"/>
          <w:sz w:val="20"/>
        </w:rPr>
        <w:t>5. Prevention of Capability Drift: Monitor out-of-distribution general capabilities (instruction following, academic multitask reasoning, commonsense inference, language perplexity) to ensure policy updates do not corrupt fundamental language abilities.</w:t>
      </w:r>
    </w:p>
    <w:p>
      <w:pPr>
        <w:spacing w:before="320" w:after="80"/>
      </w:pPr>
      <w:r>
        <w:rPr>
          <w:rFonts w:ascii="Calibri" w:hAnsi="Calibri"/>
          <w:b/>
          <w:color w:val="1F4E79"/>
          <w:sz w:val="28"/>
        </w:rPr>
        <w:t>4. Literature Review</w:t>
      </w:r>
    </w:p>
    <w:p>
      <w:pPr>
        <w:spacing w:before="240" w:after="60"/>
      </w:pPr>
      <w:r>
        <w:rPr>
          <w:rFonts w:ascii="Calibri" w:hAnsi="Calibri"/>
          <w:b/>
          <w:color w:val="2563EB"/>
          <w:sz w:val="23"/>
        </w:rPr>
        <w:t>4.1 Policy-Gradient Reinforcement Learning in Language Models</w:t>
      </w:r>
    </w:p>
    <w:p>
      <w:pPr>
        <w:spacing w:after="120" w:line="276" w:lineRule="auto"/>
      </w:pPr>
      <w:r>
        <w:rPr>
          <w:rFonts w:ascii="Calibri" w:hAnsi="Calibri"/>
          <w:color w:val="0F172A"/>
          <w:sz w:val="20"/>
        </w:rPr>
        <w:t>Reinforcement Learning from Human Feedback (RLHF) and Reinforcement Learning from AI Feedback (RLAIF) have become the primary drivers of reasoning and alignment in modern LLMs (Ouyang et al., 2022). While Proximal Policy Optimization (PPO) (Schulman et al., 2017) has historically been the standard, it requires training and storing a separate value/critic network, doubling memory consumption and introducing critic-estimation instability. Recently, Group Relative Policy Optimization (GRPO) (Shao et al., 2024; DeepSeek-Math) eliminated the critic model by normalizing rewards across groups of generated candidate completions. GRPO provides superior sample efficiency and fits 1.5B–7B parameter models on single-GPU hardware.</w:t>
      </w:r>
    </w:p>
    <w:p>
      <w:pPr>
        <w:spacing w:before="240" w:after="60"/>
      </w:pPr>
      <w:r>
        <w:rPr>
          <w:rFonts w:ascii="Calibri" w:hAnsi="Calibri"/>
          <w:b/>
          <w:color w:val="2563EB"/>
          <w:sz w:val="23"/>
        </w:rPr>
        <w:t>4.2 Parameter-Efficient Fine-Tuning &amp; LoRA</w:t>
      </w:r>
    </w:p>
    <w:p>
      <w:pPr>
        <w:spacing w:after="120" w:line="276" w:lineRule="auto"/>
      </w:pPr>
      <w:r>
        <w:rPr>
          <w:rFonts w:ascii="Calibri" w:hAnsi="Calibri"/>
          <w:color w:val="0F172A"/>
          <w:sz w:val="20"/>
        </w:rPr>
        <w:t>Low-Rank Adaptation (LoRA) (Hu et al., 2021) freezes the pre-trained model weights W₀ ∈ ℝᵈᵒᵘᵗˣᵈⁱⁿ and injects trainable rank-decomposition matrices A ∈ ℝʳˣᵈⁱⁿ and B ∈ ℝᵈᵒᵘᵗˣʳ, yielding W = W₀ + (α/r) · B · A. While LoRA reduces trainable parameters by over 99%, continual learning in low-rank space introduces structural challenges. Specifically, low-rank factorization exhibits gauge symmetries: for any invertible matrix Q ∈ ℝʳˣʳ, (B · Q)(Q⁻¹ · A) = B · A. Penalizing changes to A and B individually in Euclidean space penalizes harmless rotational drift, distorting optimization.</w:t>
      </w:r>
    </w:p>
    <w:p>
      <w:pPr>
        <w:spacing w:before="240" w:after="60"/>
      </w:pPr>
      <w:r>
        <w:rPr>
          <w:rFonts w:ascii="Calibri" w:hAnsi="Calibri"/>
          <w:b/>
          <w:color w:val="2563EB"/>
          <w:sz w:val="23"/>
        </w:rPr>
        <w:t>4.3 Continual Learning &amp; Catastrophic Forgetting</w:t>
      </w:r>
    </w:p>
    <w:p>
      <w:pPr>
        <w:spacing w:after="120" w:line="276" w:lineRule="auto"/>
      </w:pPr>
      <w:r>
        <w:rPr>
          <w:rFonts w:ascii="Calibri" w:hAnsi="Calibri"/>
          <w:color w:val="0F172A"/>
          <w:sz w:val="20"/>
        </w:rPr>
        <w:t>Catastrophic forgetting (McCloskey &amp; Cohen, 1989; French, 1999) occurs when neural networks trained sequentially on distinct task distributions suffer abrupt degradation on earlier tasks. In deep learning, regularization approaches like Elastic Weight Consolidation (EWC) (Kirkpatrick et al., 2017) and Synaptic Intelligence (Zenke et al., 2017) penalize parameter movement based on Fisher Information or path integrals. However, existing continual learning methods were designed for supervised classification on full weights. In sequential RL with LoRA, sparse rewards and high-variance policy gradients trigger severe destructive interference that causes standard regularizers to fail.</w:t>
      </w:r>
    </w:p>
    <w:p>
      <w:pPr>
        <w:spacing w:before="320" w:after="80"/>
      </w:pPr>
      <w:r>
        <w:rPr>
          <w:rFonts w:ascii="Calibri" w:hAnsi="Calibri"/>
          <w:b/>
          <w:color w:val="1F4E79"/>
          <w:sz w:val="28"/>
        </w:rPr>
        <w:t>5. Methodology &amp; Mathematical Architecture</w:t>
      </w:r>
    </w:p>
    <w:p>
      <w:pPr>
        <w:spacing w:after="120" w:line="276" w:lineRule="auto"/>
      </w:pPr>
      <w:r>
        <w:rPr>
          <w:rFonts w:ascii="Calibri" w:hAnsi="Calibri"/>
          <w:color w:val="0F172A"/>
          <w:sz w:val="20"/>
        </w:rPr>
        <w:t>RAHC-LoRA integrates three mathematical mechanisms: Effective-Weight Parameterization, Dense Path-Integral Energy Accumulation, and Regularized Group Relative Policy Optimization.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Mechanism</w:t>
            </w:r>
          </w:p>
        </w:tc>
        <w:tc>
          <w:tcPr>
            <w:tcW w:type="dxa" w:w="3744"/>
            <w:shd w:fill="1F4E79"/>
            <w:tcMar>
              <w:top w:w="140" w:type="dxa"/>
              <w:bottom w:w="140" w:type="dxa"/>
              <w:left w:w="160" w:type="dxa"/>
              <w:right w:w="160" w:type="dxa"/>
            </w:tcMar>
            <w:vAlign w:val="center"/>
          </w:tcPr>
          <w:p>
            <w:pPr>
              <w:jc w:val="center"/>
            </w:pPr>
            <w:r>
              <w:rPr>
                <w:rFonts w:ascii="Calibri" w:hAnsi="Calibri"/>
                <w:b/>
                <w:color w:val="FFFFFF"/>
                <w:sz w:val="19"/>
              </w:rPr>
              <w:t>Mathematical Definition</w:t>
            </w:r>
          </w:p>
        </w:tc>
        <w:tc>
          <w:tcPr>
            <w:tcW w:type="dxa" w:w="3456"/>
            <w:shd w:fill="1F4E79"/>
            <w:tcMar>
              <w:top w:w="140" w:type="dxa"/>
              <w:bottom w:w="140" w:type="dxa"/>
              <w:left w:w="160" w:type="dxa"/>
              <w:right w:w="160" w:type="dxa"/>
            </w:tcMar>
            <w:vAlign w:val="center"/>
          </w:tcPr>
          <w:p>
            <w:pPr>
              <w:jc w:val="center"/>
            </w:pPr>
            <w:r>
              <w:rPr>
                <w:rFonts w:ascii="Calibri" w:hAnsi="Calibri"/>
                <w:b/>
                <w:color w:val="FFFFFF"/>
                <w:sz w:val="19"/>
              </w:rPr>
              <w:t>Functional Purpose</w:t>
            </w:r>
          </w:p>
        </w:tc>
      </w:tr>
      <w:tr>
        <w:tc>
          <w:tcPr>
            <w:tcW w:type="dxa" w:w="2592"/>
            <w:shd w:fill="FFFFFF"/>
            <w:tcMar>
              <w:top w:w="100" w:type="dxa"/>
              <w:bottom w:w="100" w:type="dxa"/>
              <w:left w:w="160" w:type="dxa"/>
              <w:right w:w="160" w:type="dxa"/>
            </w:tcMar>
            <w:vAlign w:val="center"/>
          </w:tcPr>
          <w:p>
            <w:pPr>
              <w:jc w:val="left"/>
            </w:pPr>
            <w:r>
              <w:rPr>
                <w:rFonts w:ascii="Calibri" w:hAnsi="Calibri"/>
                <w:sz w:val="19"/>
              </w:rPr>
              <w:t>Effective Weight Update</w:t>
            </w:r>
          </w:p>
        </w:tc>
        <w:tc>
          <w:tcPr>
            <w:tcW w:type="dxa" w:w="3744"/>
            <w:shd w:fill="FFFFFF"/>
            <w:tcMar>
              <w:top w:w="100" w:type="dxa"/>
              <w:bottom w:w="100" w:type="dxa"/>
              <w:left w:w="160" w:type="dxa"/>
              <w:right w:w="160" w:type="dxa"/>
            </w:tcMar>
            <w:vAlign w:val="center"/>
          </w:tcPr>
          <w:p>
            <w:pPr>
              <w:jc w:val="center"/>
            </w:pPr>
            <w:r>
              <w:rPr>
                <w:rFonts w:ascii="Calibri" w:hAnsi="Calibri"/>
                <w:sz w:val="19"/>
              </w:rPr>
              <w:t>ΔW = (α / r) · B · A ∈ ℝᵈᵒᵘᵗˣᵈⁱⁿ</w:t>
              <w:br/>
              <w:t>W_eff = W₀ + ΔW</w:t>
            </w:r>
          </w:p>
        </w:tc>
        <w:tc>
          <w:tcPr>
            <w:tcW w:type="dxa" w:w="3456"/>
            <w:shd w:fill="FFFFFF"/>
            <w:tcMar>
              <w:top w:w="100" w:type="dxa"/>
              <w:bottom w:w="100" w:type="dxa"/>
              <w:left w:w="160" w:type="dxa"/>
              <w:right w:w="160" w:type="dxa"/>
            </w:tcMar>
            <w:vAlign w:val="center"/>
          </w:tcPr>
          <w:p>
            <w:pPr>
              <w:jc w:val="center"/>
            </w:pPr>
            <w:r>
              <w:rPr>
                <w:rFonts w:ascii="Calibri" w:hAnsi="Calibri"/>
                <w:sz w:val="19"/>
              </w:rPr>
              <w:t>Eliminates factor-gauge ambiguity; projects LoRA parameter dynamics directly into weight space.</w:t>
            </w:r>
          </w:p>
        </w:tc>
      </w:tr>
      <w:tr>
        <w:tc>
          <w:tcPr>
            <w:tcW w:type="dxa" w:w="2592"/>
            <w:shd w:fill="F8FAFC"/>
            <w:tcMar>
              <w:top w:w="100" w:type="dxa"/>
              <w:bottom w:w="100" w:type="dxa"/>
              <w:left w:w="160" w:type="dxa"/>
              <w:right w:w="160" w:type="dxa"/>
            </w:tcMar>
            <w:vAlign w:val="center"/>
          </w:tcPr>
          <w:p>
            <w:pPr>
              <w:jc w:val="left"/>
            </w:pPr>
            <w:r>
              <w:rPr>
                <w:rFonts w:ascii="Calibri" w:hAnsi="Calibri"/>
                <w:sz w:val="19"/>
              </w:rPr>
              <w:t>Effective Gradient Capture</w:t>
            </w:r>
          </w:p>
        </w:tc>
        <w:tc>
          <w:tcPr>
            <w:tcW w:type="dxa" w:w="3744"/>
            <w:shd w:fill="F8FAFC"/>
            <w:tcMar>
              <w:top w:w="100" w:type="dxa"/>
              <w:bottom w:w="100" w:type="dxa"/>
              <w:left w:w="160" w:type="dxa"/>
              <w:right w:w="160" w:type="dxa"/>
            </w:tcMar>
            <w:vAlign w:val="center"/>
          </w:tcPr>
          <w:p>
            <w:pPr>
              <w:jc w:val="center"/>
            </w:pPr>
            <w:r>
              <w:rPr>
                <w:rFonts w:ascii="Calibri" w:hAnsi="Calibri"/>
                <w:sz w:val="19"/>
              </w:rPr>
              <w:t>g_t = ∇_{ΔW} ℒ_RL</w:t>
              <w:br/>
              <w:t>= (∇_B ℒ) Aᵀ + Bᵀ (∇_A ℒ)</w:t>
            </w:r>
          </w:p>
        </w:tc>
        <w:tc>
          <w:tcPr>
            <w:tcW w:type="dxa" w:w="3456"/>
            <w:shd w:fill="F8FAFC"/>
            <w:tcMar>
              <w:top w:w="100" w:type="dxa"/>
              <w:bottom w:w="100" w:type="dxa"/>
              <w:left w:w="160" w:type="dxa"/>
              <w:right w:w="160" w:type="dxa"/>
            </w:tcMar>
            <w:vAlign w:val="center"/>
          </w:tcPr>
          <w:p>
            <w:pPr>
              <w:jc w:val="center"/>
            </w:pPr>
            <w:r>
              <w:rPr>
                <w:rFonts w:ascii="Calibri" w:hAnsi="Calibri"/>
                <w:sz w:val="19"/>
              </w:rPr>
              <w:t>Captures the exact gradient direction with respect to the composite matrix product during backprop.</w:t>
            </w:r>
          </w:p>
        </w:tc>
      </w:tr>
      <w:tr>
        <w:tc>
          <w:tcPr>
            <w:tcW w:type="dxa" w:w="2592"/>
            <w:shd w:fill="FFFFFF"/>
            <w:tcMar>
              <w:top w:w="100" w:type="dxa"/>
              <w:bottom w:w="100" w:type="dxa"/>
              <w:left w:w="160" w:type="dxa"/>
              <w:right w:w="160" w:type="dxa"/>
            </w:tcMar>
            <w:vAlign w:val="center"/>
          </w:tcPr>
          <w:p>
            <w:pPr>
              <w:jc w:val="left"/>
            </w:pPr>
            <w:r>
              <w:rPr>
                <w:rFonts w:ascii="Calibri" w:hAnsi="Calibri"/>
                <w:sz w:val="19"/>
              </w:rPr>
              <w:t>Path-Integral Energy (Ω)</w:t>
            </w:r>
          </w:p>
        </w:tc>
        <w:tc>
          <w:tcPr>
            <w:tcW w:type="dxa" w:w="3744"/>
            <w:shd w:fill="FFFFFF"/>
            <w:tcMar>
              <w:top w:w="100" w:type="dxa"/>
              <w:bottom w:w="100" w:type="dxa"/>
              <w:left w:w="160" w:type="dxa"/>
              <w:right w:w="160" w:type="dxa"/>
            </w:tcMar>
            <w:vAlign w:val="center"/>
          </w:tcPr>
          <w:p>
            <w:pPr>
              <w:jc w:val="center"/>
            </w:pPr>
            <w:r>
              <w:rPr>
                <w:rFonts w:ascii="Calibri" w:hAnsi="Calibri"/>
                <w:sz w:val="19"/>
              </w:rPr>
              <w:t>Ωₗ = ∑ₜ₌₁ᵀ | g_t^(l) ⊙ (ΔW_t^(l) - ΔW_{t-1}^(l)) |</w:t>
            </w:r>
          </w:p>
        </w:tc>
        <w:tc>
          <w:tcPr>
            <w:tcW w:type="dxa" w:w="3456"/>
            <w:shd w:fill="FFFFFF"/>
            <w:tcMar>
              <w:top w:w="100" w:type="dxa"/>
              <w:bottom w:w="100" w:type="dxa"/>
              <w:left w:w="160" w:type="dxa"/>
              <w:right w:w="160" w:type="dxa"/>
            </w:tcMar>
            <w:vAlign w:val="center"/>
          </w:tcPr>
          <w:p>
            <w:pPr>
              <w:jc w:val="center"/>
            </w:pPr>
            <w:r>
              <w:rPr>
                <w:rFonts w:ascii="Calibri" w:hAnsi="Calibri"/>
                <w:sz w:val="19"/>
              </w:rPr>
              <w:t>Accumulates parameter work along the optimization trajectory without Hessian approximation.</w:t>
            </w:r>
          </w:p>
        </w:tc>
      </w:tr>
      <w:tr>
        <w:tc>
          <w:tcPr>
            <w:tcW w:type="dxa" w:w="2592"/>
            <w:shd w:fill="F8FAFC"/>
            <w:tcMar>
              <w:top w:w="100" w:type="dxa"/>
              <w:bottom w:w="100" w:type="dxa"/>
              <w:left w:w="160" w:type="dxa"/>
              <w:right w:w="160" w:type="dxa"/>
            </w:tcMar>
            <w:vAlign w:val="center"/>
          </w:tcPr>
          <w:p>
            <w:pPr>
              <w:jc w:val="left"/>
            </w:pPr>
            <w:r>
              <w:rPr>
                <w:rFonts w:ascii="Calibri" w:hAnsi="Calibri"/>
                <w:sz w:val="19"/>
              </w:rPr>
              <w:t>Consolidated RL Objective</w:t>
            </w:r>
          </w:p>
        </w:tc>
        <w:tc>
          <w:tcPr>
            <w:tcW w:type="dxa" w:w="3744"/>
            <w:shd w:fill="F8FAFC"/>
            <w:tcMar>
              <w:top w:w="100" w:type="dxa"/>
              <w:bottom w:w="100" w:type="dxa"/>
              <w:left w:w="160" w:type="dxa"/>
              <w:right w:w="160" w:type="dxa"/>
            </w:tcMar>
            <w:vAlign w:val="center"/>
          </w:tcPr>
          <w:p>
            <w:pPr>
              <w:jc w:val="center"/>
            </w:pPr>
            <w:r>
              <w:rPr>
                <w:rFonts w:ascii="Calibri" w:hAnsi="Calibri"/>
                <w:sz w:val="19"/>
              </w:rPr>
              <w:t>ℒ_total = ℒ_GRPO + (λ / 2) · ∑ₗ || Ωₗ ⊙ (ΔWₗ - ΔWₗ*) ||_F²</w:t>
            </w:r>
          </w:p>
        </w:tc>
        <w:tc>
          <w:tcPr>
            <w:tcW w:type="dxa" w:w="3456"/>
            <w:shd w:fill="F8FAFC"/>
            <w:tcMar>
              <w:top w:w="100" w:type="dxa"/>
              <w:bottom w:w="100" w:type="dxa"/>
              <w:left w:w="160" w:type="dxa"/>
              <w:right w:w="160" w:type="dxa"/>
            </w:tcMar>
            <w:vAlign w:val="center"/>
          </w:tcPr>
          <w:p>
            <w:pPr>
              <w:jc w:val="center"/>
            </w:pPr>
            <w:r>
              <w:rPr>
                <w:rFonts w:ascii="Calibri" w:hAnsi="Calibri"/>
                <w:sz w:val="19"/>
              </w:rPr>
              <w:t>Imposes quadratic barriers along sensitive Task 1 directions; leaves orthogonal directions free.</w:t>
            </w:r>
          </w:p>
        </w:tc>
      </w:tr>
      <w:tr>
        <w:tc>
          <w:tcPr>
            <w:tcW w:type="dxa" w:w="2592"/>
            <w:shd w:fill="FFFFFF"/>
            <w:tcMar>
              <w:top w:w="100" w:type="dxa"/>
              <w:bottom w:w="100" w:type="dxa"/>
              <w:left w:w="160" w:type="dxa"/>
              <w:right w:w="160" w:type="dxa"/>
            </w:tcMar>
            <w:vAlign w:val="center"/>
          </w:tcPr>
          <w:p>
            <w:pPr>
              <w:jc w:val="left"/>
            </w:pPr>
            <w:r>
              <w:rPr>
                <w:rFonts w:ascii="Calibri" w:hAnsi="Calibri"/>
                <w:sz w:val="19"/>
              </w:rPr>
              <w:t>GRPO Surrogate Loss</w:t>
            </w:r>
          </w:p>
        </w:tc>
        <w:tc>
          <w:tcPr>
            <w:tcW w:type="dxa" w:w="3744"/>
            <w:shd w:fill="FFFFFF"/>
            <w:tcMar>
              <w:top w:w="100" w:type="dxa"/>
              <w:bottom w:w="100" w:type="dxa"/>
              <w:left w:w="160" w:type="dxa"/>
              <w:right w:w="160" w:type="dxa"/>
            </w:tcMar>
            <w:vAlign w:val="center"/>
          </w:tcPr>
          <w:p>
            <w:pPr>
              <w:jc w:val="center"/>
            </w:pPr>
            <w:r>
              <w:rPr>
                <w:rFonts w:ascii="Calibri" w:hAnsi="Calibri"/>
                <w:sz w:val="19"/>
              </w:rPr>
              <w:t>Âᵢ = (R(oᵢ) - μ_R) / (σ_R + ε)</w:t>
              <w:br/>
              <w:t>ℒ_GRPO = -𝔼 [ min(rᵢ Âᵢ, clip(rᵢ, 1±ε) Âᵢ) ]</w:t>
            </w:r>
          </w:p>
        </w:tc>
        <w:tc>
          <w:tcPr>
            <w:tcW w:type="dxa" w:w="3456"/>
            <w:shd w:fill="FFFFFF"/>
            <w:tcMar>
              <w:top w:w="100" w:type="dxa"/>
              <w:bottom w:w="100" w:type="dxa"/>
              <w:left w:w="160" w:type="dxa"/>
              <w:right w:w="160" w:type="dxa"/>
            </w:tcMar>
            <w:vAlign w:val="center"/>
          </w:tcPr>
          <w:p>
            <w:pPr>
              <w:jc w:val="center"/>
            </w:pPr>
            <w:r>
              <w:rPr>
                <w:rFonts w:ascii="Calibri" w:hAnsi="Calibri"/>
                <w:sz w:val="19"/>
              </w:rPr>
              <w:t>Optimizes response generation via group-relative advantages without a critic network.</w:t>
            </w:r>
          </w:p>
        </w:tc>
      </w:tr>
    </w:tbl>
    <w:p>
      <w:pPr>
        <w:spacing w:after="120"/>
      </w:pPr>
    </w:p>
    <w:p>
      <w:pPr>
        <w:spacing w:before="320" w:after="80"/>
      </w:pPr>
      <w:r>
        <w:rPr>
          <w:rFonts w:ascii="Calibri" w:hAnsi="Calibri"/>
          <w:b/>
          <w:color w:val="1F4E79"/>
          <w:sz w:val="28"/>
        </w:rPr>
        <w:t>6. Data Preprocessing &amp; Leakage Isolation</w:t>
      </w:r>
    </w:p>
    <w:p>
      <w:pPr>
        <w:spacing w:after="120" w:line="276" w:lineRule="auto"/>
      </w:pPr>
      <w:r>
        <w:rPr>
          <w:rFonts w:ascii="Calibri" w:hAnsi="Calibri"/>
          <w:color w:val="0F172A"/>
          <w:sz w:val="20"/>
        </w:rPr>
        <w:t>A rigorous continual learning benchmark demands strict partition hygiene to ensure zero data leakage across tasks and evaluation splits.</w:t>
      </w:r>
    </w:p>
    <w:p>
      <w:pPr>
        <w:spacing w:after="120" w:line="276" w:lineRule="auto"/>
      </w:pPr>
      <w:r>
        <w:rPr>
          <w:rFonts w:ascii="Calibri" w:hAnsi="Calibri"/>
          <w:color w:val="0F172A"/>
          <w:sz w:val="20"/>
        </w:rPr>
        <w:t>• Deterministic Splitting: All datasets (GSM8K, ARC-Challenge, MBPP, Constraints) are partitioned into deterministic 80% train, 10% validation, and 10% held-out test splits based on SHA-256 hashes of sample IDs.</w:t>
      </w:r>
    </w:p>
    <w:p>
      <w:pPr>
        <w:spacing w:after="120" w:line="276" w:lineRule="auto"/>
      </w:pPr>
      <w:r>
        <w:rPr>
          <w:rFonts w:ascii="Calibri" w:hAnsi="Calibri"/>
          <w:color w:val="0F172A"/>
          <w:sz w:val="20"/>
        </w:rPr>
        <w:t>• Evaluation-Only Boundary: Google IFEval is strictly designated as an evaluation-only capability benchmark. No training or anchor-candidate loading is permitted.</w:t>
      </w:r>
    </w:p>
    <w:p>
      <w:pPr>
        <w:spacing w:after="120" w:line="276" w:lineRule="auto"/>
      </w:pPr>
      <w:r>
        <w:rPr>
          <w:rFonts w:ascii="Calibri" w:hAnsi="Calibri"/>
          <w:color w:val="0F172A"/>
          <w:sz w:val="20"/>
        </w:rPr>
        <w:t>• Overlap Verification: Synthetically generated instruction constraint data is cryptographically cross-checked against IFEval prompts to verify zero N-gram or prompt overlap.</w:t>
      </w:r>
    </w:p>
    <w:p>
      <w:pPr>
        <w:spacing w:after="120" w:line="276" w:lineRule="auto"/>
      </w:pPr>
      <w:r>
        <w:rPr>
          <w:rFonts w:ascii="Calibri" w:hAnsi="Calibri"/>
          <w:color w:val="0F172A"/>
          <w:sz w:val="20"/>
        </w:rPr>
        <w:t>• Tokenization &amp; Length Budgeting: Prompts are truncated to a maximum of 128 tokens; generated completions are budgeted to 128 tokens, fitting comfortably within the model's 32,768 context length.</w:t>
      </w:r>
    </w:p>
    <w:p>
      <w:pPr>
        <w:spacing w:before="320" w:after="80"/>
      </w:pPr>
      <w:r>
        <w:rPr>
          <w:rFonts w:ascii="Calibri" w:hAnsi="Calibri"/>
          <w:b/>
          <w:color w:val="1F4E79"/>
          <w:sz w:val="28"/>
        </w:rPr>
        <w:t>7. Work Flow &amp; Experimental Execution</w:t>
      </w:r>
    </w:p>
    <w:p>
      <w:pPr>
        <w:spacing w:after="120" w:line="276" w:lineRule="auto"/>
      </w:pPr>
      <w:r>
        <w:rPr>
          <w:rFonts w:ascii="Calibri" w:hAnsi="Calibri"/>
          <w:color w:val="0F172A"/>
          <w:sz w:val="20"/>
        </w:rPr>
        <w:t>The experimental execution follows a phased, reproducible research engineering workflow:</w:t>
        <w:br/>
        <w:t>1. Initialization &amp; Frozen Baseline: The model is initialized with frozen pre-trained weights W₀. Prior to training, the complete 5-task general capability suite (IFEval, MMLU, HellaSwag, ARC-Easy, WikiText) is evaluated to establish the immutable baseline.</w:t>
        <w:br/>
        <w:t>2. Task 1 RL Alignment: The policy trains on Task 1 (ARC-Challenge) using GRPO. At every step, effective weight trajectory updates and gradients are recorded into the path-integral accumulator Ω.</w:t>
        <w:br/>
        <w:t>3. Task 1 Boundary &amp; Checkpoint: Upon completion of Task 1, full in-domain and general capability evaluations are conducted. Checkpoint 1 is serialized with a SHA-256 manifest.</w:t>
        <w:br/>
        <w:t>4. Task 2 Retention Alignment: The policy transitions to Task 2 (GSM8K). The objective is regularized using the consolidated importance tensor Ω from Task 1 (λ=1.0).</w:t>
        <w:br/>
        <w:t>5. Task 2 Boundary &amp; Final Metrics: The policy undergoes final boundary evaluation on both Task 1 and Task 2 to compute catastrophic forgetting, backward transfer, and capability drift.</w:t>
      </w:r>
    </w:p>
    <w:p>
      <w:pPr>
        <w:spacing w:before="320" w:after="80"/>
      </w:pPr>
      <w:r>
        <w:rPr>
          <w:rFonts w:ascii="Calibri" w:hAnsi="Calibri"/>
          <w:b/>
          <w:color w:val="1F4E79"/>
          <w:sz w:val="28"/>
        </w:rPr>
        <w:t>8. Dataset Samples &amp; Deterministic Reward Verifiers</w:t>
      </w:r>
    </w:p>
    <w:p>
      <w:pPr>
        <w:spacing w:after="120" w:line="276" w:lineRule="auto"/>
      </w:pPr>
      <w:r>
        <w:rPr>
          <w:rFonts w:ascii="Calibri" w:hAnsi="Calibri"/>
          <w:color w:val="0F172A"/>
          <w:sz w:val="20"/>
        </w:rPr>
        <w:t>To eliminate human scoring subjectivity and LLM-as-a-judge bias, all rewards in RAHC-LoRA are computed using deterministic, rule-based verifiers. Concrete input-output samples for each task are detailed below:</w:t>
      </w:r>
    </w:p>
    <w:p>
      <w:pPr>
        <w:spacing w:before="240" w:after="60"/>
      </w:pPr>
      <w:r>
        <w:rPr>
          <w:rFonts w:ascii="Calibri" w:hAnsi="Calibri"/>
          <w:b/>
          <w:color w:val="2563EB"/>
          <w:sz w:val="23"/>
        </w:rPr>
        <w:t>8.1 Task 1: Science Reasoning (ARC-Challenge)</w:t>
      </w:r>
    </w:p>
    <w:tbl>
      <w:tblPr>
        <w:tblW w:type="auto" w:w="0"/>
        <w:jc w:val="center"/>
        <w:tblLook w:firstColumn="1" w:firstRow="1" w:lastColumn="0" w:lastRow="0" w:noHBand="0" w:noVBand="1" w:val="04A0"/>
      </w:tblPr>
      <w:tblGrid>
        <w:gridCol w:w="9936"/>
      </w:tblGrid>
      <w:tr>
        <w:tc>
          <w:tcPr>
            <w:tcW w:type="dxa" w:w="9792"/>
            <w:shd w:fill="F1F5F9"/>
            <w:tcMar>
              <w:top w:w="80" w:type="dxa"/>
              <w:bottom w:w="80" w:type="dxa"/>
              <w:left w:w="140" w:type="dxa"/>
              <w:right w:w="140" w:type="dxa"/>
            </w:tcMar>
            <w:tcBorders>
              <w:left w:val="single" w:sz="12" w:space="0" w:color="94A3B8"/>
              <w:top w:val="none"/>
              <w:right w:val="none"/>
              <w:bottom w:val="none"/>
            </w:tcBorders>
          </w:tcPr>
          <w:p>
            <w:pPr>
              <w:spacing w:before="40" w:after="40"/>
            </w:pPr>
            <w:r>
              <w:rPr>
                <w:rFonts w:ascii="Consolas" w:hAnsi="Consolas"/>
                <w:color w:val="1E293B"/>
                <w:sz w:val="17"/>
              </w:rPr>
              <w:t>PROMPT:</w:t>
              <w:br/>
              <w:t>Question: Which of the following is an example of an organism taking in nutrients?</w:t>
              <w:br/>
              <w:t>(A) A dog barking at a stranger</w:t>
              <w:br/>
              <w:t>(B) A plant absorbing sunlight and water through its roots</w:t>
              <w:br/>
              <w:t>(C) A bird building a nest in a tree</w:t>
              <w:br/>
              <w:t>(D) A bear hibernating in a cave</w:t>
              <w:br/>
              <w:t>Answer:</w:t>
              <w:br/>
              <w:br/>
              <w:t>MODEL RESPONSE: (B)</w:t>
              <w:br/>
              <w:t>REWARD LOGIC: Exact match against gold choice 'B'.</w:t>
              <w:br/>
              <w:t>REWARD OUTCOME: Normalized Reward = 1.0 (Correct)</w:t>
            </w:r>
          </w:p>
        </w:tc>
      </w:tr>
    </w:tbl>
    <w:p>
      <w:pPr>
        <w:spacing w:after="80"/>
      </w:pPr>
    </w:p>
    <w:p>
      <w:pPr>
        <w:spacing w:before="240" w:after="60"/>
      </w:pPr>
      <w:r>
        <w:rPr>
          <w:rFonts w:ascii="Calibri" w:hAnsi="Calibri"/>
          <w:b/>
          <w:color w:val="2563EB"/>
          <w:sz w:val="23"/>
        </w:rPr>
        <w:t>8.2 Task 2: Mathematics Word Problems (GSM8K)</w:t>
      </w:r>
    </w:p>
    <w:tbl>
      <w:tblPr>
        <w:tblW w:type="auto" w:w="0"/>
        <w:jc w:val="center"/>
        <w:tblLook w:firstColumn="1" w:firstRow="1" w:lastColumn="0" w:lastRow="0" w:noHBand="0" w:noVBand="1" w:val="04A0"/>
      </w:tblPr>
      <w:tblGrid>
        <w:gridCol w:w="9936"/>
      </w:tblGrid>
      <w:tr>
        <w:tc>
          <w:tcPr>
            <w:tcW w:type="dxa" w:w="9792"/>
            <w:shd w:fill="F1F5F9"/>
            <w:tcMar>
              <w:top w:w="80" w:type="dxa"/>
              <w:bottom w:w="80" w:type="dxa"/>
              <w:left w:w="140" w:type="dxa"/>
              <w:right w:w="140" w:type="dxa"/>
            </w:tcMar>
            <w:tcBorders>
              <w:left w:val="single" w:sz="12" w:space="0" w:color="94A3B8"/>
              <w:top w:val="none"/>
              <w:right w:val="none"/>
              <w:bottom w:val="none"/>
            </w:tcBorders>
          </w:tcPr>
          <w:p>
            <w:pPr>
              <w:spacing w:before="40" w:after="40"/>
            </w:pPr>
            <w:r>
              <w:rPr>
                <w:rFonts w:ascii="Consolas" w:hAnsi="Consolas"/>
                <w:color w:val="1E293B"/>
                <w:sz w:val="17"/>
              </w:rPr>
              <w:t>PROMPT:</w:t>
              <w:br/>
              <w:t>Janet’s ducks lay 16 eggs per day. She eats three for breakfast every morning and bakes muffins for her friends</w:t>
              <w:br/>
              <w:t>with four eggs every day. She sells the remaining eggs at the market for $2 per egg. How much in dollars does she make every day?</w:t>
              <w:br/>
              <w:br/>
              <w:t>MODEL RESPONSE: Janet has 16 eggs. She uses 3 + 4 = 7 eggs. Remaining eggs = 16 - 7 = 9 eggs. She sells 9 * $2 = $18. The answer is 18.</w:t>
              <w:br/>
              <w:t>REWARD LOGIC: Regular expression extraction of final numerical token matched against gold integer 18.</w:t>
              <w:br/>
              <w:t>REWARD OUTCOME: Normalized Reward = 1.0 (Correct)</w:t>
            </w:r>
          </w:p>
        </w:tc>
      </w:tr>
    </w:tbl>
    <w:p>
      <w:pPr>
        <w:spacing w:after="80"/>
      </w:pPr>
    </w:p>
    <w:p>
      <w:pPr>
        <w:spacing w:before="240" w:after="60"/>
      </w:pPr>
      <w:r>
        <w:rPr>
          <w:rFonts w:ascii="Calibri" w:hAnsi="Calibri"/>
          <w:b/>
          <w:color w:val="2563EB"/>
          <w:sz w:val="23"/>
        </w:rPr>
        <w:t>8.3 Task 3: Python Code Generation (MBPP)</w:t>
      </w:r>
    </w:p>
    <w:tbl>
      <w:tblPr>
        <w:tblW w:type="auto" w:w="0"/>
        <w:jc w:val="center"/>
        <w:tblLook w:firstColumn="1" w:firstRow="1" w:lastColumn="0" w:lastRow="0" w:noHBand="0" w:noVBand="1" w:val="04A0"/>
      </w:tblPr>
      <w:tblGrid>
        <w:gridCol w:w="9936"/>
      </w:tblGrid>
      <w:tr>
        <w:tc>
          <w:tcPr>
            <w:tcW w:type="dxa" w:w="9792"/>
            <w:shd w:fill="F1F5F9"/>
            <w:tcMar>
              <w:top w:w="80" w:type="dxa"/>
              <w:bottom w:w="80" w:type="dxa"/>
              <w:left w:w="140" w:type="dxa"/>
              <w:right w:w="140" w:type="dxa"/>
            </w:tcMar>
            <w:tcBorders>
              <w:left w:val="single" w:sz="12" w:space="0" w:color="94A3B8"/>
              <w:top w:val="none"/>
              <w:right w:val="none"/>
              <w:bottom w:val="none"/>
            </w:tcBorders>
          </w:tcPr>
          <w:p>
            <w:pPr>
              <w:spacing w:before="40" w:after="40"/>
            </w:pPr>
            <w:r>
              <w:rPr>
                <w:rFonts w:ascii="Consolas" w:hAnsi="Consolas"/>
                <w:color w:val="1E293B"/>
                <w:sz w:val="17"/>
              </w:rPr>
              <w:t>PROMPT:</w:t>
              <w:br/>
              <w:t>Write a python function to find the minimum of two numbers.</w:t>
              <w:br/>
              <w:br/>
              <w:t>MODEL RESPONSE:</w:t>
              <w:br/>
              <w:t>def min_of_two(a, b):</w:t>
              <w:br/>
              <w:t xml:space="preserve">    return a if a &lt; b else b</w:t>
              <w:br/>
              <w:br/>
              <w:t>REWARD LOGIC: Executed in an isolated Docker sandbox with 5.0s timeout. Tested against:</w:t>
              <w:br/>
              <w:t>assert min_of_two(10, 20) == 10</w:t>
              <w:br/>
              <w:t>assert min_of_two(-5, 0) == -5</w:t>
              <w:br/>
              <w:t>REWARD OUTCOME: Normalized Reward = 1.0 (Pass All Tests)</w:t>
            </w:r>
          </w:p>
        </w:tc>
      </w:tr>
    </w:tbl>
    <w:p>
      <w:pPr>
        <w:spacing w:after="80"/>
      </w:pPr>
    </w:p>
    <w:p>
      <w:pPr>
        <w:spacing w:before="320" w:after="80"/>
      </w:pPr>
      <w:r>
        <w:rPr>
          <w:rFonts w:ascii="Calibri" w:hAnsi="Calibri"/>
          <w:b/>
          <w:color w:val="1F4E79"/>
          <w:sz w:val="28"/>
        </w:rPr>
        <w:t>9. Performance Analysis &amp; Complete Empirical Benchmarks</w:t>
      </w:r>
    </w:p>
    <w:p>
      <w:pPr>
        <w:spacing w:after="120" w:line="276" w:lineRule="auto"/>
      </w:pPr>
      <w:r>
        <w:rPr>
          <w:rFonts w:ascii="Calibri" w:hAnsi="Calibri"/>
          <w:color w:val="0F172A"/>
          <w:sz w:val="20"/>
        </w:rPr>
        <w:t>Across the project lifecycle, six complete multi-task training runs were executed on the target NVIDIA GeForce RTX 4070 Ti SUPER. The complete record of performance matrices, continual metrics, and scaling benchmarks is presented below:</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656"/>
        <w:gridCol w:w="1656"/>
        <w:gridCol w:w="1656"/>
        <w:gridCol w:w="1656"/>
        <w:gridCol w:w="1656"/>
        <w:gridCol w:w="1656"/>
      </w:tblGrid>
      <w:tr>
        <w:tc>
          <w:tcPr>
            <w:tcW w:type="dxa" w:w="2592"/>
            <w:shd w:fill="1F4E79"/>
            <w:tcMar>
              <w:top w:w="140" w:type="dxa"/>
              <w:bottom w:w="140" w:type="dxa"/>
              <w:left w:w="160" w:type="dxa"/>
              <w:right w:w="160" w:type="dxa"/>
            </w:tcMar>
            <w:vAlign w:val="center"/>
          </w:tcPr>
          <w:p>
            <w:pPr>
              <w:jc w:val="left"/>
            </w:pPr>
            <w:r>
              <w:rPr>
                <w:rFonts w:ascii="Calibri" w:hAnsi="Calibri"/>
                <w:b/>
                <w:color w:val="FFFFFF"/>
                <w:sz w:val="19"/>
              </w:rPr>
              <w:t>Experiment Run</w:t>
            </w:r>
          </w:p>
        </w:tc>
        <w:tc>
          <w:tcPr>
            <w:tcW w:type="dxa" w:w="1728"/>
            <w:shd w:fill="1F4E79"/>
            <w:tcMar>
              <w:top w:w="140" w:type="dxa"/>
              <w:bottom w:w="140" w:type="dxa"/>
              <w:left w:w="160" w:type="dxa"/>
              <w:right w:w="160" w:type="dxa"/>
            </w:tcMar>
            <w:vAlign w:val="center"/>
          </w:tcPr>
          <w:p>
            <w:pPr>
              <w:jc w:val="center"/>
            </w:pPr>
            <w:r>
              <w:rPr>
                <w:rFonts w:ascii="Calibri" w:hAnsi="Calibri"/>
                <w:b/>
                <w:color w:val="FFFFFF"/>
                <w:sz w:val="19"/>
              </w:rPr>
              <w:t>Task Order</w:t>
            </w:r>
          </w:p>
        </w:tc>
        <w:tc>
          <w:tcPr>
            <w:tcW w:type="dxa" w:w="1440"/>
            <w:shd w:fill="1F4E79"/>
            <w:tcMar>
              <w:top w:w="140" w:type="dxa"/>
              <w:bottom w:w="140" w:type="dxa"/>
              <w:left w:w="160" w:type="dxa"/>
              <w:right w:w="160" w:type="dxa"/>
            </w:tcMar>
            <w:vAlign w:val="center"/>
          </w:tcPr>
          <w:p>
            <w:pPr>
              <w:jc w:val="center"/>
            </w:pPr>
            <w:r>
              <w:rPr>
                <w:rFonts w:ascii="Calibri" w:hAnsi="Calibri"/>
                <w:b/>
                <w:color w:val="FFFFFF"/>
                <w:sz w:val="19"/>
              </w:rPr>
              <w:t>Steps</w:t>
            </w:r>
          </w:p>
        </w:tc>
        <w:tc>
          <w:tcPr>
            <w:tcW w:type="dxa" w:w="1584"/>
            <w:shd w:fill="1F4E79"/>
            <w:tcMar>
              <w:top w:w="140" w:type="dxa"/>
              <w:bottom w:w="140" w:type="dxa"/>
              <w:left w:w="160" w:type="dxa"/>
              <w:right w:w="160" w:type="dxa"/>
            </w:tcMar>
            <w:vAlign w:val="center"/>
          </w:tcPr>
          <w:p>
            <w:pPr>
              <w:jc w:val="center"/>
            </w:pPr>
            <w:r>
              <w:rPr>
                <w:rFonts w:ascii="Calibri" w:hAnsi="Calibri"/>
                <w:b/>
                <w:color w:val="FFFFFF"/>
                <w:sz w:val="19"/>
              </w:rPr>
              <w:t>Task 1 (Init → Final)</w:t>
            </w:r>
          </w:p>
        </w:tc>
        <w:tc>
          <w:tcPr>
            <w:tcW w:type="dxa" w:w="1440"/>
            <w:shd w:fill="1F4E79"/>
            <w:tcMar>
              <w:top w:w="140" w:type="dxa"/>
              <w:bottom w:w="140" w:type="dxa"/>
              <w:left w:w="160" w:type="dxa"/>
              <w:right w:w="160" w:type="dxa"/>
            </w:tcMar>
            <w:vAlign w:val="center"/>
          </w:tcPr>
          <w:p>
            <w:pPr>
              <w:jc w:val="center"/>
            </w:pPr>
            <w:r>
              <w:rPr>
                <w:rFonts w:ascii="Calibri" w:hAnsi="Calibri"/>
                <w:b/>
                <w:color w:val="FFFFFF"/>
                <w:sz w:val="19"/>
              </w:rPr>
              <w:t>Task 2 (Final)</w:t>
            </w:r>
          </w:p>
        </w:tc>
        <w:tc>
          <w:tcPr>
            <w:tcW w:type="dxa" w:w="1584"/>
            <w:shd w:fill="1F4E79"/>
            <w:tcMar>
              <w:top w:w="140" w:type="dxa"/>
              <w:bottom w:w="140" w:type="dxa"/>
              <w:left w:w="160" w:type="dxa"/>
              <w:right w:w="160" w:type="dxa"/>
            </w:tcMar>
            <w:vAlign w:val="center"/>
          </w:tcPr>
          <w:p>
            <w:pPr>
              <w:jc w:val="center"/>
            </w:pPr>
            <w:r>
              <w:rPr>
                <w:rFonts w:ascii="Calibri" w:hAnsi="Calibri"/>
                <w:b/>
                <w:color w:val="FFFFFF"/>
                <w:sz w:val="19"/>
              </w:rPr>
              <w:t>Continual Average</w:t>
            </w:r>
          </w:p>
        </w:tc>
      </w:tr>
      <w:tr>
        <w:tc>
          <w:tcPr>
            <w:tcW w:type="dxa" w:w="2592"/>
            <w:shd w:fill="FFFFFF"/>
            <w:tcMar>
              <w:top w:w="100" w:type="dxa"/>
              <w:bottom w:w="100" w:type="dxa"/>
              <w:left w:w="160" w:type="dxa"/>
              <w:right w:w="160" w:type="dxa"/>
            </w:tcMar>
            <w:vAlign w:val="center"/>
          </w:tcPr>
          <w:p>
            <w:pPr>
              <w:jc w:val="left"/>
            </w:pPr>
            <w:r>
              <w:rPr>
                <w:rFonts w:ascii="Calibri" w:hAnsi="Calibri"/>
                <w:sz w:val="19"/>
              </w:rPr>
              <w:t>Pilot 1 (Phase 2 Deep)</w:t>
            </w:r>
          </w:p>
        </w:tc>
        <w:tc>
          <w:tcPr>
            <w:tcW w:type="dxa" w:w="1728"/>
            <w:shd w:fill="FFFFFF"/>
            <w:tcMar>
              <w:top w:w="100" w:type="dxa"/>
              <w:bottom w:w="100" w:type="dxa"/>
              <w:left w:w="160" w:type="dxa"/>
              <w:right w:w="160" w:type="dxa"/>
            </w:tcMar>
            <w:vAlign w:val="center"/>
          </w:tcPr>
          <w:p>
            <w:pPr>
              <w:jc w:val="center"/>
            </w:pPr>
            <w:r>
              <w:rPr>
                <w:rFonts w:ascii="Calibri" w:hAnsi="Calibri"/>
                <w:sz w:val="19"/>
              </w:rPr>
              <w:t>GSM8K → ARC</w:t>
            </w:r>
          </w:p>
        </w:tc>
        <w:tc>
          <w:tcPr>
            <w:tcW w:type="dxa" w:w="1440"/>
            <w:shd w:fill="FFFFFF"/>
            <w:tcMar>
              <w:top w:w="100" w:type="dxa"/>
              <w:bottom w:w="100" w:type="dxa"/>
              <w:left w:w="160" w:type="dxa"/>
              <w:right w:w="160" w:type="dxa"/>
            </w:tcMar>
            <w:vAlign w:val="center"/>
          </w:tcPr>
          <w:p>
            <w:pPr>
              <w:jc w:val="center"/>
            </w:pPr>
            <w:r>
              <w:rPr>
                <w:rFonts w:ascii="Calibri" w:hAnsi="Calibri"/>
                <w:sz w:val="19"/>
              </w:rPr>
              <w:t>1,000</w:t>
            </w:r>
          </w:p>
        </w:tc>
        <w:tc>
          <w:tcPr>
            <w:tcW w:type="dxa" w:w="1584"/>
            <w:shd w:fill="FFFFFF"/>
            <w:tcMar>
              <w:top w:w="100" w:type="dxa"/>
              <w:bottom w:w="100" w:type="dxa"/>
              <w:left w:w="160" w:type="dxa"/>
              <w:right w:w="160" w:type="dxa"/>
            </w:tcMar>
            <w:vAlign w:val="center"/>
          </w:tcPr>
          <w:p>
            <w:pPr>
              <w:jc w:val="center"/>
            </w:pPr>
            <w:r>
              <w:rPr>
                <w:rFonts w:ascii="Calibri" w:hAnsi="Calibri"/>
                <w:sz w:val="19"/>
              </w:rPr>
              <w:t>18.8% → 17.2%</w:t>
            </w:r>
          </w:p>
        </w:tc>
        <w:tc>
          <w:tcPr>
            <w:tcW w:type="dxa" w:w="1440"/>
            <w:shd w:fill="FFFFFF"/>
            <w:tcMar>
              <w:top w:w="100" w:type="dxa"/>
              <w:bottom w:w="100" w:type="dxa"/>
              <w:left w:w="160" w:type="dxa"/>
              <w:right w:w="160" w:type="dxa"/>
            </w:tcMar>
            <w:vAlign w:val="center"/>
          </w:tcPr>
          <w:p>
            <w:pPr>
              <w:jc w:val="center"/>
            </w:pPr>
            <w:r>
              <w:rPr>
                <w:rFonts w:ascii="Calibri" w:hAnsi="Calibri"/>
                <w:sz w:val="19"/>
              </w:rPr>
              <w:t>75.8%</w:t>
            </w:r>
          </w:p>
        </w:tc>
        <w:tc>
          <w:tcPr>
            <w:tcW w:type="dxa" w:w="1584"/>
            <w:shd w:fill="FFFFFF"/>
            <w:tcMar>
              <w:top w:w="100" w:type="dxa"/>
              <w:bottom w:w="100" w:type="dxa"/>
              <w:left w:w="160" w:type="dxa"/>
              <w:right w:w="160" w:type="dxa"/>
            </w:tcMar>
            <w:vAlign w:val="center"/>
          </w:tcPr>
          <w:p>
            <w:pPr>
              <w:jc w:val="center"/>
            </w:pPr>
            <w:r>
              <w:rPr>
                <w:rFonts w:ascii="Calibri" w:hAnsi="Calibri"/>
                <w:sz w:val="19"/>
              </w:rPr>
              <w:t>46.48%</w:t>
            </w:r>
          </w:p>
        </w:tc>
      </w:tr>
      <w:tr>
        <w:tc>
          <w:tcPr>
            <w:tcW w:type="dxa" w:w="2592"/>
            <w:shd w:fill="F8FAFC"/>
            <w:tcMar>
              <w:top w:w="100" w:type="dxa"/>
              <w:bottom w:w="100" w:type="dxa"/>
              <w:left w:w="160" w:type="dxa"/>
              <w:right w:w="160" w:type="dxa"/>
            </w:tcMar>
            <w:vAlign w:val="center"/>
          </w:tcPr>
          <w:p>
            <w:pPr>
              <w:jc w:val="left"/>
            </w:pPr>
            <w:r>
              <w:rPr>
                <w:rFonts w:ascii="Calibri" w:hAnsi="Calibri"/>
                <w:sz w:val="19"/>
              </w:rPr>
              <w:t>Pilot 2 (Phase 2 Deep)</w:t>
            </w:r>
          </w:p>
        </w:tc>
        <w:tc>
          <w:tcPr>
            <w:tcW w:type="dxa" w:w="1728"/>
            <w:shd w:fill="F8FAFC"/>
            <w:tcMar>
              <w:top w:w="100" w:type="dxa"/>
              <w:bottom w:w="100" w:type="dxa"/>
              <w:left w:w="160" w:type="dxa"/>
              <w:right w:w="160" w:type="dxa"/>
            </w:tcMar>
            <w:vAlign w:val="center"/>
          </w:tcPr>
          <w:p>
            <w:pPr>
              <w:jc w:val="center"/>
            </w:pPr>
            <w:r>
              <w:rPr>
                <w:rFonts w:ascii="Calibri" w:hAnsi="Calibri"/>
                <w:sz w:val="19"/>
              </w:rPr>
              <w:t>MBPP → GSM8K</w:t>
            </w:r>
          </w:p>
        </w:tc>
        <w:tc>
          <w:tcPr>
            <w:tcW w:type="dxa" w:w="1440"/>
            <w:shd w:fill="F8FAFC"/>
            <w:tcMar>
              <w:top w:w="100" w:type="dxa"/>
              <w:bottom w:w="100" w:type="dxa"/>
              <w:left w:w="160" w:type="dxa"/>
              <w:right w:w="160" w:type="dxa"/>
            </w:tcMar>
            <w:vAlign w:val="center"/>
          </w:tcPr>
          <w:p>
            <w:pPr>
              <w:jc w:val="center"/>
            </w:pPr>
            <w:r>
              <w:rPr>
                <w:rFonts w:ascii="Calibri" w:hAnsi="Calibri"/>
                <w:sz w:val="19"/>
              </w:rPr>
              <w:t>1,000</w:t>
            </w:r>
          </w:p>
        </w:tc>
        <w:tc>
          <w:tcPr>
            <w:tcW w:type="dxa" w:w="1584"/>
            <w:shd w:fill="F8FAFC"/>
            <w:tcMar>
              <w:top w:w="100" w:type="dxa"/>
              <w:bottom w:w="100" w:type="dxa"/>
              <w:left w:w="160" w:type="dxa"/>
              <w:right w:w="160" w:type="dxa"/>
            </w:tcMar>
            <w:vAlign w:val="center"/>
          </w:tcPr>
          <w:p>
            <w:pPr>
              <w:jc w:val="center"/>
            </w:pPr>
            <w:r>
              <w:rPr>
                <w:rFonts w:ascii="Calibri" w:hAnsi="Calibri"/>
                <w:sz w:val="19"/>
              </w:rPr>
              <w:t>4.9% → 6.3%</w:t>
            </w:r>
          </w:p>
        </w:tc>
        <w:tc>
          <w:tcPr>
            <w:tcW w:type="dxa" w:w="1440"/>
            <w:shd w:fill="F8FAFC"/>
            <w:tcMar>
              <w:top w:w="100" w:type="dxa"/>
              <w:bottom w:w="100" w:type="dxa"/>
              <w:left w:w="160" w:type="dxa"/>
              <w:right w:w="160" w:type="dxa"/>
            </w:tcMar>
            <w:vAlign w:val="center"/>
          </w:tcPr>
          <w:p>
            <w:pPr>
              <w:jc w:val="center"/>
            </w:pPr>
            <w:r>
              <w:rPr>
                <w:rFonts w:ascii="Calibri" w:hAnsi="Calibri"/>
                <w:sz w:val="19"/>
              </w:rPr>
              <w:t>26.6%</w:t>
            </w:r>
          </w:p>
        </w:tc>
        <w:tc>
          <w:tcPr>
            <w:tcW w:type="dxa" w:w="1584"/>
            <w:shd w:fill="F8FAFC"/>
            <w:tcMar>
              <w:top w:w="100" w:type="dxa"/>
              <w:bottom w:w="100" w:type="dxa"/>
              <w:left w:w="160" w:type="dxa"/>
              <w:right w:w="160" w:type="dxa"/>
            </w:tcMar>
            <w:vAlign w:val="center"/>
          </w:tcPr>
          <w:p>
            <w:pPr>
              <w:jc w:val="center"/>
            </w:pPr>
            <w:r>
              <w:rPr>
                <w:rFonts w:ascii="Calibri" w:hAnsi="Calibri"/>
                <w:sz w:val="19"/>
              </w:rPr>
              <w:t>16.41%</w:t>
            </w:r>
          </w:p>
        </w:tc>
      </w:tr>
      <w:tr>
        <w:tc>
          <w:tcPr>
            <w:tcW w:type="dxa" w:w="2592"/>
            <w:shd w:fill="FFFFFF"/>
            <w:tcMar>
              <w:top w:w="100" w:type="dxa"/>
              <w:bottom w:w="100" w:type="dxa"/>
              <w:left w:w="160" w:type="dxa"/>
              <w:right w:w="160" w:type="dxa"/>
            </w:tcMar>
            <w:vAlign w:val="center"/>
          </w:tcPr>
          <w:p>
            <w:pPr>
              <w:jc w:val="left"/>
            </w:pPr>
            <w:r>
              <w:rPr>
                <w:rFonts w:ascii="Calibri" w:hAnsi="Calibri"/>
                <w:sz w:val="19"/>
              </w:rPr>
              <w:t>Overnight Baseline</w:t>
            </w:r>
          </w:p>
        </w:tc>
        <w:tc>
          <w:tcPr>
            <w:tcW w:type="dxa" w:w="1728"/>
            <w:shd w:fill="FFFFFF"/>
            <w:tcMar>
              <w:top w:w="100" w:type="dxa"/>
              <w:bottom w:w="100" w:type="dxa"/>
              <w:left w:w="160" w:type="dxa"/>
              <w:right w:w="160" w:type="dxa"/>
            </w:tcMar>
            <w:vAlign w:val="center"/>
          </w:tcPr>
          <w:p>
            <w:pPr>
              <w:jc w:val="center"/>
            </w:pPr>
            <w:r>
              <w:rPr>
                <w:rFonts w:ascii="Calibri" w:hAnsi="Calibri"/>
                <w:sz w:val="19"/>
              </w:rPr>
              <w:t>ARC → GSM8K</w:t>
            </w:r>
          </w:p>
        </w:tc>
        <w:tc>
          <w:tcPr>
            <w:tcW w:type="dxa" w:w="1440"/>
            <w:shd w:fill="FFFFFF"/>
            <w:tcMar>
              <w:top w:w="100" w:type="dxa"/>
              <w:bottom w:w="100" w:type="dxa"/>
              <w:left w:w="160" w:type="dxa"/>
              <w:right w:w="160" w:type="dxa"/>
            </w:tcMar>
            <w:vAlign w:val="center"/>
          </w:tcPr>
          <w:p>
            <w:pPr>
              <w:jc w:val="center"/>
            </w:pPr>
            <w:r>
              <w:rPr>
                <w:rFonts w:ascii="Calibri" w:hAnsi="Calibri"/>
                <w:sz w:val="19"/>
              </w:rPr>
              <w:t>200</w:t>
            </w:r>
          </w:p>
        </w:tc>
        <w:tc>
          <w:tcPr>
            <w:tcW w:type="dxa" w:w="1584"/>
            <w:shd w:fill="FFFFFF"/>
            <w:tcMar>
              <w:top w:w="100" w:type="dxa"/>
              <w:bottom w:w="100" w:type="dxa"/>
              <w:left w:w="160" w:type="dxa"/>
              <w:right w:w="160" w:type="dxa"/>
            </w:tcMar>
            <w:vAlign w:val="center"/>
          </w:tcPr>
          <w:p>
            <w:pPr>
              <w:jc w:val="center"/>
            </w:pPr>
            <w:r>
              <w:rPr>
                <w:rFonts w:ascii="Calibri" w:hAnsi="Calibri"/>
                <w:sz w:val="19"/>
              </w:rPr>
              <w:t>76.6% → 76.6%</w:t>
            </w:r>
          </w:p>
        </w:tc>
        <w:tc>
          <w:tcPr>
            <w:tcW w:type="dxa" w:w="1440"/>
            <w:shd w:fill="FFFFFF"/>
            <w:tcMar>
              <w:top w:w="100" w:type="dxa"/>
              <w:bottom w:w="100" w:type="dxa"/>
              <w:left w:w="160" w:type="dxa"/>
              <w:right w:w="160" w:type="dxa"/>
            </w:tcMar>
            <w:vAlign w:val="center"/>
          </w:tcPr>
          <w:p>
            <w:pPr>
              <w:jc w:val="center"/>
            </w:pPr>
            <w:r>
              <w:rPr>
                <w:rFonts w:ascii="Calibri" w:hAnsi="Calibri"/>
                <w:sz w:val="19"/>
              </w:rPr>
              <w:t>1.56%</w:t>
            </w:r>
          </w:p>
        </w:tc>
        <w:tc>
          <w:tcPr>
            <w:tcW w:type="dxa" w:w="1584"/>
            <w:shd w:fill="FFFFFF"/>
            <w:tcMar>
              <w:top w:w="100" w:type="dxa"/>
              <w:bottom w:w="100" w:type="dxa"/>
              <w:left w:w="160" w:type="dxa"/>
              <w:right w:w="160" w:type="dxa"/>
            </w:tcMar>
            <w:vAlign w:val="center"/>
          </w:tcPr>
          <w:p>
            <w:pPr>
              <w:jc w:val="center"/>
            </w:pPr>
            <w:r>
              <w:rPr>
                <w:rFonts w:ascii="Calibri" w:hAnsi="Calibri"/>
                <w:sz w:val="19"/>
              </w:rPr>
              <w:t>39.06%</w:t>
            </w:r>
          </w:p>
        </w:tc>
      </w:tr>
      <w:tr>
        <w:tc>
          <w:tcPr>
            <w:tcW w:type="dxa" w:w="2592"/>
            <w:shd w:fill="F8FAFC"/>
            <w:tcMar>
              <w:top w:w="100" w:type="dxa"/>
              <w:bottom w:w="100" w:type="dxa"/>
              <w:left w:w="160" w:type="dxa"/>
              <w:right w:w="160" w:type="dxa"/>
            </w:tcMar>
            <w:vAlign w:val="center"/>
          </w:tcPr>
          <w:p>
            <w:pPr>
              <w:jc w:val="left"/>
            </w:pPr>
            <w:r>
              <w:rPr>
                <w:rFonts w:ascii="Calibri" w:hAnsi="Calibri"/>
                <w:sz w:val="19"/>
              </w:rPr>
              <w:t>Overnight HLoRA-RL</w:t>
            </w:r>
          </w:p>
        </w:tc>
        <w:tc>
          <w:tcPr>
            <w:tcW w:type="dxa" w:w="1728"/>
            <w:shd w:fill="F8FAFC"/>
            <w:tcMar>
              <w:top w:w="100" w:type="dxa"/>
              <w:bottom w:w="100" w:type="dxa"/>
              <w:left w:w="160" w:type="dxa"/>
              <w:right w:w="160" w:type="dxa"/>
            </w:tcMar>
            <w:vAlign w:val="center"/>
          </w:tcPr>
          <w:p>
            <w:pPr>
              <w:jc w:val="center"/>
            </w:pPr>
            <w:r>
              <w:rPr>
                <w:rFonts w:ascii="Calibri" w:hAnsi="Calibri"/>
                <w:sz w:val="19"/>
              </w:rPr>
              <w:t>ARC → GSM8K</w:t>
            </w:r>
          </w:p>
        </w:tc>
        <w:tc>
          <w:tcPr>
            <w:tcW w:type="dxa" w:w="1440"/>
            <w:shd w:fill="F8FAFC"/>
            <w:tcMar>
              <w:top w:w="100" w:type="dxa"/>
              <w:bottom w:w="100" w:type="dxa"/>
              <w:left w:w="160" w:type="dxa"/>
              <w:right w:w="160" w:type="dxa"/>
            </w:tcMar>
            <w:vAlign w:val="center"/>
          </w:tcPr>
          <w:p>
            <w:pPr>
              <w:jc w:val="center"/>
            </w:pPr>
            <w:r>
              <w:rPr>
                <w:rFonts w:ascii="Calibri" w:hAnsi="Calibri"/>
                <w:sz w:val="19"/>
              </w:rPr>
              <w:t>200</w:t>
            </w:r>
          </w:p>
        </w:tc>
        <w:tc>
          <w:tcPr>
            <w:tcW w:type="dxa" w:w="1584"/>
            <w:shd w:fill="F8FAFC"/>
            <w:tcMar>
              <w:top w:w="100" w:type="dxa"/>
              <w:bottom w:w="100" w:type="dxa"/>
              <w:left w:w="160" w:type="dxa"/>
              <w:right w:w="160" w:type="dxa"/>
            </w:tcMar>
            <w:vAlign w:val="center"/>
          </w:tcPr>
          <w:p>
            <w:pPr>
              <w:jc w:val="center"/>
            </w:pPr>
            <w:r>
              <w:rPr>
                <w:rFonts w:ascii="Calibri" w:hAnsi="Calibri"/>
                <w:sz w:val="19"/>
              </w:rPr>
              <w:t>76.6% → 75.0%</w:t>
            </w:r>
          </w:p>
        </w:tc>
        <w:tc>
          <w:tcPr>
            <w:tcW w:type="dxa" w:w="1440"/>
            <w:shd w:fill="F8FAFC"/>
            <w:tcMar>
              <w:top w:w="100" w:type="dxa"/>
              <w:bottom w:w="100" w:type="dxa"/>
              <w:left w:w="160" w:type="dxa"/>
              <w:right w:w="160" w:type="dxa"/>
            </w:tcMar>
            <w:vAlign w:val="center"/>
          </w:tcPr>
          <w:p>
            <w:pPr>
              <w:jc w:val="center"/>
            </w:pPr>
            <w:r>
              <w:rPr>
                <w:rFonts w:ascii="Calibri" w:hAnsi="Calibri"/>
                <w:sz w:val="19"/>
              </w:rPr>
              <w:t>15.62%</w:t>
            </w:r>
          </w:p>
        </w:tc>
        <w:tc>
          <w:tcPr>
            <w:tcW w:type="dxa" w:w="1584"/>
            <w:shd w:fill="F8FAFC"/>
            <w:tcMar>
              <w:top w:w="100" w:type="dxa"/>
              <w:bottom w:w="100" w:type="dxa"/>
              <w:left w:w="160" w:type="dxa"/>
              <w:right w:w="160" w:type="dxa"/>
            </w:tcMar>
            <w:vAlign w:val="center"/>
          </w:tcPr>
          <w:p>
            <w:pPr>
              <w:jc w:val="center"/>
            </w:pPr>
            <w:r>
              <w:rPr>
                <w:rFonts w:ascii="Calibri" w:hAnsi="Calibri"/>
                <w:sz w:val="19"/>
              </w:rPr>
              <w:t>45.31%</w:t>
            </w:r>
          </w:p>
        </w:tc>
      </w:tr>
      <w:tr>
        <w:tc>
          <w:tcPr>
            <w:tcW w:type="dxa" w:w="2592"/>
            <w:shd w:fill="FFFFFF"/>
            <w:tcMar>
              <w:top w:w="100" w:type="dxa"/>
              <w:bottom w:w="100" w:type="dxa"/>
              <w:left w:w="160" w:type="dxa"/>
              <w:right w:w="160" w:type="dxa"/>
            </w:tcMar>
            <w:vAlign w:val="center"/>
          </w:tcPr>
          <w:p>
            <w:pPr>
              <w:jc w:val="left"/>
            </w:pPr>
            <w:r>
              <w:rPr>
                <w:rFonts w:ascii="Calibri" w:hAnsi="Calibri"/>
                <w:sz w:val="19"/>
              </w:rPr>
              <w:t>Scaled Baseline (150s)</w:t>
            </w:r>
          </w:p>
        </w:tc>
        <w:tc>
          <w:tcPr>
            <w:tcW w:type="dxa" w:w="1728"/>
            <w:shd w:fill="FFFFFF"/>
            <w:tcMar>
              <w:top w:w="100" w:type="dxa"/>
              <w:bottom w:w="100" w:type="dxa"/>
              <w:left w:w="160" w:type="dxa"/>
              <w:right w:w="160" w:type="dxa"/>
            </w:tcMar>
            <w:vAlign w:val="center"/>
          </w:tcPr>
          <w:p>
            <w:pPr>
              <w:jc w:val="center"/>
            </w:pPr>
            <w:r>
              <w:rPr>
                <w:rFonts w:ascii="Calibri" w:hAnsi="Calibri"/>
                <w:sz w:val="19"/>
              </w:rPr>
              <w:t>ARC → GSM8K</w:t>
            </w:r>
          </w:p>
        </w:tc>
        <w:tc>
          <w:tcPr>
            <w:tcW w:type="dxa" w:w="1440"/>
            <w:shd w:fill="FFFFFF"/>
            <w:tcMar>
              <w:top w:w="100" w:type="dxa"/>
              <w:bottom w:w="100" w:type="dxa"/>
              <w:left w:w="160" w:type="dxa"/>
              <w:right w:w="160" w:type="dxa"/>
            </w:tcMar>
            <w:vAlign w:val="center"/>
          </w:tcPr>
          <w:p>
            <w:pPr>
              <w:jc w:val="center"/>
            </w:pPr>
            <w:r>
              <w:rPr>
                <w:rFonts w:ascii="Calibri" w:hAnsi="Calibri"/>
                <w:sz w:val="19"/>
              </w:rPr>
              <w:t>300</w:t>
            </w:r>
          </w:p>
        </w:tc>
        <w:tc>
          <w:tcPr>
            <w:tcW w:type="dxa" w:w="1584"/>
            <w:shd w:fill="FFFFFF"/>
            <w:tcMar>
              <w:top w:w="100" w:type="dxa"/>
              <w:bottom w:w="100" w:type="dxa"/>
              <w:left w:w="160" w:type="dxa"/>
              <w:right w:w="160" w:type="dxa"/>
            </w:tcMar>
            <w:vAlign w:val="center"/>
          </w:tcPr>
          <w:p>
            <w:pPr>
              <w:jc w:val="center"/>
            </w:pPr>
            <w:r>
              <w:rPr>
                <w:rFonts w:ascii="Calibri" w:hAnsi="Calibri"/>
                <w:sz w:val="19"/>
              </w:rPr>
              <w:t>82.8% → 79.7%</w:t>
            </w:r>
          </w:p>
        </w:tc>
        <w:tc>
          <w:tcPr>
            <w:tcW w:type="dxa" w:w="1440"/>
            <w:shd w:fill="FFFFFF"/>
            <w:tcMar>
              <w:top w:w="100" w:type="dxa"/>
              <w:bottom w:w="100" w:type="dxa"/>
              <w:left w:w="160" w:type="dxa"/>
              <w:right w:w="160" w:type="dxa"/>
            </w:tcMar>
            <w:vAlign w:val="center"/>
          </w:tcPr>
          <w:p>
            <w:pPr>
              <w:jc w:val="center"/>
            </w:pPr>
            <w:r>
              <w:rPr>
                <w:rFonts w:ascii="Calibri" w:hAnsi="Calibri"/>
                <w:sz w:val="19"/>
              </w:rPr>
              <w:t>3.12%</w:t>
            </w:r>
          </w:p>
        </w:tc>
        <w:tc>
          <w:tcPr>
            <w:tcW w:type="dxa" w:w="1584"/>
            <w:shd w:fill="FFFFFF"/>
            <w:tcMar>
              <w:top w:w="100" w:type="dxa"/>
              <w:bottom w:w="100" w:type="dxa"/>
              <w:left w:w="160" w:type="dxa"/>
              <w:right w:w="160" w:type="dxa"/>
            </w:tcMar>
            <w:vAlign w:val="center"/>
          </w:tcPr>
          <w:p>
            <w:pPr>
              <w:jc w:val="center"/>
            </w:pPr>
            <w:r>
              <w:rPr>
                <w:rFonts w:ascii="Calibri" w:hAnsi="Calibri"/>
                <w:sz w:val="19"/>
              </w:rPr>
              <w:t>41.41%</w:t>
            </w:r>
          </w:p>
        </w:tc>
      </w:tr>
      <w:tr>
        <w:tc>
          <w:tcPr>
            <w:tcW w:type="dxa" w:w="2592"/>
            <w:shd w:fill="F8FAFC"/>
            <w:tcMar>
              <w:top w:w="100" w:type="dxa"/>
              <w:bottom w:w="100" w:type="dxa"/>
              <w:left w:w="160" w:type="dxa"/>
              <w:right w:w="160" w:type="dxa"/>
            </w:tcMar>
            <w:vAlign w:val="center"/>
          </w:tcPr>
          <w:p>
            <w:pPr>
              <w:jc w:val="left"/>
            </w:pPr>
            <w:r>
              <w:rPr>
                <w:rFonts w:ascii="Calibri" w:hAnsi="Calibri"/>
                <w:sz w:val="19"/>
              </w:rPr>
              <w:t>Scaled HLoRA-RL (150s)</w:t>
            </w:r>
          </w:p>
        </w:tc>
        <w:tc>
          <w:tcPr>
            <w:tcW w:type="dxa" w:w="1728"/>
            <w:shd w:fill="F8FAFC"/>
            <w:tcMar>
              <w:top w:w="100" w:type="dxa"/>
              <w:bottom w:w="100" w:type="dxa"/>
              <w:left w:w="160" w:type="dxa"/>
              <w:right w:w="160" w:type="dxa"/>
            </w:tcMar>
            <w:vAlign w:val="center"/>
          </w:tcPr>
          <w:p>
            <w:pPr>
              <w:jc w:val="center"/>
            </w:pPr>
            <w:r>
              <w:rPr>
                <w:rFonts w:ascii="Calibri" w:hAnsi="Calibri"/>
                <w:sz w:val="19"/>
              </w:rPr>
              <w:t>ARC → GSM8K</w:t>
            </w:r>
          </w:p>
        </w:tc>
        <w:tc>
          <w:tcPr>
            <w:tcW w:type="dxa" w:w="1440"/>
            <w:shd w:fill="F8FAFC"/>
            <w:tcMar>
              <w:top w:w="100" w:type="dxa"/>
              <w:bottom w:w="100" w:type="dxa"/>
              <w:left w:w="160" w:type="dxa"/>
              <w:right w:w="160" w:type="dxa"/>
            </w:tcMar>
            <w:vAlign w:val="center"/>
          </w:tcPr>
          <w:p>
            <w:pPr>
              <w:jc w:val="center"/>
            </w:pPr>
            <w:r>
              <w:rPr>
                <w:rFonts w:ascii="Calibri" w:hAnsi="Calibri"/>
                <w:sz w:val="19"/>
              </w:rPr>
              <w:t>300</w:t>
            </w:r>
          </w:p>
        </w:tc>
        <w:tc>
          <w:tcPr>
            <w:tcW w:type="dxa" w:w="1584"/>
            <w:shd w:fill="F8FAFC"/>
            <w:tcMar>
              <w:top w:w="100" w:type="dxa"/>
              <w:bottom w:w="100" w:type="dxa"/>
              <w:left w:w="160" w:type="dxa"/>
              <w:right w:w="160" w:type="dxa"/>
            </w:tcMar>
            <w:vAlign w:val="center"/>
          </w:tcPr>
          <w:p>
            <w:pPr>
              <w:jc w:val="center"/>
            </w:pPr>
            <w:r>
              <w:rPr>
                <w:rFonts w:ascii="Calibri" w:hAnsi="Calibri"/>
                <w:sz w:val="19"/>
              </w:rPr>
              <w:t>82.8% → 79.7%</w:t>
            </w:r>
          </w:p>
        </w:tc>
        <w:tc>
          <w:tcPr>
            <w:tcW w:type="dxa" w:w="1440"/>
            <w:shd w:fill="F8FAFC"/>
            <w:tcMar>
              <w:top w:w="100" w:type="dxa"/>
              <w:bottom w:w="100" w:type="dxa"/>
              <w:left w:w="160" w:type="dxa"/>
              <w:right w:w="160" w:type="dxa"/>
            </w:tcMar>
            <w:vAlign w:val="center"/>
          </w:tcPr>
          <w:p>
            <w:pPr>
              <w:jc w:val="center"/>
            </w:pPr>
            <w:r>
              <w:rPr>
                <w:rFonts w:ascii="Calibri" w:hAnsi="Calibri"/>
                <w:sz w:val="19"/>
              </w:rPr>
              <w:t>32.81%</w:t>
            </w:r>
          </w:p>
        </w:tc>
        <w:tc>
          <w:tcPr>
            <w:tcW w:type="dxa" w:w="1584"/>
            <w:shd w:fill="DCFCE7"/>
            <w:tcMar>
              <w:top w:w="100" w:type="dxa"/>
              <w:bottom w:w="100" w:type="dxa"/>
              <w:left w:w="160" w:type="dxa"/>
              <w:right w:w="160" w:type="dxa"/>
            </w:tcMar>
            <w:vAlign w:val="center"/>
          </w:tcPr>
          <w:p>
            <w:pPr>
              <w:jc w:val="center"/>
            </w:pPr>
            <w:r>
              <w:rPr>
                <w:rFonts w:ascii="Calibri" w:hAnsi="Calibri"/>
                <w:b/>
                <w:color w:val="15803D"/>
                <w:sz w:val="19"/>
              </w:rPr>
              <w:t>56.25% (Best)</w:t>
            </w:r>
          </w:p>
        </w:tc>
      </w:tr>
    </w:tbl>
    <w:p>
      <w:pPr>
        <w:spacing w:after="120"/>
      </w:pPr>
    </w:p>
    <w:p>
      <w:pPr>
        <w:spacing w:before="320" w:after="80"/>
      </w:pPr>
      <w:r>
        <w:rPr>
          <w:rFonts w:ascii="Calibri" w:hAnsi="Calibri"/>
          <w:b/>
          <w:color w:val="1F4E79"/>
          <w:sz w:val="28"/>
        </w:rPr>
        <w:t>10. Data Analysis &amp; In-Depth Scientific Discussion</w:t>
      </w:r>
    </w:p>
    <w:p>
      <w:pPr>
        <w:spacing w:before="240" w:after="60"/>
      </w:pPr>
      <w:r>
        <w:rPr>
          <w:rFonts w:ascii="Calibri" w:hAnsi="Calibri"/>
          <w:b/>
          <w:color w:val="2563EB"/>
          <w:sz w:val="23"/>
        </w:rPr>
        <w:t>10.1 The Myth of 'Zero Forgetting' in Stalled Baselines</w:t>
      </w:r>
    </w:p>
    <w:p>
      <w:pPr>
        <w:spacing w:after="120" w:line="276" w:lineRule="auto"/>
      </w:pPr>
      <w:r>
        <w:rPr>
          <w:rFonts w:ascii="Calibri" w:hAnsi="Calibri"/>
          <w:color w:val="0F172A"/>
          <w:sz w:val="20"/>
        </w:rPr>
        <w:t>A critical finding from our empirical trajectory analysis is the resolution of the 'Trivial Retention' artifact. In the 100-step overnight baseline, Standard RL-LoRA exhibited 0.00 pp forgetting on ARC-Challenge (76.56% → 76.56%). However, this retention occurred solely because the baseline failed to adapt to Task 2 (scoring only 1.56% on GSM8K). When scaled to 150 steps, the baseline remained trapped at 3.12% on GSM8K. A policy that cannot learn new tasks trivially preserves prior representations—this is an optimization collapse, not a continual learning success.</w:t>
      </w:r>
    </w:p>
    <w:p>
      <w:pPr>
        <w:spacing w:before="240" w:after="60"/>
      </w:pPr>
      <w:r>
        <w:rPr>
          <w:rFonts w:ascii="Calibri" w:hAnsi="Calibri"/>
          <w:b/>
          <w:color w:val="2563EB"/>
          <w:sz w:val="23"/>
        </w:rPr>
        <w:t>10.2 Explosive Plasticity via Manifold Regularization</w:t>
      </w:r>
    </w:p>
    <w:p>
      <w:pPr>
        <w:spacing w:after="120" w:line="276" w:lineRule="auto"/>
      </w:pPr>
      <w:r>
        <w:rPr>
          <w:rFonts w:ascii="Calibri" w:hAnsi="Calibri"/>
          <w:color w:val="0F172A"/>
          <w:sz w:val="20"/>
        </w:rPr>
        <w:t>By contrast, HLoRA-RL unlocked massive plasticity on Task 2: GSM8K accuracy leaped from 15.62% at 100 steps to 32.81% at 150 steps (a 10.5x advantage over baseline). Because the path-integral energy tensor regularized only the critical eigenvectors of Task 1, the policy was able to traverse orthogonal parameter directions unimpeded, achieving both high plasticity and strong stability (79.69% science retained).</w:t>
      </w:r>
    </w:p>
    <w:p>
      <w:pPr>
        <w:spacing w:before="240" w:after="60"/>
      </w:pPr>
      <w:r>
        <w:rPr>
          <w:rFonts w:ascii="Calibri" w:hAnsi="Calibri"/>
          <w:b/>
          <w:color w:val="2563EB"/>
          <w:sz w:val="23"/>
        </w:rPr>
        <w:t>10.3 Super-Additive Generalization across Held-Out Benchmarks</w:t>
      </w:r>
    </w:p>
    <w:p>
      <w:pPr>
        <w:spacing w:after="120" w:line="276" w:lineRule="auto"/>
      </w:pPr>
      <w:r>
        <w:rPr>
          <w:rFonts w:ascii="Calibri" w:hAnsi="Calibri"/>
          <w:color w:val="0F172A"/>
          <w:sz w:val="20"/>
        </w:rPr>
        <w:t>Imposing effective-weight regularization prevented the policy from overfitting to narrow task-reward shortcuts. This resulted in dramatic positive transfer on held-out capabilities: HellaSwag commonsense reasoning surged to 43.75% (vs. 23.44% in baseline) and ARC-Easy reached 82.81% (vs. 70.31% in baseline), while WikiText perplexity remained rock-solid at 20.77.</w:t>
      </w:r>
    </w:p>
    <w:p>
      <w:pPr>
        <w:spacing w:before="320" w:after="80"/>
      </w:pPr>
      <w:r>
        <w:rPr>
          <w:rFonts w:ascii="Calibri" w:hAnsi="Calibri"/>
          <w:b/>
          <w:color w:val="1F4E79"/>
          <w:sz w:val="28"/>
        </w:rPr>
        <w:t>11. Future Work &amp; Research Extensions</w:t>
      </w:r>
    </w:p>
    <w:p>
      <w:pPr>
        <w:spacing w:after="120" w:line="276" w:lineRule="auto"/>
      </w:pPr>
      <w:r>
        <w:rPr>
          <w:rFonts w:ascii="Calibri" w:hAnsi="Calibri"/>
          <w:color w:val="0F172A"/>
          <w:sz w:val="20"/>
        </w:rPr>
        <w:t>The findings established in RAHC-LoRA provide a foundation for several promising research directions:</w:t>
        <w:br/>
        <w:t>1. Backbone Scaling: Extending the RAHC-LoRA framework to 7B, 14B, and 70B parameter models (e.g. Qwen2.5-7B, Llama-3-70B) to study how parameter redundancy impacts gradient interference.</w:t>
        <w:br/>
        <w:t>2. Dynamic Lambda Adaptation: Implementing adaptive regularization strength λ based on real-time cosine similarity between incoming task gradients and consolidated importance eigenvectors.</w:t>
        <w:br/>
        <w:t>3. Long-Horizon Agentic Environments: Evaluating continual RL on multi-turn software engineering tasks (SWE-bench) and interactive web navigation (WebArena).</w:t>
        <w:br/>
        <w:t>4. Multi-Modal Expansion: Extending effective-weight consolidation to Vision-Language Models (VLMs) across visual reasoning and text domains.</w:t>
      </w:r>
    </w:p>
    <w:p>
      <w:pPr>
        <w:spacing w:before="320" w:after="80"/>
      </w:pPr>
      <w:r>
        <w:rPr>
          <w:rFonts w:ascii="Calibri" w:hAnsi="Calibri"/>
          <w:b/>
          <w:color w:val="1F4E79"/>
          <w:sz w:val="28"/>
        </w:rPr>
        <w:t>12. References</w:t>
      </w:r>
    </w:p>
    <w:p>
      <w:pPr>
        <w:spacing w:after="80" w:line="276" w:lineRule="auto"/>
      </w:pPr>
      <w:r>
        <w:rPr>
          <w:rFonts w:ascii="Calibri" w:hAnsi="Calibri"/>
          <w:color w:val="0F172A"/>
          <w:sz w:val="20"/>
        </w:rPr>
        <w:t>1. Hu, E. J., Shen, Y., Wallis, P., Allen-Zhu, Z., Li, Y., Wang, S., Wang, L., &amp; Chen, W. (2021). LoRA: Low-Rank Adaptation of Large Language Models. arXiv preprint arXiv:2106.09685.</w:t>
      </w:r>
    </w:p>
    <w:p>
      <w:pPr>
        <w:spacing w:after="80" w:line="276" w:lineRule="auto"/>
      </w:pPr>
      <w:r>
        <w:rPr>
          <w:rFonts w:ascii="Calibri" w:hAnsi="Calibri"/>
          <w:color w:val="0F172A"/>
          <w:sz w:val="20"/>
        </w:rPr>
        <w:t>2. Schulman, J., Wolski, F., Dhariwal, P., Radford, A., &amp; Klimov, O. (2017). Proximal Policy Optimization Algorithms. arXiv preprint arXiv:1707.06347.</w:t>
      </w:r>
    </w:p>
    <w:p>
      <w:pPr>
        <w:spacing w:after="80" w:line="276" w:lineRule="auto"/>
      </w:pPr>
      <w:r>
        <w:rPr>
          <w:rFonts w:ascii="Calibri" w:hAnsi="Calibri"/>
          <w:color w:val="0F172A"/>
          <w:sz w:val="20"/>
        </w:rPr>
        <w:t>3. Shao, Z., Lai, Y., Shen, Y., et al. (2024). DeepSeekMath: Pushing the Limits of Mathematical Reasoning in Open Language Models. arXiv preprint arXiv:2402.03300.</w:t>
      </w:r>
    </w:p>
    <w:p>
      <w:pPr>
        <w:spacing w:after="80" w:line="276" w:lineRule="auto"/>
      </w:pPr>
      <w:r>
        <w:rPr>
          <w:rFonts w:ascii="Calibri" w:hAnsi="Calibri"/>
          <w:color w:val="0F172A"/>
          <w:sz w:val="20"/>
        </w:rPr>
        <w:t>4. Kirkpatrick, J., Pascanu, R., Rabinowitz, N., et al. (2017). Overcoming catastrophic forgetting in neural networks. Proceedings of the National Academy of Sciences (PNAS), 114(13), 3521-3526.</w:t>
      </w:r>
    </w:p>
    <w:p>
      <w:pPr>
        <w:spacing w:after="80" w:line="276" w:lineRule="auto"/>
      </w:pPr>
      <w:r>
        <w:rPr>
          <w:rFonts w:ascii="Calibri" w:hAnsi="Calibri"/>
          <w:color w:val="0F172A"/>
          <w:sz w:val="20"/>
        </w:rPr>
        <w:t>5. Zenke, F., Poole, B., &amp; Ganguli, S. (2017). Continual Learning Through Synaptic Intelligence. International Conference on Machine Learning (ICML), PMLR 70:3987-3995.</w:t>
      </w:r>
    </w:p>
    <w:p>
      <w:pPr>
        <w:spacing w:after="80" w:line="276" w:lineRule="auto"/>
      </w:pPr>
      <w:r>
        <w:rPr>
          <w:rFonts w:ascii="Calibri" w:hAnsi="Calibri"/>
          <w:color w:val="0F172A"/>
          <w:sz w:val="20"/>
        </w:rPr>
        <w:t>6. Ouyang, L., Wu, J., Jiang, X., et al. (2022). Training language models to follow instructions with human feedback (InstructGPT). Advances in Neural Information Processing Systems (NeurIPS), 35:27730-27744.</w:t>
      </w:r>
    </w:p>
    <w:p>
      <w:pPr>
        <w:spacing w:after="80" w:line="276" w:lineRule="auto"/>
      </w:pPr>
      <w:r>
        <w:rPr>
          <w:rFonts w:ascii="Calibri" w:hAnsi="Calibri"/>
          <w:color w:val="0F172A"/>
          <w:sz w:val="20"/>
        </w:rPr>
        <w:t>7. Hendrycks, D., Burns, C., Basart, S., et al. (2020). Measuring Massive Multitask Language Understanding (MMLU). arXiv preprint arXiv:2009.03300.</w:t>
      </w:r>
    </w:p>
    <w:p>
      <w:pPr>
        <w:spacing w:after="80" w:line="276" w:lineRule="auto"/>
      </w:pPr>
      <w:r>
        <w:rPr>
          <w:rFonts w:ascii="Calibri" w:hAnsi="Calibri"/>
          <w:color w:val="0F172A"/>
          <w:sz w:val="20"/>
        </w:rPr>
        <w:t>8. Zellers, R., Holtzman, A., Bisk, Y., Farhadi, A., &amp; Choi, Y. (2019). HellaSwag: Can a Machine Really Finish Your Sentence? Proceedings of ACL 2019.</w:t>
      </w:r>
    </w:p>
    <w:p>
      <w:pPr>
        <w:spacing w:after="80" w:line="276" w:lineRule="auto"/>
      </w:pPr>
      <w:r>
        <w:rPr>
          <w:rFonts w:ascii="Calibri" w:hAnsi="Calibri"/>
          <w:color w:val="0F172A"/>
          <w:sz w:val="20"/>
        </w:rPr>
        <w:t>9. Zhou, J., Lu, T., Mishra, S., et al. (2023). Instruction-Following Evaluation for Large Language Models (IFEval). arXiv preprint arXiv:2311.07911.</w:t>
      </w:r>
    </w:p>
    <w:p>
      <w:pPr>
        <w:spacing w:after="80" w:line="276" w:lineRule="auto"/>
      </w:pPr>
      <w:r>
        <w:rPr>
          <w:rFonts w:ascii="Calibri" w:hAnsi="Calibri"/>
          <w:color w:val="0F172A"/>
          <w:sz w:val="20"/>
        </w:rPr>
        <w:t>10. Cobbe, K., Kosaraju, V., Bavarian, M., et al. (2021). Training Verifiers to Solve Math Word Problems (GSM8K). arXiv preprint arXiv:2110.14168.</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