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Broadband Funding Viewer – Feedback for Esri</w:t>
      </w:r>
    </w:p>
    <w:p>
      <w:pPr/>
      <w:r>
        <w:t xml:space="preserve">Oct 21, 2026</w:t>
      </w:r>
      <w:r>
        <w:t xml:space="preserve"> · </w:t>
      </w:r>
      <w:r>
        <w:t xml:space="preserve">@adminAY</w:t>
      </w:r>
    </w:p>
    <w:p>
      <w:pPr/>
      <w:r>
        <w:t xml:space="preserve">Scott – below is our consolidated feedback on the Broadband Funding Viewer, based on the internal review and the version of the app as of October 21. Requests are grouped by category and numbered so they can be worked through and referenced individually. Priority and status are tracked in the table at the end. Priority 1 items affect the reported numbers or core functionality and need to be resolved before the app is shared outside CPUC.</w:t>
      </w:r>
    </w:p>
    <w:p>
      <w:pPr>
        <w:pStyle w:val="Heading2"/>
      </w:pPr>
      <w:r>
        <w:t xml:space="preserve">Data and calculations</w:t>
      </w:r>
    </w:p>
    <w:p>
      <w:pPr/>
      <w:r>
        <w:rPr>
          <w:b/>
        </w:rPr>
        <w:t xml:space="preserve">1. LATA statewide totals (Priority 1).</w:t>
      </w:r>
      <w:r>
        <w:t xml:space="preserve"> The statewide overview still reports 0 LATA projects and $0, although LATA values are populated at the area level; for example, Assembly District 3 shows 10 projects and $5.0M. Please connect the statewide figures to the LATA project data. Please also confirm that area values are read from each geography's LATA_Projects and LATA_Grant_Amount fields, since an earlier version showed the same amount (about $550K) for every area. LATA should follow the same counting rule as FFA, with the full award attributed to every area a project overlaps, so LATA_Grant_Amount_PopWeighted should not be used in the panels. We are completing a QC review of the LATA data with the LATA team and will provide the final file, so the connection should be set up to require only a data refresh once it arrives.</w:t>
      </w:r>
    </w:p>
    <w:p>
      <w:pPr/>
      <w:r>
        <w:rPr>
          <w:b/>
        </w:rPr>
        <w:t xml:space="preserve">2. FFA statewide project count (Priority 1).</w:t>
      </w:r>
      <w:r>
        <w:t xml:space="preserve"> The statewide overview shows 120 Federal Funding Account projects, while our current count is 123. We will provide the confirmed project list; please update the project count and award totals accordingly.</w:t>
      </w:r>
    </w:p>
    <w:p>
      <w:pPr/>
      <w:r>
        <w:rPr>
          <w:b/>
        </w:rPr>
        <w:t xml:space="preserve">3. Calculation of statewide totals (Priority 1).</w:t>
      </w:r>
      <w:r>
        <w:t xml:space="preserve"> Multi-county FFA and LATA projects carry their full award in every area they overlap. Statewide figures therefore need to be calculated from project-level data, with each project counted once, rather than summed from county or district fields. If it simplifies the setup, we can supply a statewide summary table with one row per program for the overview to read directly. Please let us know which approach you prefer.</w:t>
      </w:r>
    </w:p>
    <w:p>
      <w:pPr/>
      <w:r>
        <w:rPr>
          <w:b/>
        </w:rPr>
        <w:t xml:space="preserve">4. Methodology note (Priority 1).</w:t>
      </w:r>
      <w:r>
        <w:t xml:space="preserve"> Please add an information icon next to the details header on all three tabs that opens a short methodology note, so users understand why area totals do not add up to the statewide total. The window should be usable with the keyboard as well as the mouse, and the same note should be included in the export layout (item 20). Suggested wording:</w:t>
      </w:r>
    </w:p>
    <w:p>
      <w:pPr>
        <w:pStyle w:val="Quote"/>
      </w:pPr>
      <w:r>
        <w:t xml:space="preserve">Details show the number of projects and award amounts within the boundaries of the selected geography. Projects that cross more than one geography are counted in each one, so county or district totals will not add up to the statewide total. Statewide totals count each project once. Data as of May 2026.</w:t>
      </w:r>
    </w:p>
    <w:p>
      <w:pPr/>
      <w:r>
        <w:rPr>
          <w:b/>
        </w:rPr>
        <w:t xml:space="preserve">5. Currency format (Priority 2, pending CPUC confirmation).</w:t>
      </w:r>
      <w:r>
        <w:t xml:space="preserve"> Amounts are currently displayed in mixed formats ($1.2B, $22M, $74.9M, $67.3K, $943.3K). We are finalizing a single rule internally and ask that you hold this item until we confirm it. Our working proposal is whole thousands for amounts under $1 million ($943K) and one decimal for millions and billions ($150.4M, $1.2B), applied through one shared formatting expression across panels, pop-ups and the export.</w:t>
      </w:r>
    </w:p>
    <w:p>
      <w:pPr>
        <w:pStyle w:val="Heading2"/>
      </w:pPr>
      <w:r>
        <w:t xml:space="preserve">Map</w:t>
      </w:r>
    </w:p>
    <w:p>
      <w:pPr/>
      <w:r>
        <w:rPr>
          <w:b/>
        </w:rPr>
        <w:t xml:space="preserve">6. Initial extent and mask (Priority 1, in progress).</w:t>
      </w:r>
      <w:r>
        <w:t xml:space="preserve"> The app still opens on the western United States, with California occupying only part of the map frame. Please set the initial extent so California fills the map and apply a semi-transparent white or light gray mask to all areas outside the state. Reset Map should return to the same view.</w:t>
      </w:r>
    </w:p>
    <w:p>
      <w:pPr/>
      <w:r>
        <w:rPr>
          <w:b/>
        </w:rPr>
        <w:t xml:space="preserve">7. Basemap (Priority 2).</w:t>
      </w:r>
      <w:r>
        <w:t xml:space="preserve"> Please replace the terrain basemap with the MMBI basemap used on the FFA Awards map, so both CPUC products share the same look; the basemap layers can be referenced from that map. The hillshade currently competes with the district boundaries, particularly in the Sierra Nevada and Coast Ranges.</w:t>
      </w:r>
    </w:p>
    <w:p>
      <w:pPr/>
      <w:r>
        <w:rPr>
          <w:b/>
        </w:rPr>
        <w:t xml:space="preserve">8. Selection highlight (Priority 2).</w:t>
      </w:r>
      <w:r>
        <w:t xml:space="preserve"> When an area is selected, only its outline remains, the neighboring areas are no longer drawn, and the map zooms to the boundary with little margin. Please add a light fill (around 25–30% opacity) with a thicker outline in a single highlight color, keep the surrounding areas visible, and add padding to the zoom extent. The highlight should behave the same on the County, Assembly District and Senate District layers and clear on Reset Map.</w:t>
      </w:r>
    </w:p>
    <w:p>
      <w:pPr/>
      <w:r>
        <w:rPr>
          <w:b/>
        </w:rPr>
        <w:t xml:space="preserve">9. Labels (Priority 2).</w:t>
      </w:r>
      <w:r>
        <w:t xml:space="preserve"> Please add labels for counties (by name) and districts (as "AD 3" or "SD 5") that appear once the user zooms in past the statewide view, with a white halo for legibility over the basemap.</w:t>
      </w:r>
    </w:p>
    <w:p>
      <w:pPr/>
      <w:r>
        <w:rPr>
          <w:b/>
        </w:rPr>
        <w:t xml:space="preserve">10. Colors (Priority 2).</w:t>
      </w:r>
      <w:r>
        <w:t xml:space="preserve"> LATA is currently shown in gray, which reads as "no data"; please assign it a distinct program color. The Tribal Areas layer also needs a more distinguishable symbol, without the use of red; a hatched fill with an outline would keep underlying layers visible. All program colors should be colorblind-safe and paired with the program name across the map, panels, legend and export. A suggested palette close to the current colors is FFA #0072B2 (blue), CASF Public Housing #E69F00 (orange), CASF Broadband Adoption #CC79A7 (reddish purple) and LATA #009E73 (bluish green).</w:t>
      </w:r>
    </w:p>
    <w:p>
      <w:pPr/>
      <w:r>
        <w:rPr>
          <w:b/>
        </w:rPr>
        <w:t xml:space="preserve">11. State Boundary layer (Priority 3).</w:t>
      </w:r>
      <w:r>
        <w:t xml:space="preserve"> Please remove the State Boundary entry from the layer list. Toggling it has no visible effect, as the county and district layers already show the state outline.</w:t>
      </w:r>
    </w:p>
    <w:p>
      <w:pPr>
        <w:pStyle w:val="Heading2"/>
      </w:pPr>
      <w:r>
        <w:t xml:space="preserve">Panels and wording</w:t>
      </w:r>
    </w:p>
    <w:p>
      <w:pPr/>
      <w:r>
        <w:rPr>
          <w:b/>
        </w:rPr>
        <w:t xml:space="preserve">12. Details header (Priority 2).</w:t>
      </w:r>
      <w:r>
        <w:t xml:space="preserve"> The header reads "District Details" on every tab, including Counties. Please label it by geography type, for example "County Details – Alameda," "Assembly District 3 Details" and "Senate District 5 Details."</w:t>
      </w:r>
    </w:p>
    <w:p>
      <w:pPr/>
      <w:r>
        <w:rPr>
          <w:b/>
        </w:rPr>
        <w:t xml:space="preserve">13. Total Projects label (Priority 2).</w:t>
      </w:r>
      <w:r>
        <w:t xml:space="preserve"> Please rename "Overall Projects" in the details panel to "Total Projects" to match "Total Investment" and the statewide overview.</w:t>
      </w:r>
    </w:p>
    <w:p>
      <w:pPr/>
      <w:r>
        <w:rPr>
          <w:b/>
        </w:rPr>
        <w:t xml:space="preserve">14. Program names (Priority 2).</w:t>
      </w:r>
      <w:r>
        <w:t xml:space="preserve"> The statewide overview uses shortened names ("Federal Funding," "CASF Housing," "CASF Adoption"), while the details panel uses the full names. Please use the full program names consistently across the overview, details panel, pop-ups, legend and export, and write out each acronym at first use: Federal Funding Account (FFA), California Advanced Services Fund (CASF) Public Housing, CASF Broadband Adoption, and Local Agency Technical Assistance (LATA). Longer names should wrap to a second line rather than reduce the font size.</w:t>
      </w:r>
    </w:p>
    <w:p>
      <w:pPr/>
      <w:r>
        <w:rPr>
          <w:b/>
        </w:rPr>
        <w:t xml:space="preserve">15. Details panel layout (Priority 2).</w:t>
      </w:r>
      <w:r>
        <w:t xml:space="preserve"> Please align the details panel with the statewide overview so the two read as the same component. Both should have a summary box with Total Projects and Total Investment, followed by one row per program in the same order (FFA, CASF Public Housing, CASF Broadband Adoption, LATA), with the same columns, alignment, font sizes and number format. The individual program descriptions and the project details should follow the same design.</w:t>
      </w:r>
    </w:p>
    <w:p>
      <w:pPr>
        <w:pStyle w:val="Heading2"/>
      </w:pPr>
      <w:r>
        <w:t xml:space="preserve">Controls and navigation</w:t>
      </w:r>
    </w:p>
    <w:p>
      <w:pPr/>
      <w:r>
        <w:rPr>
          <w:b/>
        </w:rPr>
        <w:t xml:space="preserve">16. District dropdown (Priority 2).</w:t>
      </w:r>
      <w:r>
        <w:t xml:space="preserve"> The dropdown currently displays only the district number, for example "3." Please show the full name for the selected value ("Assembly District 3," "Senate District 5"); abbreviations such as "AD 3" are acceptable in the open list. Districts should be sorted numerically.</w:t>
      </w:r>
    </w:p>
    <w:p>
      <w:pPr/>
      <w:r>
        <w:rPr>
          <w:b/>
        </w:rPr>
        <w:t xml:space="preserve">17. Layer list (Priority 2).</w:t>
      </w:r>
      <w:r>
        <w:t xml:space="preserve"> The layer list occupies a full panel for five entries. Please move it into the map as a collapsible Map Layers button and remove the left panel, giving the freed space to the map and the details section.</w:t>
      </w:r>
    </w:p>
    <w:p>
      <w:pPr/>
      <w:r>
        <w:rPr>
          <w:b/>
        </w:rPr>
        <w:t xml:space="preserve">18. Scroll behavior (Priority 3).</w:t>
      </w:r>
      <w:r>
        <w:t xml:space="preserve"> Please standardize scrolling across browser zoom levels, so that the mouse wheel zooms the map when the cursor is over the map and scrolls the panel when it is over a panel.</w:t>
      </w:r>
    </w:p>
    <w:p>
      <w:pPr>
        <w:pStyle w:val="Heading2"/>
      </w:pPr>
      <w:r>
        <w:t xml:space="preserve">Sharing and export</w:t>
      </w:r>
    </w:p>
    <w:p>
      <w:pPr/>
      <w:r>
        <w:rPr>
          <w:b/>
        </w:rPr>
        <w:t xml:space="preserve">19. Link sharing (Priority 1).</w:t>
      </w:r>
      <w:r>
        <w:t xml:space="preserve"> Shared links do not reliably reproduce the current view. If a county is selected on the map and another is then chosen from the dropdown, the link still opens the first county. The zoom extent is not retained on some layers, and filtering to a geography without selecting it produces a link that opens with "No Assembly District Selected." Please rework sharing so the link always captures the active geography tab, the selected area and the map extent, regardless of whether the selection was made on the map or in the dropdown. If the built-in Share widget cannot support this, please outline the options before building a custom solution.</w:t>
      </w:r>
    </w:p>
    <w:p>
      <w:pPr/>
      <w:r>
        <w:rPr>
          <w:b/>
        </w:rPr>
        <w:t xml:space="preserve">20. Export (Priority 1).</w:t>
      </w:r>
      <w:r>
        <w:t xml:space="preserve"> The download button and the Print widget are currently not functional. Please replace both with a single Export option that produces PDF and PNG files from a print layout (US Letter, landscape). The layout should include the app title, the CPUC logo, the name of the selected area, the map, the program table for that area (or statewide figures when nothing is selected), the methodology note and the data date.</w:t>
      </w:r>
    </w:p>
    <w:p>
      <w:pPr>
        <w:pStyle w:val="Heading2"/>
      </w:pPr>
      <w:r>
        <w:t xml:space="preserve">Accessibility and layout</w:t>
      </w:r>
    </w:p>
    <w:p>
      <w:pPr/>
      <w:r>
        <w:rPr>
          <w:b/>
        </w:rPr>
        <w:t xml:space="preserve">21. Font sizes and contrast (Priority 2).</w:t>
      </w:r>
      <w:r>
        <w:t xml:space="preserve"> Font sizes vary between panels, and some text, notably the project count badges, is small and low in contrast. Please apply one type scale across the app (for example 12/14/16/20/24 px), with body text no smaller than 14 px and nothing below 12 px other than map attribution. All text should meet WCAG 2.1 AA contrast requirements. Please also correct the badge pluralization ("1 Project" rather than "1 Projects").</w:t>
      </w:r>
    </w:p>
    <w:p>
      <w:pPr/>
      <w:r>
        <w:rPr>
          <w:b/>
        </w:rPr>
        <w:t xml:space="preserve">22. Details section width (Priority 2).</w:t>
      </w:r>
      <w:r>
        <w:t xml:space="preserve"> Please use the space freed by item 17 to widen the details section, so that full program names and amounts fit without truncation or a reduced font size.</w:t>
      </w:r>
    </w:p>
    <w:p>
      <w:pPr/>
      <w:r>
        <w:rPr>
          <w:b/>
        </w:rPr>
        <w:t xml:space="preserve">23. Scroll bars and screen sizes (Priority 2).</w:t>
      </w:r>
      <w:r>
        <w:t xml:space="preserve"> The statewide overview displays a scroll bar at standard desktop resolutions. Please remove it, configure the medium (tablet) and small (phone) layouts in Experience Builder, and test the app at common resolutions, including 1366×768 laptops and 125% Windows display scaling.</w:t>
      </w:r>
    </w:p>
    <w:p>
      <w:pPr>
        <w:pStyle w:val="Heading2"/>
      </w:pPr>
      <w:r>
        <w:t xml:space="preserve">Header and footer</w:t>
      </w:r>
    </w:p>
    <w:p>
      <w:pPr/>
      <w:r>
        <w:rPr>
          <w:b/>
        </w:rPr>
        <w:t xml:space="preserve">24. Header logo (Priority 1).</w:t>
      </w:r>
      <w:r>
        <w:t xml:space="preserve"> The header still shows a generic placeholder image in place of a logo. Please replace it with the CPUC logo, which we will provide as an SVG or transparent PNG, and add the alt text "California Public Utilities Commission."</w:t>
      </w:r>
    </w:p>
    <w:p>
      <w:pPr/>
      <w:r>
        <w:rPr>
          <w:b/>
        </w:rPr>
        <w:t xml:space="preserve">25. Sources and contact (Priority 3).</w:t>
      </w:r>
      <w:r>
        <w:t xml:space="preserve"> The footer lists "Source: CPUC," which does not reflect the multiple datasets and data vintages used in the app. Please replace it with a "Sources" link that opens a pop-up listing each dataset with its source and date. Please also add a link to contact CPUC Broadband Regional Initiatives (BRI) next to the update date; we will provide the contact address.</w:t>
      </w:r>
    </w:p>
    <w:p>
      <w:pPr>
        <w:pStyle w:val="Heading2"/>
      </w:pPr>
      <w:r>
        <w:t xml:space="preserve">Items under CPUC review</w:t>
      </w:r>
    </w:p>
    <w:p>
      <w:pPr/>
      <w:r>
        <w:t xml:space="preserve">The following points are still under internal discussion and require no action at this time: whether to retain the Impacted Census Tracts layer (once LATA is added it may cover most of the state), which layers are turned on by default, a project boundary overlay colored by program, the final name of the app, and the currency rule in item 5. The earlier issue with truncated shapefile field names in pop-ups and tables has been resolved.</w:t>
      </w:r>
    </w:p>
    <w:p>
      <w:pPr>
        <w:pStyle w:val="Heading2"/>
      </w:pPr>
      <w:r>
        <w:t xml:space="preserve">Questions for Esri</w:t>
      </w:r>
    </w:p>
    <w:p>
      <w:pPr>
        <w:pStyle w:val="ListParagraph"/>
        <w:numPr>
          <w:ilvl w:val="0"/>
          <w:numId w:val="2"/>
        </w:numPr>
      </w:pPr>
      <w:r>
        <w:t xml:space="preserve">What is the estimated completion date for the Priority 1 items, and for Priority 2 and 3?</w:t>
      </w:r>
    </w:p>
    <w:p>
      <w:pPr>
        <w:pStyle w:val="ListParagraph"/>
        <w:numPr>
          <w:ilvl w:val="0"/>
          <w:numId w:val="2"/>
        </w:numPr>
      </w:pPr>
      <w:r>
        <w:t xml:space="preserve">Can the shared link retain the selected area and map extent with built-in Experience Builder functionality, or does it require a custom setup?</w:t>
      </w:r>
    </w:p>
    <w:p>
      <w:pPr>
        <w:pStyle w:val="ListParagraph"/>
        <w:numPr>
          <w:ilvl w:val="0"/>
          <w:numId w:val="2"/>
        </w:numPr>
      </w:pPr>
      <w:r>
        <w:t xml:space="preserve">Can the export layout pull the details panel content for the selected area automatically?</w:t>
      </w:r>
    </w:p>
    <w:p>
      <w:pPr>
        <w:pStyle w:val="ListParagraph"/>
        <w:numPr>
          <w:ilvl w:val="0"/>
          <w:numId w:val="2"/>
        </w:numPr>
      </w:pPr>
      <w:r>
        <w:t xml:space="preserve">How will updated program data (LATA, FFA) be refreshed in the app after release, and what is required on our end?</w:t>
      </w:r>
    </w:p>
    <w:p>
      <w:pPr>
        <w:pStyle w:val="Heading2"/>
      </w:pPr>
      <w:r>
        <w:t xml:space="preserve">Status tracker</w:t>
      </w:r>
    </w:p>
    <w:p>
      <w:pPr/>
      <w:r>
        <w:t xml:space="preserve">Please update the status as items are completed and add notes in the last column. We will mark items as Accepted once reviewed.</w:t>
      </w:r>
    </w:p>
    <w:tbl>
      <w:tblPr>
        <w:tblStyle w:val="TableGrid"/>
        <w:tblW w:w="0" w:type="auto"/>
        <w:tblLayout w:type="fixed"/>
        <w:tblLook w:val="04A0" w:firstRow="1" w:lastRow="0" w:firstColumn="0" w:lastColumn="0" w:noHBand="0" w:noVBand="1"/>
      </w:tblPr>
      <w:tblGrid>
        <w:gridCol w:w="720"/>
        <w:gridCol w:w="2108"/>
        <w:gridCol w:w="1560"/>
        <w:gridCol w:w="2174"/>
        <w:gridCol w:w="1493"/>
        <w:gridCol w:w="1305"/>
      </w:tblGrid>
      <w:tr>
        <w:trPr>
          <w:tblHeader/>
        </w:trPr>
        <w:tc>
          <w:tcPr>
            <w:tcW w:w="720" w:type="dxa"/>
            <w:shd w:val="clear" w:color="auto" w:fill="F2F2F2"/>
          </w:tcPr>
          <w:p>
            <w:pPr/>
            <w:r>
              <w:t xml:space="preserve">#</w:t>
            </w:r>
          </w:p>
        </w:tc>
        <w:tc>
          <w:tcPr>
            <w:tcW w:w="2108" w:type="dxa"/>
            <w:shd w:val="clear" w:color="auto" w:fill="F2F2F2"/>
          </w:tcPr>
          <w:p>
            <w:pPr/>
            <w:r>
              <w:t xml:space="preserve">Request</w:t>
            </w:r>
          </w:p>
        </w:tc>
        <w:tc>
          <w:tcPr>
            <w:tcW w:w="1560" w:type="dxa"/>
            <w:shd w:val="clear" w:color="auto" w:fill="F2F2F2"/>
          </w:tcPr>
          <w:p>
            <w:pPr/>
            <w:r>
              <w:t xml:space="preserve">Category</w:t>
            </w:r>
          </w:p>
        </w:tc>
        <w:tc>
          <w:tcPr>
            <w:tcW w:w="2174" w:type="dxa"/>
            <w:shd w:val="clear" w:color="auto" w:fill="F2F2F2"/>
          </w:tcPr>
          <w:p>
            <w:pPr/>
            <w:r>
              <w:t xml:space="preserve">Priority</w:t>
            </w:r>
          </w:p>
        </w:tc>
        <w:tc>
          <w:tcPr>
            <w:tcW w:w="1493" w:type="dxa"/>
            <w:shd w:val="clear" w:color="auto" w:fill="F2F2F2"/>
          </w:tcPr>
          <w:p>
            <w:pPr/>
            <w:r>
              <w:t xml:space="preserve">Status</w:t>
            </w:r>
          </w:p>
        </w:tc>
        <w:tc>
          <w:tcPr>
            <w:tcW w:w="1305" w:type="dxa"/>
            <w:shd w:val="clear" w:color="auto" w:fill="F2F2F2"/>
          </w:tcPr>
          <w:p>
            <w:pPr/>
            <w:r>
              <w:t xml:space="preserve">Esri notes</w:t>
            </w:r>
          </w:p>
        </w:tc>
      </w:tr>
      <w:tr>
        <w:tc>
          <w:tcPr>
            <w:tcW w:w="720" w:type="dxa"/>
          </w:tcPr>
          <w:p>
            <w:pPr/>
            <w:r>
              <w:t xml:space="preserve">1</w:t>
            </w:r>
          </w:p>
        </w:tc>
        <w:tc>
          <w:tcPr>
            <w:tcW w:w="2108" w:type="dxa"/>
          </w:tcPr>
          <w:p>
            <w:pPr/>
            <w:r>
              <w:t xml:space="preserve">LATA statewide totals</w:t>
            </w:r>
          </w:p>
        </w:tc>
        <w:tc>
          <w:tcPr>
            <w:tcW w:w="1560" w:type="dxa"/>
          </w:tcPr>
          <w:p>
            <w:pPr/>
            <w:r>
              <w:t xml:space="preserve">Data</w:t>
            </w:r>
          </w:p>
        </w:tc>
        <w:tc>
          <w:tcPr>
            <w:tcW w:w="2174" w:type="dxa"/>
          </w:tcPr>
          <w:p>
            <w:pPr/>
            <w:r>
              <w:t xml:space="preserve">P1 – Blocks release</w:t>
            </w:r>
          </w:p>
        </w:tc>
        <w:tc>
          <w:tcPr>
            <w:tcW w:w="1493" w:type="dxa"/>
          </w:tcPr>
          <w:p>
            <w:pPr/>
            <w:r>
              <w:t xml:space="preserve">Waiting on CPUC</w:t>
            </w:r>
          </w:p>
        </w:tc>
        <w:tc>
          <w:tcPr>
            <w:tcW w:w="1305" w:type="dxa"/>
          </w:tcPr>
          <w:p>
            <w:pPr/>
          </w:p>
        </w:tc>
      </w:tr>
      <w:tr>
        <w:tc>
          <w:tcPr>
            <w:tcW w:w="720" w:type="dxa"/>
          </w:tcPr>
          <w:p>
            <w:pPr/>
            <w:r>
              <w:t xml:space="preserve">2</w:t>
            </w:r>
          </w:p>
        </w:tc>
        <w:tc>
          <w:tcPr>
            <w:tcW w:w="2108" w:type="dxa"/>
          </w:tcPr>
          <w:p>
            <w:pPr/>
            <w:r>
              <w:t xml:space="preserve">FFA statewide project count</w:t>
            </w:r>
          </w:p>
        </w:tc>
        <w:tc>
          <w:tcPr>
            <w:tcW w:w="1560" w:type="dxa"/>
          </w:tcPr>
          <w:p>
            <w:pPr/>
            <w:r>
              <w:t xml:space="preserve">Data</w:t>
            </w:r>
          </w:p>
        </w:tc>
        <w:tc>
          <w:tcPr>
            <w:tcW w:w="2174" w:type="dxa"/>
          </w:tcPr>
          <w:p>
            <w:pPr/>
            <w:r>
              <w:t xml:space="preserve">P1 – Blocks release</w:t>
            </w:r>
          </w:p>
        </w:tc>
        <w:tc>
          <w:tcPr>
            <w:tcW w:w="1493" w:type="dxa"/>
          </w:tcPr>
          <w:p>
            <w:pPr/>
            <w:r>
              <w:t xml:space="preserve">Waiting on CPUC</w:t>
            </w:r>
          </w:p>
        </w:tc>
        <w:tc>
          <w:tcPr>
            <w:tcW w:w="1305" w:type="dxa"/>
          </w:tcPr>
          <w:p>
            <w:pPr/>
          </w:p>
        </w:tc>
      </w:tr>
      <w:tr>
        <w:tc>
          <w:tcPr>
            <w:tcW w:w="720" w:type="dxa"/>
          </w:tcPr>
          <w:p>
            <w:pPr/>
            <w:r>
              <w:t xml:space="preserve">3</w:t>
            </w:r>
          </w:p>
        </w:tc>
        <w:tc>
          <w:tcPr>
            <w:tcW w:w="2108" w:type="dxa"/>
          </w:tcPr>
          <w:p>
            <w:pPr/>
            <w:r>
              <w:t xml:space="preserve">Calculation of statewide totals</w:t>
            </w:r>
          </w:p>
        </w:tc>
        <w:tc>
          <w:tcPr>
            <w:tcW w:w="1560" w:type="dxa"/>
          </w:tcPr>
          <w:p>
            <w:pPr/>
            <w:r>
              <w:t xml:space="preserve">Data</w:t>
            </w:r>
          </w:p>
        </w:tc>
        <w:tc>
          <w:tcPr>
            <w:tcW w:w="2174" w:type="dxa"/>
          </w:tcPr>
          <w:p>
            <w:pPr/>
            <w:r>
              <w:t xml:space="preserve">P1 – Blocks release</w:t>
            </w:r>
          </w:p>
        </w:tc>
        <w:tc>
          <w:tcPr>
            <w:tcW w:w="1493" w:type="dxa"/>
          </w:tcPr>
          <w:p>
            <w:pPr/>
            <w:r>
              <w:t xml:space="preserve">Not started</w:t>
            </w:r>
          </w:p>
        </w:tc>
        <w:tc>
          <w:tcPr>
            <w:tcW w:w="1305" w:type="dxa"/>
          </w:tcPr>
          <w:p>
            <w:pPr/>
          </w:p>
        </w:tc>
      </w:tr>
      <w:tr>
        <w:tc>
          <w:tcPr>
            <w:tcW w:w="720" w:type="dxa"/>
          </w:tcPr>
          <w:p>
            <w:pPr/>
            <w:r>
              <w:t xml:space="preserve">4</w:t>
            </w:r>
          </w:p>
        </w:tc>
        <w:tc>
          <w:tcPr>
            <w:tcW w:w="2108" w:type="dxa"/>
          </w:tcPr>
          <w:p>
            <w:pPr/>
            <w:r>
              <w:t xml:space="preserve">Methodology note</w:t>
            </w:r>
          </w:p>
        </w:tc>
        <w:tc>
          <w:tcPr>
            <w:tcW w:w="1560" w:type="dxa"/>
          </w:tcPr>
          <w:p>
            <w:pPr/>
            <w:r>
              <w:t xml:space="preserve">Data</w:t>
            </w:r>
          </w:p>
        </w:tc>
        <w:tc>
          <w:tcPr>
            <w:tcW w:w="2174" w:type="dxa"/>
          </w:tcPr>
          <w:p>
            <w:pPr/>
            <w:r>
              <w:t xml:space="preserve">P1 – Blocks release</w:t>
            </w:r>
          </w:p>
        </w:tc>
        <w:tc>
          <w:tcPr>
            <w:tcW w:w="1493" w:type="dxa"/>
          </w:tcPr>
          <w:p>
            <w:pPr/>
            <w:r>
              <w:t xml:space="preserve">Not started</w:t>
            </w:r>
          </w:p>
        </w:tc>
        <w:tc>
          <w:tcPr>
            <w:tcW w:w="1305" w:type="dxa"/>
          </w:tcPr>
          <w:p>
            <w:pPr/>
          </w:p>
        </w:tc>
      </w:tr>
      <w:tr>
        <w:tc>
          <w:tcPr>
            <w:tcW w:w="720" w:type="dxa"/>
          </w:tcPr>
          <w:p>
            <w:pPr/>
            <w:r>
              <w:t xml:space="preserve">5</w:t>
            </w:r>
          </w:p>
        </w:tc>
        <w:tc>
          <w:tcPr>
            <w:tcW w:w="2108" w:type="dxa"/>
          </w:tcPr>
          <w:p>
            <w:pPr/>
            <w:r>
              <w:t xml:space="preserve">Currency format</w:t>
            </w:r>
          </w:p>
        </w:tc>
        <w:tc>
          <w:tcPr>
            <w:tcW w:w="1560" w:type="dxa"/>
          </w:tcPr>
          <w:p>
            <w:pPr/>
            <w:r>
              <w:t xml:space="preserve">Data</w:t>
            </w:r>
          </w:p>
        </w:tc>
        <w:tc>
          <w:tcPr>
            <w:tcW w:w="2174" w:type="dxa"/>
          </w:tcPr>
          <w:p>
            <w:pPr/>
            <w:r>
              <w:t xml:space="preserve">P2 – This revision</w:t>
            </w:r>
          </w:p>
        </w:tc>
        <w:tc>
          <w:tcPr>
            <w:tcW w:w="1493" w:type="dxa"/>
          </w:tcPr>
          <w:p>
            <w:pPr/>
            <w:r>
              <w:t xml:space="preserve">Waiting on CPUC</w:t>
            </w:r>
          </w:p>
        </w:tc>
        <w:tc>
          <w:tcPr>
            <w:tcW w:w="1305" w:type="dxa"/>
          </w:tcPr>
          <w:p>
            <w:pPr/>
          </w:p>
        </w:tc>
      </w:tr>
      <w:tr>
        <w:tc>
          <w:tcPr>
            <w:tcW w:w="720" w:type="dxa"/>
          </w:tcPr>
          <w:p>
            <w:pPr/>
            <w:r>
              <w:t xml:space="preserve">6</w:t>
            </w:r>
          </w:p>
        </w:tc>
        <w:tc>
          <w:tcPr>
            <w:tcW w:w="2108" w:type="dxa"/>
          </w:tcPr>
          <w:p>
            <w:pPr/>
            <w:r>
              <w:t xml:space="preserve">Initial extent and mask</w:t>
            </w:r>
          </w:p>
        </w:tc>
        <w:tc>
          <w:tcPr>
            <w:tcW w:w="1560" w:type="dxa"/>
          </w:tcPr>
          <w:p>
            <w:pPr/>
            <w:r>
              <w:t xml:space="preserve">Map</w:t>
            </w:r>
          </w:p>
        </w:tc>
        <w:tc>
          <w:tcPr>
            <w:tcW w:w="2174" w:type="dxa"/>
          </w:tcPr>
          <w:p>
            <w:pPr/>
            <w:r>
              <w:t xml:space="preserve">P1 – Blocks release</w:t>
            </w:r>
          </w:p>
        </w:tc>
        <w:tc>
          <w:tcPr>
            <w:tcW w:w="1493" w:type="dxa"/>
          </w:tcPr>
          <w:p>
            <w:pPr/>
            <w:r>
              <w:t xml:space="preserve">In progress</w:t>
            </w:r>
          </w:p>
        </w:tc>
        <w:tc>
          <w:tcPr>
            <w:tcW w:w="1305" w:type="dxa"/>
          </w:tcPr>
          <w:p>
            <w:pPr/>
          </w:p>
        </w:tc>
      </w:tr>
      <w:tr>
        <w:tc>
          <w:tcPr>
            <w:tcW w:w="720" w:type="dxa"/>
          </w:tcPr>
          <w:p>
            <w:pPr/>
            <w:r>
              <w:t xml:space="preserve">7</w:t>
            </w:r>
          </w:p>
        </w:tc>
        <w:tc>
          <w:tcPr>
            <w:tcW w:w="2108" w:type="dxa"/>
          </w:tcPr>
          <w:p>
            <w:pPr/>
            <w:r>
              <w:t xml:space="preserve">Basemap</w:t>
            </w:r>
          </w:p>
        </w:tc>
        <w:tc>
          <w:tcPr>
            <w:tcW w:w="1560" w:type="dxa"/>
          </w:tcPr>
          <w:p>
            <w:pPr/>
            <w:r>
              <w:t xml:space="preserve">Map</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8</w:t>
            </w:r>
          </w:p>
        </w:tc>
        <w:tc>
          <w:tcPr>
            <w:tcW w:w="2108" w:type="dxa"/>
          </w:tcPr>
          <w:p>
            <w:pPr/>
            <w:r>
              <w:t xml:space="preserve">Selection highlight</w:t>
            </w:r>
          </w:p>
        </w:tc>
        <w:tc>
          <w:tcPr>
            <w:tcW w:w="1560" w:type="dxa"/>
          </w:tcPr>
          <w:p>
            <w:pPr/>
            <w:r>
              <w:t xml:space="preserve">Map</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9</w:t>
            </w:r>
          </w:p>
        </w:tc>
        <w:tc>
          <w:tcPr>
            <w:tcW w:w="2108" w:type="dxa"/>
          </w:tcPr>
          <w:p>
            <w:pPr/>
            <w:r>
              <w:t xml:space="preserve">Labels</w:t>
            </w:r>
          </w:p>
        </w:tc>
        <w:tc>
          <w:tcPr>
            <w:tcW w:w="1560" w:type="dxa"/>
          </w:tcPr>
          <w:p>
            <w:pPr/>
            <w:r>
              <w:t xml:space="preserve">Map</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10</w:t>
            </w:r>
          </w:p>
        </w:tc>
        <w:tc>
          <w:tcPr>
            <w:tcW w:w="2108" w:type="dxa"/>
          </w:tcPr>
          <w:p>
            <w:pPr/>
            <w:r>
              <w:t xml:space="preserve">Colors</w:t>
            </w:r>
          </w:p>
        </w:tc>
        <w:tc>
          <w:tcPr>
            <w:tcW w:w="1560" w:type="dxa"/>
          </w:tcPr>
          <w:p>
            <w:pPr/>
            <w:r>
              <w:t xml:space="preserve">Map</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11</w:t>
            </w:r>
          </w:p>
        </w:tc>
        <w:tc>
          <w:tcPr>
            <w:tcW w:w="2108" w:type="dxa"/>
          </w:tcPr>
          <w:p>
            <w:pPr/>
            <w:r>
              <w:t xml:space="preserve">State Boundary layer</w:t>
            </w:r>
          </w:p>
        </w:tc>
        <w:tc>
          <w:tcPr>
            <w:tcW w:w="1560" w:type="dxa"/>
          </w:tcPr>
          <w:p>
            <w:pPr/>
            <w:r>
              <w:t xml:space="preserve">Map</w:t>
            </w:r>
          </w:p>
        </w:tc>
        <w:tc>
          <w:tcPr>
            <w:tcW w:w="2174" w:type="dxa"/>
          </w:tcPr>
          <w:p>
            <w:pPr/>
            <w:r>
              <w:t xml:space="preserve">P3 – Polish</w:t>
            </w:r>
          </w:p>
        </w:tc>
        <w:tc>
          <w:tcPr>
            <w:tcW w:w="1493" w:type="dxa"/>
          </w:tcPr>
          <w:p>
            <w:pPr/>
            <w:r>
              <w:t xml:space="preserve">Not started</w:t>
            </w:r>
          </w:p>
        </w:tc>
        <w:tc>
          <w:tcPr>
            <w:tcW w:w="1305" w:type="dxa"/>
          </w:tcPr>
          <w:p>
            <w:pPr/>
          </w:p>
        </w:tc>
      </w:tr>
      <w:tr>
        <w:tc>
          <w:tcPr>
            <w:tcW w:w="720" w:type="dxa"/>
          </w:tcPr>
          <w:p>
            <w:pPr/>
            <w:r>
              <w:t xml:space="preserve">12</w:t>
            </w:r>
          </w:p>
        </w:tc>
        <w:tc>
          <w:tcPr>
            <w:tcW w:w="2108" w:type="dxa"/>
          </w:tcPr>
          <w:p>
            <w:pPr/>
            <w:r>
              <w:t xml:space="preserve">Details header</w:t>
            </w:r>
          </w:p>
        </w:tc>
        <w:tc>
          <w:tcPr>
            <w:tcW w:w="1560" w:type="dxa"/>
          </w:tcPr>
          <w:p>
            <w:pPr/>
            <w:r>
              <w:t xml:space="preserve">Panels</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13</w:t>
            </w:r>
          </w:p>
        </w:tc>
        <w:tc>
          <w:tcPr>
            <w:tcW w:w="2108" w:type="dxa"/>
          </w:tcPr>
          <w:p>
            <w:pPr/>
            <w:r>
              <w:t xml:space="preserve">Total Projects label</w:t>
            </w:r>
          </w:p>
        </w:tc>
        <w:tc>
          <w:tcPr>
            <w:tcW w:w="1560" w:type="dxa"/>
          </w:tcPr>
          <w:p>
            <w:pPr/>
            <w:r>
              <w:t xml:space="preserve">Panels</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14</w:t>
            </w:r>
          </w:p>
        </w:tc>
        <w:tc>
          <w:tcPr>
            <w:tcW w:w="2108" w:type="dxa"/>
          </w:tcPr>
          <w:p>
            <w:pPr/>
            <w:r>
              <w:t xml:space="preserve">Program names</w:t>
            </w:r>
          </w:p>
        </w:tc>
        <w:tc>
          <w:tcPr>
            <w:tcW w:w="1560" w:type="dxa"/>
          </w:tcPr>
          <w:p>
            <w:pPr/>
            <w:r>
              <w:t xml:space="preserve">Panels</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15</w:t>
            </w:r>
          </w:p>
        </w:tc>
        <w:tc>
          <w:tcPr>
            <w:tcW w:w="2108" w:type="dxa"/>
          </w:tcPr>
          <w:p>
            <w:pPr/>
            <w:r>
              <w:t xml:space="preserve">Details panel layout</w:t>
            </w:r>
          </w:p>
        </w:tc>
        <w:tc>
          <w:tcPr>
            <w:tcW w:w="1560" w:type="dxa"/>
          </w:tcPr>
          <w:p>
            <w:pPr/>
            <w:r>
              <w:t xml:space="preserve">Panels</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16</w:t>
            </w:r>
          </w:p>
        </w:tc>
        <w:tc>
          <w:tcPr>
            <w:tcW w:w="2108" w:type="dxa"/>
          </w:tcPr>
          <w:p>
            <w:pPr/>
            <w:r>
              <w:t xml:space="preserve">District dropdown</w:t>
            </w:r>
          </w:p>
        </w:tc>
        <w:tc>
          <w:tcPr>
            <w:tcW w:w="1560" w:type="dxa"/>
          </w:tcPr>
          <w:p>
            <w:pPr/>
            <w:r>
              <w:t xml:space="preserve">Controls</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17</w:t>
            </w:r>
          </w:p>
        </w:tc>
        <w:tc>
          <w:tcPr>
            <w:tcW w:w="2108" w:type="dxa"/>
          </w:tcPr>
          <w:p>
            <w:pPr/>
            <w:r>
              <w:t xml:space="preserve">Layer list</w:t>
            </w:r>
          </w:p>
        </w:tc>
        <w:tc>
          <w:tcPr>
            <w:tcW w:w="1560" w:type="dxa"/>
          </w:tcPr>
          <w:p>
            <w:pPr/>
            <w:r>
              <w:t xml:space="preserve">Controls</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18</w:t>
            </w:r>
          </w:p>
        </w:tc>
        <w:tc>
          <w:tcPr>
            <w:tcW w:w="2108" w:type="dxa"/>
          </w:tcPr>
          <w:p>
            <w:pPr/>
            <w:r>
              <w:t xml:space="preserve">Scroll behavior</w:t>
            </w:r>
          </w:p>
        </w:tc>
        <w:tc>
          <w:tcPr>
            <w:tcW w:w="1560" w:type="dxa"/>
          </w:tcPr>
          <w:p>
            <w:pPr/>
            <w:r>
              <w:t xml:space="preserve">Controls</w:t>
            </w:r>
          </w:p>
        </w:tc>
        <w:tc>
          <w:tcPr>
            <w:tcW w:w="2174" w:type="dxa"/>
          </w:tcPr>
          <w:p>
            <w:pPr/>
            <w:r>
              <w:t xml:space="preserve">P3 – Polish</w:t>
            </w:r>
          </w:p>
        </w:tc>
        <w:tc>
          <w:tcPr>
            <w:tcW w:w="1493" w:type="dxa"/>
          </w:tcPr>
          <w:p>
            <w:pPr/>
            <w:r>
              <w:t xml:space="preserve">Not started</w:t>
            </w:r>
          </w:p>
        </w:tc>
        <w:tc>
          <w:tcPr>
            <w:tcW w:w="1305" w:type="dxa"/>
          </w:tcPr>
          <w:p>
            <w:pPr/>
          </w:p>
        </w:tc>
      </w:tr>
      <w:tr>
        <w:tc>
          <w:tcPr>
            <w:tcW w:w="720" w:type="dxa"/>
          </w:tcPr>
          <w:p>
            <w:pPr/>
            <w:r>
              <w:t xml:space="preserve">19</w:t>
            </w:r>
          </w:p>
        </w:tc>
        <w:tc>
          <w:tcPr>
            <w:tcW w:w="2108" w:type="dxa"/>
          </w:tcPr>
          <w:p>
            <w:pPr/>
            <w:r>
              <w:t xml:space="preserve">Link sharing</w:t>
            </w:r>
          </w:p>
        </w:tc>
        <w:tc>
          <w:tcPr>
            <w:tcW w:w="1560" w:type="dxa"/>
          </w:tcPr>
          <w:p>
            <w:pPr/>
            <w:r>
              <w:t xml:space="preserve">Sharing and export</w:t>
            </w:r>
          </w:p>
        </w:tc>
        <w:tc>
          <w:tcPr>
            <w:tcW w:w="2174" w:type="dxa"/>
          </w:tcPr>
          <w:p>
            <w:pPr/>
            <w:r>
              <w:t xml:space="preserve">P1 – Blocks release</w:t>
            </w:r>
          </w:p>
        </w:tc>
        <w:tc>
          <w:tcPr>
            <w:tcW w:w="1493" w:type="dxa"/>
          </w:tcPr>
          <w:p>
            <w:pPr/>
            <w:r>
              <w:t xml:space="preserve">Not started</w:t>
            </w:r>
          </w:p>
        </w:tc>
        <w:tc>
          <w:tcPr>
            <w:tcW w:w="1305" w:type="dxa"/>
          </w:tcPr>
          <w:p>
            <w:pPr/>
          </w:p>
        </w:tc>
      </w:tr>
      <w:tr>
        <w:tc>
          <w:tcPr>
            <w:tcW w:w="720" w:type="dxa"/>
          </w:tcPr>
          <w:p>
            <w:pPr/>
            <w:r>
              <w:t xml:space="preserve">20</w:t>
            </w:r>
          </w:p>
        </w:tc>
        <w:tc>
          <w:tcPr>
            <w:tcW w:w="2108" w:type="dxa"/>
          </w:tcPr>
          <w:p>
            <w:pPr/>
            <w:r>
              <w:t xml:space="preserve">Export</w:t>
            </w:r>
          </w:p>
        </w:tc>
        <w:tc>
          <w:tcPr>
            <w:tcW w:w="1560" w:type="dxa"/>
          </w:tcPr>
          <w:p>
            <w:pPr/>
            <w:r>
              <w:t xml:space="preserve">Sharing and export</w:t>
            </w:r>
          </w:p>
        </w:tc>
        <w:tc>
          <w:tcPr>
            <w:tcW w:w="2174" w:type="dxa"/>
          </w:tcPr>
          <w:p>
            <w:pPr/>
            <w:r>
              <w:t xml:space="preserve">P1 – Blocks release</w:t>
            </w:r>
          </w:p>
        </w:tc>
        <w:tc>
          <w:tcPr>
            <w:tcW w:w="1493" w:type="dxa"/>
          </w:tcPr>
          <w:p>
            <w:pPr/>
            <w:r>
              <w:t xml:space="preserve">Not started</w:t>
            </w:r>
          </w:p>
        </w:tc>
        <w:tc>
          <w:tcPr>
            <w:tcW w:w="1305" w:type="dxa"/>
          </w:tcPr>
          <w:p>
            <w:pPr/>
          </w:p>
        </w:tc>
      </w:tr>
      <w:tr>
        <w:tc>
          <w:tcPr>
            <w:tcW w:w="720" w:type="dxa"/>
          </w:tcPr>
          <w:p>
            <w:pPr/>
            <w:r>
              <w:t xml:space="preserve">21</w:t>
            </w:r>
          </w:p>
        </w:tc>
        <w:tc>
          <w:tcPr>
            <w:tcW w:w="2108" w:type="dxa"/>
          </w:tcPr>
          <w:p>
            <w:pPr/>
            <w:r>
              <w:t xml:space="preserve">Font sizes and contrast</w:t>
            </w:r>
          </w:p>
        </w:tc>
        <w:tc>
          <w:tcPr>
            <w:tcW w:w="1560" w:type="dxa"/>
          </w:tcPr>
          <w:p>
            <w:pPr/>
            <w:r>
              <w:t xml:space="preserve">Accessibility and layout</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22</w:t>
            </w:r>
          </w:p>
        </w:tc>
        <w:tc>
          <w:tcPr>
            <w:tcW w:w="2108" w:type="dxa"/>
          </w:tcPr>
          <w:p>
            <w:pPr/>
            <w:r>
              <w:t xml:space="preserve">Details section width</w:t>
            </w:r>
          </w:p>
        </w:tc>
        <w:tc>
          <w:tcPr>
            <w:tcW w:w="1560" w:type="dxa"/>
          </w:tcPr>
          <w:p>
            <w:pPr/>
            <w:r>
              <w:t xml:space="preserve">Accessibility and layout</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23</w:t>
            </w:r>
          </w:p>
        </w:tc>
        <w:tc>
          <w:tcPr>
            <w:tcW w:w="2108" w:type="dxa"/>
          </w:tcPr>
          <w:p>
            <w:pPr/>
            <w:r>
              <w:t xml:space="preserve">Scroll bars and screen sizes</w:t>
            </w:r>
          </w:p>
        </w:tc>
        <w:tc>
          <w:tcPr>
            <w:tcW w:w="1560" w:type="dxa"/>
          </w:tcPr>
          <w:p>
            <w:pPr/>
            <w:r>
              <w:t xml:space="preserve">Accessibility and layout</w:t>
            </w:r>
          </w:p>
        </w:tc>
        <w:tc>
          <w:tcPr>
            <w:tcW w:w="2174" w:type="dxa"/>
          </w:tcPr>
          <w:p>
            <w:pPr/>
            <w:r>
              <w:t xml:space="preserve">P2 – This revision</w:t>
            </w:r>
          </w:p>
        </w:tc>
        <w:tc>
          <w:tcPr>
            <w:tcW w:w="1493" w:type="dxa"/>
          </w:tcPr>
          <w:p>
            <w:pPr/>
            <w:r>
              <w:t xml:space="preserve">Not started</w:t>
            </w:r>
          </w:p>
        </w:tc>
        <w:tc>
          <w:tcPr>
            <w:tcW w:w="1305" w:type="dxa"/>
          </w:tcPr>
          <w:p>
            <w:pPr/>
          </w:p>
        </w:tc>
      </w:tr>
      <w:tr>
        <w:tc>
          <w:tcPr>
            <w:tcW w:w="720" w:type="dxa"/>
          </w:tcPr>
          <w:p>
            <w:pPr/>
            <w:r>
              <w:t xml:space="preserve">24</w:t>
            </w:r>
          </w:p>
        </w:tc>
        <w:tc>
          <w:tcPr>
            <w:tcW w:w="2108" w:type="dxa"/>
          </w:tcPr>
          <w:p>
            <w:pPr/>
            <w:r>
              <w:t xml:space="preserve">Header logo</w:t>
            </w:r>
          </w:p>
        </w:tc>
        <w:tc>
          <w:tcPr>
            <w:tcW w:w="1560" w:type="dxa"/>
          </w:tcPr>
          <w:p>
            <w:pPr/>
            <w:r>
              <w:t xml:space="preserve">Header and footer</w:t>
            </w:r>
          </w:p>
        </w:tc>
        <w:tc>
          <w:tcPr>
            <w:tcW w:w="2174" w:type="dxa"/>
          </w:tcPr>
          <w:p>
            <w:pPr/>
            <w:r>
              <w:t xml:space="preserve">P1 – Blocks release</w:t>
            </w:r>
          </w:p>
        </w:tc>
        <w:tc>
          <w:tcPr>
            <w:tcW w:w="1493" w:type="dxa"/>
          </w:tcPr>
          <w:p>
            <w:pPr/>
            <w:r>
              <w:t xml:space="preserve">Not started</w:t>
            </w:r>
          </w:p>
        </w:tc>
        <w:tc>
          <w:tcPr>
            <w:tcW w:w="1305" w:type="dxa"/>
          </w:tcPr>
          <w:p>
            <w:pPr/>
          </w:p>
        </w:tc>
      </w:tr>
      <w:tr>
        <w:tc>
          <w:tcPr>
            <w:tcW w:w="720" w:type="dxa"/>
          </w:tcPr>
          <w:p>
            <w:pPr/>
            <w:r>
              <w:t xml:space="preserve">25</w:t>
            </w:r>
          </w:p>
        </w:tc>
        <w:tc>
          <w:tcPr>
            <w:tcW w:w="2108" w:type="dxa"/>
          </w:tcPr>
          <w:p>
            <w:pPr/>
            <w:r>
              <w:t xml:space="preserve">Sources and contact</w:t>
            </w:r>
          </w:p>
        </w:tc>
        <w:tc>
          <w:tcPr>
            <w:tcW w:w="1560" w:type="dxa"/>
          </w:tcPr>
          <w:p>
            <w:pPr/>
            <w:r>
              <w:t xml:space="preserve">Header and footer</w:t>
            </w:r>
          </w:p>
        </w:tc>
        <w:tc>
          <w:tcPr>
            <w:tcW w:w="2174" w:type="dxa"/>
          </w:tcPr>
          <w:p>
            <w:pPr/>
            <w:r>
              <w:t xml:space="preserve">P3 – Polish</w:t>
            </w:r>
          </w:p>
        </w:tc>
        <w:tc>
          <w:tcPr>
            <w:tcW w:w="1493" w:type="dxa"/>
          </w:tcPr>
          <w:p>
            <w:pPr/>
            <w:r>
              <w:t xml:space="preserve">Not started</w:t>
            </w:r>
          </w:p>
        </w:tc>
        <w:tc>
          <w:tcPr>
            <w:tcW w:w="1305"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Broadband Funding Viewer – Feedback for Esri</dc:title>
  <dc:description>Claude Docs node/c7bb4cb7-ee11@13 docx-w7</dc:description>
  <cp:revision>13</cp:revision>
</cp:coreProperties>
</file>