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f9cda2e5c840e5c5a5231a236bbbe6393001581"/>
    <w:p>
      <w:pPr>
        <w:pStyle w:val="Heading1"/>
      </w:pPr>
      <w:r>
        <w:t xml:space="preserve">Pilot Brief: Sampled Order Book Analytics and Calibrated Probabilities</w:t>
      </w:r>
    </w:p>
    <w:p>
      <w:pPr>
        <w:pStyle w:val="FirstParagraph"/>
      </w:pPr>
      <w:r>
        <w:t xml:space="preserve">October 5, 2026</w:t>
      </w:r>
    </w:p>
    <w:bookmarkStart w:id="20" w:name="the-offer"/>
    <w:p>
      <w:pPr>
        <w:pStyle w:val="Heading2"/>
      </w:pPr>
      <w:r>
        <w:t xml:space="preserve">The offer</w:t>
      </w:r>
    </w:p>
    <w:p>
      <w:pPr>
        <w:pStyle w:val="FirstParagraph"/>
      </w:pPr>
      <w:r>
        <w:t xml:space="preserve">A 6-8 week pilot of a sampled order book data product for CME futures: clock-aligned 50ms and 200ms snapshots of the reconstructed book, a small set of exchange-defined features, and calibrated short-horizon probabilities of price and spread moves. Design-partner prop and quant firms get historical replay and a sandbox API to test it inside their own models. The probabilities come from a small transformer benchmarked against simple gradient-boosted baselines, so clients can see exactly what the model adds.</w:t>
      </w:r>
    </w:p>
    <w:bookmarkEnd w:id="20"/>
    <w:bookmarkStart w:id="21" w:name="why-it-matters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Prop and quant firms already have raw feeds, but each rebuilds the same book features and short-horizon models in-house, which costs quant-months and produces inconsistent definitions. The exchange can offer these as a licensed, consistent product with exchange provenance, a nested time grid, and replay that matches live behavior. For the exchange, this is a new data revenue line built on data it already owns, and a reason for firms to deepen their relationship with the venue.</w:t>
      </w:r>
    </w:p>
    <w:bookmarkEnd w:id="21"/>
    <w:bookmarkStart w:id="22" w:name="what-the-pilot-delivers"/>
    <w:p>
      <w:pPr>
        <w:pStyle w:val="Heading2"/>
      </w:pPr>
      <w:r>
        <w:t xml:space="preserve">What the pilot delivers</w:t>
      </w:r>
    </w:p>
    <w:p>
      <w:pPr>
        <w:pStyle w:val="FirstParagraph"/>
      </w:pPr>
      <w:r>
        <w:t xml:space="preserve">Scope is 2-3 liquid futures (for example ES plus one rates and one energy contract), 50ms and 200ms channels, and 6-12 months of history. 1ms channels and research-grade measures follow in phase 2. About 10 fields in three tiers: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Tier 1, deterministic:</w:t>
      </w:r>
      <w:r>
        <w:t xml:space="preserve"> </w:t>
      </w:r>
      <w:r>
        <w:t xml:space="preserve">microprice, spread, multi-level imbalance, order flow imbalance, short-window realized volatility.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Tier 2, statistical:</w:t>
      </w:r>
      <w:r>
        <w:t xml:space="preserve"> </w:t>
      </w:r>
      <w:r>
        <w:t xml:space="preserve">depth entropy and event-flow entropy.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Tier 3, model-derived:</w:t>
      </w:r>
      <w:r>
        <w:t xml:space="preserve"> </w:t>
      </w:r>
      <w:r>
        <w:t xml:space="preserve">P(mid up/flat/down) at 200ms and 1s, P(spread widens), and a confidence score (predictive entropy).</w:t>
      </w:r>
    </w:p>
    <w:bookmarkEnd w:id="22"/>
    <w:bookmarkStart w:id="23" w:name="client-benefits"/>
    <w:p>
      <w:pPr>
        <w:pStyle w:val="Heading2"/>
      </w:pPr>
      <w:r>
        <w:t xml:space="preserve">Client benefits</w:t>
      </w:r>
    </w:p>
    <w:p>
      <w:pPr>
        <w:pStyle w:val="FirstParagraph"/>
      </w:pPr>
      <w:r>
        <w:t xml:space="preserve">The value is time-to-signal and consistency, not a promised return.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W w:w="5000" w:type="pct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Metric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How a quant team uses it</w:t>
            </w:r>
          </w:p>
        </w:tc>
        <w:tc>
          <w:tcPr>
            <w:shd w:val="clear" w:color="auto" w:fill="DCE6F2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Impact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Microprice, imbalance, OFI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Short-horizon alpha features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Saves feature-engineering time; consistent exchange-sourced definitions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Depth and flow entropy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Regime filters, quote-widening triggers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Better adverse-selection control for market makers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P(up/down), P(spread widens)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Signal inputs, routing and timing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Ready-made probabilistic features without building a model pipeline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Predictive entropy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Position sizing, risk scaling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 confidence measure attached to every signal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Nested 50/200ms grids with replay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Research-to-production data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Backtests match live behavior</w:t>
            </w:r>
          </w:p>
        </w:tc>
      </w:tr>
    </w:tbl>
    <w:bookmarkEnd w:id="23"/>
    <w:bookmarkStart w:id="24" w:name="how-we-prove-it"/>
    <w:p>
      <w:pPr>
        <w:pStyle w:val="Heading2"/>
      </w:pPr>
      <w:r>
        <w:t xml:space="preserve">How we prove it</w:t>
      </w:r>
    </w:p>
    <w:p>
      <w:pPr>
        <w:pStyle w:val="FirstParagraph"/>
      </w:pPr>
      <w:r>
        <w:t xml:space="preserve">Success is defined before the demo, on out-of-sample data: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Predictive lift:</w:t>
      </w:r>
      <w:r>
        <w:t xml:space="preserve"> </w:t>
      </w:r>
      <w:r>
        <w:t xml:space="preserve">log-loss and AUC improvement of the transformer over logistic-regression and gradient-boosted baselines at each horizon.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Calibration:</w:t>
      </w:r>
      <w:r>
        <w:t xml:space="preserve"> </w:t>
      </w:r>
      <w:r>
        <w:t xml:space="preserve">expected calibration error and reliability plots, since probabilities must mean what they say.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Incremental value:</w:t>
      </w:r>
      <w:r>
        <w:t xml:space="preserve"> </w:t>
      </w:r>
      <w:r>
        <w:t xml:space="preserve">a cost-adjusted signal backtest with and without the pilot features.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Stability:</w:t>
      </w:r>
      <w:r>
        <w:t xml:space="preserve"> </w:t>
      </w:r>
      <w:r>
        <w:t xml:space="preserve">results across volatility regimes and scheduled-event windows.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Honest outcome:</w:t>
      </w:r>
      <w:r>
        <w:t xml:space="preserve"> </w:t>
      </w:r>
      <w:r>
        <w:t xml:space="preserve">if the transformer does not beat the gradient-boosted baseline, we ship the baseline’s probabilities and the features, which are still the core of the product.</w:t>
      </w:r>
    </w:p>
    <w:bookmarkEnd w:id="24"/>
    <w:bookmarkStart w:id="25" w:name="pilot-terms-timeline-and-risks"/>
    <w:p>
      <w:pPr>
        <w:pStyle w:val="Heading2"/>
      </w:pPr>
      <w:r>
        <w:t xml:space="preserve">Pilot terms, timeline and risks</w:t>
      </w:r>
    </w:p>
    <w:p>
      <w:pPr>
        <w:pStyle w:val="FirstParagraph"/>
      </w:pPr>
      <w:r>
        <w:t xml:space="preserve">The pilot runs 6-8 weeks with 3-5 design partners (a prop shop, a market maker, a systematic fund). Build takes about 8 weeks:</w:t>
      </w:r>
    </w:p>
    <w:p>
      <w:pPr>
        <w:numPr>
          <w:ilvl w:val="0"/>
          <w:numId w:val="1003"/>
        </w:numPr>
        <w:pStyle w:val="Compact"/>
      </w:pPr>
      <w:r>
        <w:t xml:space="preserve">Weeks 1-2: synthetic data, book reconstruction, sampler.</w:t>
      </w:r>
    </w:p>
    <w:p>
      <w:pPr>
        <w:numPr>
          <w:ilvl w:val="0"/>
          <w:numId w:val="1003"/>
        </w:numPr>
        <w:pStyle w:val="Compact"/>
      </w:pPr>
      <w:r>
        <w:t xml:space="preserve">Weeks 3-4: Tier 1-2 features, baselines, replay API.</w:t>
      </w:r>
    </w:p>
    <w:p>
      <w:pPr>
        <w:numPr>
          <w:ilvl w:val="0"/>
          <w:numId w:val="1003"/>
        </w:numPr>
        <w:pStyle w:val="Compact"/>
      </w:pPr>
      <w:r>
        <w:t xml:space="preserve">Weeks 5-6: transformer, calibration, evaluation report (go/no-go checkpoint on model lift).</w:t>
      </w:r>
    </w:p>
    <w:p>
      <w:pPr>
        <w:numPr>
          <w:ilvl w:val="0"/>
          <w:numId w:val="1003"/>
        </w:numPr>
        <w:pStyle w:val="Compact"/>
      </w:pPr>
      <w:r>
        <w:t xml:space="preserve">Weeks 7-8: integrity and evaluation agents, demo environment, partner onboarding.</w:t>
      </w:r>
    </w:p>
    <w:p>
      <w:pPr>
        <w:pStyle w:val="FirstParagraph"/>
      </w:pPr>
      <w:r>
        <w:t xml:space="preserve">Main risks: lift over simple baselines may be small, which the week-6 checkpoint is designed to reveal; clients may suspect look-ahead leakage, so windows are strictly causal and the methodology is published; and derived data needs exchange licensing and a clear not-investment-advice statement. A quantum-inspired probability model is deliberately left out of the pilot and can be revisited in phase 2 if it is shown to add measurable value.</w:t>
      </w:r>
    </w:p>
    <w:bookmarkEnd w:id="25"/>
    <w:bookmarkEnd w:id="26"/>
    <w:sectPr>
      <w:pgSz w:w="12240" w:h="15840"/>
      <w:pgMar w:left="864" w:right="864" w:top="864" w:bottom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before="0"/>
    </w:pPr>
    <w:rPr>
      <w:rFonts w:ascii="Calibri" w:hAnsi="Calibri" w:cs="Calibri" w:eastAsia="Calibri"/>
      <w:sz w:val="19"/>
    </w:rPr>
  </w:style>
  <w:style w:styleId="BodyText" w:type="paragraph">
    <w:name w:val="Body Text"/>
    <w:basedOn w:val="Normal"/>
    <w:link w:val="BodyTextChar"/>
    <w:pPr>
      <w:spacing w:after="60" w:before="0"/>
    </w:pPr>
    <w:qFormat/>
    <w:rPr>
      <w:rFonts w:ascii="Calibri" w:hAnsi="Calibri" w:cs="Calibri" w:eastAsia="Calibri"/>
      <w:sz w:val="19"/>
    </w:rPr>
  </w:style>
  <w:style w:customStyle="1" w:styleId="FirstParagraph" w:type="paragraph">
    <w:name w:val="First Paragraph"/>
    <w:basedOn w:val="BodyText"/>
    <w:next w:val="BodyText"/>
    <w:qFormat/>
    <w:pPr>
      <w:spacing w:after="60" w:before="0"/>
    </w:pPr>
    <w:rPr>
      <w:rFonts w:ascii="Calibri" w:hAnsi="Calibri" w:cs="Calibri" w:eastAsia="Calibri"/>
      <w:sz w:val="19"/>
    </w:rPr>
  </w:style>
  <w:style w:customStyle="1" w:styleId="Compact" w:type="paragraph">
    <w:name w:val="Compact"/>
    <w:basedOn w:val="BodyText"/>
    <w:qFormat/>
    <w:pPr>
      <w:spacing w:after="60" w:before="0"/>
    </w:pPr>
    <w:rPr>
      <w:rFonts w:ascii="Calibri" w:hAnsi="Calibri" w:cs="Calibri" w:eastAsia="Calibri"/>
      <w:sz w:val="19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0"/>
      <w:jc w:val="center"/>
    </w:pPr>
    <w:rPr>
      <w:rFonts w:ascii="Calibri" w:hAnsi="Calibri" w:cs="Calibri" w:eastAsia="Calibri"/>
      <w:b/>
      <w:bCs/>
      <w:color w:val="1F3A5F"/>
      <w:sz w:val="3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0"/>
      <w:outlineLvl w:val="0"/>
    </w:pPr>
    <w:rPr>
      <w:rFonts w:ascii="Calibri" w:hAnsi="Calibri" w:cs="Calibri" w:eastAsia="Calibri"/>
      <w:b/>
      <w:bCs/>
      <w:color w:val="1F3A5F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40" w:before="160"/>
      <w:outlineLvl w:val="1"/>
    </w:pPr>
    <w:rPr>
      <w:rFonts w:ascii="Calibri" w:hAnsi="Calibri" w:cs="Calibri" w:eastAsia="Calibri"/>
      <w:b/>
      <w:bCs/>
      <w:color w:val="1F3A5F"/>
      <w:sz w:val="2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40" w:before="120"/>
      <w:outlineLvl w:val="2"/>
    </w:pPr>
    <w:rPr>
      <w:rFonts w:ascii="Calibri" w:hAnsi="Calibri" w:cs="Calibri" w:eastAsia="Calibri"/>
      <w:b/>
      <w:bCs/>
      <w:color w:val="1F3A5F"/>
      <w:sz w:val="20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 w:eastAsia="Consolas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2026-10-06T00:45:22Z</dcterms:created>
  <dcterms:modified xsi:type="dcterms:W3CDTF">2026-10-06T00:45:22Z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