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Well Circle Pilot Sprint Backlog</w:t>
      </w:r>
    </w:p>
    <w:p>
      <w:pPr>
        <w:pStyle w:val="Subtitle"/>
      </w:pPr>
      <w:r>
        <w:t>Three two week sprints for usability and pilot delivery</w:t>
        <w:br/>
        <w:t>Prepared 30 September 2026</w:t>
      </w:r>
    </w:p>
    <w:p>
      <w:r>
        <w:t>Deliver the implementation plan through 15 assignable tasks. Sprint 1 restores and measures the first action; Sprint 2 enables community activation and staffed bookings; Sprint 3 verifies rewards, repeat use, and pilot outcomes. Technical completion and observed pilot outcomes have separate acceptance criteria.</w:t>
      </w:r>
    </w:p>
    <w:p>
      <w:pPr>
        <w:pStyle w:val="Heading2"/>
      </w:pPr>
      <w:r>
        <w:t>Kickoff and planning assumptions</w:t>
      </w:r>
    </w:p>
    <w:p>
      <w:r>
        <w:t>Anteneh assigns named engineering, QA, analytics, and community owners, confirms capacity, and records the start date. Week numbers are relative to kickoff. Estimate ranges are combined engineer days, including engineering support to operations; they exclude partner waiting time and any new IDS connector. Targets remain proposals until Well Circle and Kuriftu ratify them.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54"/>
        <w:gridCol w:w="3182"/>
        <w:gridCol w:w="2275"/>
        <w:gridCol w:w="3254"/>
      </w:tblGrid>
      <w:tr>
        <w:trPr>
          <w:cantSplit/>
          <w:tblHeader/>
        </w:trPr>
        <w:tc>
          <w:tcPr>
            <w:tcW w:type="dxa" w:w="1454"/>
            <w:vAlign w:val="center"/>
            <w:tcMar>
              <w:top w:w="85" w:type="dxa"/>
              <w:bottom w:w="85" w:type="dxa"/>
              <w:left w:w="110" w:type="dxa"/>
              <w:right w:w="110" w:type="dxa"/>
            </w:tcMar>
            <w:shd w:fill="243746"/>
          </w:tcPr>
          <w:p>
            <w:pPr>
              <w:spacing w:after="0" w:line="247" w:lineRule="auto"/>
            </w:pPr>
            <w:r>
              <w:rPr>
                <w:b/>
                <w:color w:val="FFFFFF"/>
                <w:sz w:val="18"/>
              </w:rPr>
              <w:t>Sprint</w:t>
            </w:r>
          </w:p>
        </w:tc>
        <w:tc>
          <w:tcPr>
            <w:tcW w:type="dxa" w:w="3182"/>
            <w:vAlign w:val="center"/>
            <w:tcMar>
              <w:top w:w="85" w:type="dxa"/>
              <w:bottom w:w="85" w:type="dxa"/>
              <w:left w:w="110" w:type="dxa"/>
              <w:right w:w="110" w:type="dxa"/>
            </w:tcMar>
            <w:shd w:fill="243746"/>
          </w:tcPr>
          <w:p>
            <w:pPr>
              <w:spacing w:after="0" w:line="247" w:lineRule="auto"/>
            </w:pPr>
            <w:r>
              <w:rPr>
                <w:b/>
                <w:color w:val="FFFFFF"/>
                <w:sz w:val="18"/>
              </w:rPr>
              <w:t>Primary tasks</w:t>
            </w:r>
          </w:p>
        </w:tc>
        <w:tc>
          <w:tcPr>
            <w:tcW w:type="dxa" w:w="2275"/>
            <w:vAlign w:val="center"/>
            <w:tcMar>
              <w:top w:w="85" w:type="dxa"/>
              <w:bottom w:w="85" w:type="dxa"/>
              <w:left w:w="110" w:type="dxa"/>
              <w:right w:w="110" w:type="dxa"/>
            </w:tcMar>
            <w:shd w:fill="243746"/>
          </w:tcPr>
          <w:p>
            <w:pPr>
              <w:spacing w:after="0" w:line="247" w:lineRule="auto"/>
            </w:pPr>
            <w:r>
              <w:rPr>
                <w:b/>
                <w:color w:val="FFFFFF"/>
                <w:sz w:val="18"/>
              </w:rPr>
              <w:t>Engineering effort</w:t>
            </w:r>
          </w:p>
        </w:tc>
        <w:tc>
          <w:tcPr>
            <w:tcW w:type="dxa" w:w="3254"/>
            <w:vAlign w:val="center"/>
            <w:tcMar>
              <w:top w:w="85" w:type="dxa"/>
              <w:bottom w:w="85" w:type="dxa"/>
              <w:left w:w="110" w:type="dxa"/>
              <w:right w:w="110" w:type="dxa"/>
            </w:tcMar>
            <w:shd w:fill="243746"/>
          </w:tcPr>
          <w:p>
            <w:pPr>
              <w:spacing w:after="0" w:line="247" w:lineRule="auto"/>
            </w:pPr>
            <w:r>
              <w:rPr>
                <w:b/>
                <w:color w:val="FFFFFF"/>
                <w:sz w:val="18"/>
              </w:rPr>
              <w:t>Exit decision</w:t>
            </w:r>
          </w:p>
        </w:tc>
      </w:tr>
      <w:tr>
        <w:trPr>
          <w:cantSplit/>
        </w:trPr>
        <w:tc>
          <w:tcPr>
            <w:tcW w:type="dxa" w:w="1454"/>
            <w:vAlign w:val="center"/>
            <w:tcMar>
              <w:top w:w="85" w:type="dxa"/>
              <w:bottom w:w="85" w:type="dxa"/>
              <w:left w:w="110" w:type="dxa"/>
              <w:right w:w="110" w:type="dxa"/>
            </w:tcMar>
            <w:shd w:fill="FFFFFF"/>
          </w:tcPr>
          <w:p>
            <w:pPr>
              <w:spacing w:after="0" w:line="247" w:lineRule="auto"/>
            </w:pPr>
            <w:r>
              <w:rPr>
                <w:b w:val="0"/>
                <w:color w:val="000000"/>
                <w:sz w:val="18"/>
              </w:rPr>
              <w:t>1</w:t>
              <w:br/>
              <w:t>Weeks 1 to 2</w:t>
            </w:r>
          </w:p>
        </w:tc>
        <w:tc>
          <w:tcPr>
            <w:tcW w:type="dxa" w:w="3182"/>
            <w:vAlign w:val="center"/>
            <w:tcMar>
              <w:top w:w="85" w:type="dxa"/>
              <w:bottom w:w="85" w:type="dxa"/>
              <w:left w:w="110" w:type="dxa"/>
              <w:right w:w="110" w:type="dxa"/>
            </w:tcMar>
            <w:shd w:fill="FFFFFF"/>
          </w:tcPr>
          <w:p>
            <w:pPr>
              <w:spacing w:after="0" w:line="247" w:lineRule="auto"/>
            </w:pPr>
            <w:r>
              <w:rPr>
                <w:b w:val="0"/>
                <w:color w:val="000000"/>
                <w:sz w:val="18"/>
              </w:rPr>
              <w:t>T01 to T06; start T13</w:t>
            </w:r>
          </w:p>
        </w:tc>
        <w:tc>
          <w:tcPr>
            <w:tcW w:type="dxa" w:w="2275"/>
            <w:vAlign w:val="center"/>
            <w:tcMar>
              <w:top w:w="85" w:type="dxa"/>
              <w:bottom w:w="85" w:type="dxa"/>
              <w:left w:w="110" w:type="dxa"/>
              <w:right w:w="110" w:type="dxa"/>
            </w:tcMar>
            <w:shd w:fill="FFFFFF"/>
          </w:tcPr>
          <w:p>
            <w:pPr>
              <w:spacing w:after="0" w:line="247" w:lineRule="auto"/>
            </w:pPr>
            <w:r>
              <w:rPr>
                <w:b w:val="0"/>
                <w:color w:val="000000"/>
                <w:sz w:val="18"/>
              </w:rPr>
              <w:t>8 to 12 days, plus usability work</w:t>
            </w:r>
          </w:p>
        </w:tc>
        <w:tc>
          <w:tcPr>
            <w:tcW w:type="dxa" w:w="3254"/>
            <w:vAlign w:val="center"/>
            <w:tcMar>
              <w:top w:w="85" w:type="dxa"/>
              <w:bottom w:w="85" w:type="dxa"/>
              <w:left w:w="110" w:type="dxa"/>
              <w:right w:w="110" w:type="dxa"/>
            </w:tcMar>
            <w:shd w:fill="FFFFFF"/>
          </w:tcPr>
          <w:p>
            <w:pPr>
              <w:spacing w:after="0" w:line="247" w:lineRule="auto"/>
            </w:pPr>
            <w:r>
              <w:rPr>
                <w:b w:val="0"/>
                <w:color w:val="000000"/>
                <w:sz w:val="18"/>
              </w:rPr>
              <w:t>First action and analytics are reliable; provider/PMS route has an owner and fallback decision.</w:t>
            </w:r>
          </w:p>
        </w:tc>
      </w:tr>
      <w:tr>
        <w:trPr>
          <w:cantSplit/>
        </w:trPr>
        <w:tc>
          <w:tcPr>
            <w:tcW w:type="dxa" w:w="1454"/>
            <w:vAlign w:val="center"/>
            <w:tcMar>
              <w:top w:w="85" w:type="dxa"/>
              <w:bottom w:w="85" w:type="dxa"/>
              <w:left w:w="110" w:type="dxa"/>
              <w:right w:w="110" w:type="dxa"/>
            </w:tcMar>
            <w:shd w:fill="F1F4F6"/>
          </w:tcPr>
          <w:p>
            <w:pPr>
              <w:spacing w:after="0" w:line="247" w:lineRule="auto"/>
            </w:pPr>
            <w:r>
              <w:rPr>
                <w:b w:val="0"/>
                <w:color w:val="000000"/>
                <w:sz w:val="18"/>
              </w:rPr>
              <w:t>2</w:t>
              <w:br/>
              <w:t>Weeks 3 to 4</w:t>
            </w:r>
          </w:p>
        </w:tc>
        <w:tc>
          <w:tcPr>
            <w:tcW w:type="dxa" w:w="3182"/>
            <w:vAlign w:val="center"/>
            <w:tcMar>
              <w:top w:w="85" w:type="dxa"/>
              <w:bottom w:w="85" w:type="dxa"/>
              <w:left w:w="110" w:type="dxa"/>
              <w:right w:w="110" w:type="dxa"/>
            </w:tcMar>
            <w:shd w:fill="F1F4F6"/>
          </w:tcPr>
          <w:p>
            <w:pPr>
              <w:spacing w:after="0" w:line="247" w:lineRule="auto"/>
            </w:pPr>
            <w:r>
              <w:rPr>
                <w:b w:val="0"/>
                <w:color w:val="000000"/>
                <w:sz w:val="18"/>
              </w:rPr>
              <w:t>T07 to T11; start T12; continue T13 and T14</w:t>
            </w:r>
          </w:p>
        </w:tc>
        <w:tc>
          <w:tcPr>
            <w:tcW w:type="dxa" w:w="2275"/>
            <w:vAlign w:val="center"/>
            <w:tcMar>
              <w:top w:w="85" w:type="dxa"/>
              <w:bottom w:w="85" w:type="dxa"/>
              <w:left w:w="110" w:type="dxa"/>
              <w:right w:w="110" w:type="dxa"/>
            </w:tcMar>
            <w:shd w:fill="F1F4F6"/>
          </w:tcPr>
          <w:p>
            <w:pPr>
              <w:spacing w:after="0" w:line="247" w:lineRule="auto"/>
            </w:pPr>
            <w:r>
              <w:rPr>
                <w:b w:val="0"/>
                <w:color w:val="000000"/>
                <w:sz w:val="18"/>
              </w:rPr>
              <w:t>9 to 13 days, plus rewards and hardening work</w:t>
            </w:r>
          </w:p>
        </w:tc>
        <w:tc>
          <w:tcPr>
            <w:tcW w:type="dxa" w:w="3254"/>
            <w:vAlign w:val="center"/>
            <w:tcMar>
              <w:top w:w="85" w:type="dxa"/>
              <w:bottom w:w="85" w:type="dxa"/>
              <w:left w:w="110" w:type="dxa"/>
              <w:right w:w="110" w:type="dxa"/>
            </w:tcMar>
            <w:shd w:fill="F1F4F6"/>
          </w:tcPr>
          <w:p>
            <w:pPr>
              <w:spacing w:after="0" w:line="247" w:lineRule="auto"/>
            </w:pPr>
            <w:r>
              <w:rPr>
                <w:b w:val="0"/>
                <w:color w:val="000000"/>
                <w:sz w:val="18"/>
              </w:rPr>
              <w:t>Real memberships, reminders, and one staffed booking pathway pass release gates.</w:t>
            </w:r>
          </w:p>
        </w:tc>
      </w:tr>
      <w:tr>
        <w:trPr>
          <w:cantSplit/>
        </w:trPr>
        <w:tc>
          <w:tcPr>
            <w:tcW w:type="dxa" w:w="1454"/>
            <w:vAlign w:val="center"/>
            <w:tcMar>
              <w:top w:w="85" w:type="dxa"/>
              <w:bottom w:w="85" w:type="dxa"/>
              <w:left w:w="110" w:type="dxa"/>
              <w:right w:w="110" w:type="dxa"/>
            </w:tcMar>
            <w:shd w:fill="FFFFFF"/>
          </w:tcPr>
          <w:p>
            <w:pPr>
              <w:spacing w:after="0" w:line="247" w:lineRule="auto"/>
            </w:pPr>
            <w:r>
              <w:rPr>
                <w:b w:val="0"/>
                <w:color w:val="000000"/>
                <w:sz w:val="18"/>
              </w:rPr>
              <w:t>3</w:t>
              <w:br/>
              <w:t>Weeks 5 to 6</w:t>
            </w:r>
          </w:p>
        </w:tc>
        <w:tc>
          <w:tcPr>
            <w:tcW w:type="dxa" w:w="3182"/>
            <w:vAlign w:val="center"/>
            <w:tcMar>
              <w:top w:w="85" w:type="dxa"/>
              <w:bottom w:w="85" w:type="dxa"/>
              <w:left w:w="110" w:type="dxa"/>
              <w:right w:w="110" w:type="dxa"/>
            </w:tcMar>
            <w:shd w:fill="FFFFFF"/>
          </w:tcPr>
          <w:p>
            <w:pPr>
              <w:spacing w:after="0" w:line="247" w:lineRule="auto"/>
            </w:pPr>
            <w:r>
              <w:rPr>
                <w:b w:val="0"/>
                <w:color w:val="000000"/>
                <w:sz w:val="18"/>
              </w:rPr>
              <w:t>Finish T12 to T14; T15</w:t>
            </w:r>
          </w:p>
        </w:tc>
        <w:tc>
          <w:tcPr>
            <w:tcW w:type="dxa" w:w="2275"/>
            <w:vAlign w:val="center"/>
            <w:tcMar>
              <w:top w:w="85" w:type="dxa"/>
              <w:bottom w:w="85" w:type="dxa"/>
              <w:left w:w="110" w:type="dxa"/>
              <w:right w:w="110" w:type="dxa"/>
            </w:tcMar>
            <w:shd w:fill="FFFFFF"/>
          </w:tcPr>
          <w:p>
            <w:pPr>
              <w:spacing w:after="0" w:line="247" w:lineRule="auto"/>
            </w:pPr>
            <w:r>
              <w:rPr>
                <w:b w:val="0"/>
                <w:color w:val="000000"/>
                <w:sz w:val="18"/>
              </w:rPr>
              <w:t>7 to 10 days, less work completed earlier</w:t>
            </w:r>
          </w:p>
        </w:tc>
        <w:tc>
          <w:tcPr>
            <w:tcW w:type="dxa" w:w="3254"/>
            <w:vAlign w:val="center"/>
            <w:tcMar>
              <w:top w:w="85" w:type="dxa"/>
              <w:bottom w:w="85" w:type="dxa"/>
              <w:left w:w="110" w:type="dxa"/>
              <w:right w:w="110" w:type="dxa"/>
            </w:tcMar>
            <w:shd w:fill="FFFFFF"/>
          </w:tcPr>
          <w:p>
            <w:pPr>
              <w:spacing w:after="0" w:line="247" w:lineRule="auto"/>
            </w:pPr>
            <w:r>
              <w:rPr>
                <w:b w:val="0"/>
                <w:color w:val="000000"/>
                <w:sz w:val="18"/>
              </w:rPr>
              <w:t>Publish mature pilot results and decide expansion, extension, or pause.</w:t>
            </w:r>
          </w:p>
        </w:tc>
      </w:tr>
    </w:tbl>
    <w:p>
      <w:pPr>
        <w:spacing w:after="0"/>
      </w:pPr>
    </w:p>
    <w:p>
      <w:r>
        <w:t>Total engineering budget: 24 to 35 days before contingency; 29 to 42 days with about 20% contingency. Sprint ranges group each task once for budget purposes; work carried into an earlier sprint reduces the remaining allocation. Confirm actual capacity before committing dates.</w:t>
      </w:r>
    </w:p>
    <w:p>
      <w:pPr>
        <w:pStyle w:val="Heading2"/>
      </w:pPr>
      <w:r>
        <w:t>Dependencies and rules for release</w:t>
      </w:r>
    </w:p>
    <w:p>
      <w:pPr>
        <w:pStyle w:val="ListBullet"/>
      </w:pPr>
      <w:r>
        <w:t>T01 precedes the check-in fix T02; T04 defines measurement before T05, T07, T09, T10, and T15 are signed off. T03 depends on the validated eligibility and transaction behavior from T01 and T02.</w:t>
      </w:r>
    </w:p>
    <w:p>
      <w:pPr>
        <w:pStyle w:val="ListBullet"/>
      </w:pPr>
      <w:r>
        <w:t>T06 operational readiness gates live bookings in T10 and T11 and pricing-dependent rewards in T12. T07 must distinguish social circles from check-in communities before the first-action journey is accepted.</w:t>
      </w:r>
    </w:p>
    <w:p>
      <w:pPr>
        <w:pStyle w:val="ListBullet"/>
      </w:pPr>
      <w:r>
        <w:t>T13 usability findings guide T03, T07, T10, and T14. Recruit evaluation users by Week 4, and early in Week 5 at the latest, so Day 7 results can mature before the Week 6 review.</w:t>
      </w:r>
    </w:p>
    <w:p>
      <w:pPr>
        <w:pStyle w:val="Heading2"/>
      </w:pPr>
      <w:r>
        <w:t>Definition of done for product changes</w:t>
      </w:r>
    </w:p>
    <w:p>
      <w:r>
        <w:t>Record the owner, deployment/build version, changed journey, passing acceptance evidence, metric definition, and rollback method. Update docs/API_CONTRACT.md when API shapes change. Follow the repository review and CI gates, then verify Telegram and web against real API state. Separate synthetic QA accounts from pilot outcome metrics. A task can be implemented while its pilot outcome remains under observation.</w:t>
      </w:r>
    </w:p>
    <w:p>
      <w:r>
        <w:t>Source: Wellcircle_Usability_and_Pilot_Implementation_Plan.docx, Sections 1 to 7; baseline evidence from Wellcircle_Progress_Report Aug17-Sep27.docx. Parent backlog groups A to I map to T01 to T15 below.</w:t>
      </w:r>
    </w:p>
    <w:p>
      <w:r>
        <w:br w:type="page"/>
      </w:r>
    </w:p>
    <w:p>
      <w:pPr>
        <w:pStyle w:val="Heading1"/>
      </w:pPr>
      <w:r>
        <w:t>1 Sprint 1 Restore the check in journey</w:t>
      </w:r>
    </w:p>
    <w:p>
      <w:pPr>
        <w:pStyle w:val="Heading2"/>
      </w:pPr>
      <w:r>
        <w:t>T01 Diagnose deployed check in failures</w:t>
      </w:r>
    </w:p>
    <w:p>
      <w:pPr>
        <w:spacing w:after="100"/>
      </w:pPr>
      <w:r>
        <w:rPr>
          <w:b/>
          <w:sz w:val="19"/>
        </w:rPr>
        <w:t>P0 | Week 1 | Backend engineer and QA | 1 to 2 days | Parent A | No dependency</w:t>
      </w:r>
    </w:p>
    <w:p>
      <w:r>
        <w:t>Trace prompt click through authentication, provider-community membership, the check-in API, persisted feed/streak state, response handling, and event capture. Compare deployed Mini App and web builds with the repository.</w:t>
      </w:r>
    </w:p>
    <w:p>
      <w:pPr>
        <w:pStyle w:val="ListBullet"/>
      </w:pPr>
      <w:r>
        <w:t>Classify the failure as transaction, eligibility/navigation, instrumentation, deployment configuration, or a combination, with a reproducible case.</w:t>
      </w:r>
    </w:p>
    <w:p>
      <w:pPr>
        <w:pStyle w:val="ListBullet"/>
      </w:pPr>
      <w:r>
        <w:t>Compare the last persisted check-in with the last captured event. Reconcile streak-risk events to distinct users and actual streak state.</w:t>
      </w:r>
    </w:p>
    <w:p>
      <w:r>
        <w:t>Completion evidence: A reproduction record with user/build identifiers, API result, database state, event trace, root cause, and proposed fix. Do not treat missing analytics alone as proof of a failed transaction.</w:t>
      </w:r>
    </w:p>
    <w:p>
      <w:pPr>
        <w:pStyle w:val="Heading2"/>
      </w:pPr>
      <w:r>
        <w:t>T02 Restore reliable check in transactions</w:t>
      </w:r>
    </w:p>
    <w:p>
      <w:pPr>
        <w:spacing w:after="100"/>
      </w:pPr>
      <w:r>
        <w:rPr>
          <w:b/>
          <w:sz w:val="19"/>
        </w:rPr>
        <w:t>P0 | Weeks 1 to 2 | Backend engineer | 2 to 3 days | Parent A | Depends on T01</w:t>
      </w:r>
    </w:p>
    <w:p>
      <w:r>
        <w:t>Repair the diagnosed transaction or eligibility failure. Align day boundaries and streak logic across API and client; document the selected pilot timezone. Keep retries safe and analytics independent of transaction success.</w:t>
      </w:r>
    </w:p>
    <w:p>
      <w:pPr>
        <w:pStyle w:val="ListBullet"/>
      </w:pPr>
      <w:r>
        <w:t>Ten controlled eligible attempts across five accounts and both surfaces produce correct persisted state; double taps and retries cannot duplicate streak increments or awards.</w:t>
      </w:r>
    </w:p>
    <w:p>
      <w:pPr>
        <w:pStyle w:val="ListBullet"/>
      </w:pPr>
      <w:r>
        <w:t>Staging cases cover consecutive days, missed days, midnight boundaries, freezes, milestones, personal bests, and comeback bonuses. Routine check-ins retain the approved zero-point behavior.</w:t>
      </w:r>
    </w:p>
    <w:p>
      <w:r>
        <w:t>Completion evidence: Regression results, before/after transaction traces, release version, and production verification. Use controlled QA accounts excluded from pilot counts.</w:t>
      </w:r>
    </w:p>
    <w:p>
      <w:pPr>
        <w:pStyle w:val="Heading2"/>
      </w:pPr>
      <w:r>
        <w:t>T03 Make the daily action understandable</w:t>
      </w:r>
    </w:p>
    <w:p>
      <w:pPr>
        <w:spacing w:after="100"/>
      </w:pPr>
      <w:r>
        <w:rPr>
          <w:b/>
          <w:sz w:val="19"/>
        </w:rPr>
        <w:t>P0 | Week 2 | Frontend engineer and product | 1 day | Parent A | Depends on T01 and T02</w:t>
      </w:r>
    </w:p>
    <w:p>
      <w:r>
        <w:t>Show Check in today for eligible community members and Join a community to check in for others. Explain the action and show loading, persisted success, already-completed state, next availability, and recoverable errors.</w:t>
      </w:r>
    </w:p>
    <w:p>
      <w:pPr>
        <w:pStyle w:val="ListBullet"/>
      </w:pPr>
      <w:r>
        <w:t>Refresh and reopening preserve completed state. Network failure, expired session, and missing membership each show a useful next action.</w:t>
      </w:r>
    </w:p>
    <w:p>
      <w:pPr>
        <w:pStyle w:val="ListBullet"/>
      </w:pPr>
      <w:r>
        <w:t>The join action opens a real eligible community. Copy accurately describes streaks and rewards; social-circle membership does not imply provider-community membership.</w:t>
      </w:r>
    </w:p>
    <w:p>
      <w:r>
        <w:t>Completion evidence: Screenshots and task traces on Telegram and web, plus acceptance by product and QA. Confirm the first-action usability threshold in T13 before broad recruitment.</w:t>
      </w:r>
    </w:p>
    <w:p>
      <w:pPr>
        <w:pStyle w:val="Heading2"/>
      </w:pPr>
      <w:r>
        <w:t>Sprint 1 first action release gate</w:t>
      </w:r>
    </w:p>
    <w:p>
      <w:r>
        <w:t>Engineering and QA approve T01 to T03 when persisted state and user-visible state agree and no duplicate activity is created. PostHog coverage is signed off through T05. If transaction reliability remains unresolved, carry these tasks forward before scaling traffic. Onboarding membership fixes from T07 may be pulled into Week 2 when T01 identifies them as the blocker.</w:t>
      </w:r>
    </w:p>
    <w:p>
      <w:r>
        <w:br w:type="page"/>
      </w:r>
    </w:p>
    <w:p>
      <w:pPr>
        <w:pStyle w:val="Heading1"/>
      </w:pPr>
      <w:r>
        <w:t>2 Sprint 1 Establish measurement and provider readiness</w:t>
      </w:r>
    </w:p>
    <w:p>
      <w:pPr>
        <w:pStyle w:val="Heading2"/>
      </w:pPr>
      <w:r>
        <w:t>T04 Define the pilot event dictionary and scorecard</w:t>
      </w:r>
    </w:p>
    <w:p>
      <w:pPr>
        <w:spacing w:after="100"/>
      </w:pPr>
      <w:r>
        <w:rPr>
          <w:b/>
          <w:sz w:val="19"/>
        </w:rPr>
        <w:t>P0 | Week 1 | Analytics and product with engineering | 1 day | Parent B | No dependency</w:t>
      </w:r>
    </w:p>
    <w:p>
      <w:r>
        <w:t>Specify each event trigger, success condition, canonical identity, source tag, group type, local date, entity ID, and deduplication rule. Ratify target numerators, denominators, exclusions, and observation windows.</w:t>
      </w:r>
    </w:p>
    <w:p>
      <w:pPr>
        <w:pStyle w:val="ListBullet"/>
      </w:pPr>
      <w:r>
        <w:t>Correct funnel definitions to 80% open-to-explore, 50% explore-to-start, and 40% open-to-start for the reported counts. Define booking requests separately from staff acceptance.</w:t>
      </w:r>
    </w:p>
    <w:p>
      <w:pPr>
        <w:pStyle w:val="ListBullet"/>
      </w:pPr>
      <w:r>
        <w:t>Document action-based Day 1 and Day 7 retention and preserve app-open retention for historical comparison. Mark every proposed target and minimum cohort size.</w:t>
      </w:r>
    </w:p>
    <w:p>
      <w:r>
        <w:t>Completion evidence: Versioned dictionary, dashboard specification, and a scorecard approved by Anteneh and the Kuriftu pilot representative.</w:t>
      </w:r>
    </w:p>
    <w:p>
      <w:pPr>
        <w:pStyle w:val="Heading2"/>
      </w:pPr>
      <w:r>
        <w:t>T05 Repair event coverage and attribution</w:t>
      </w:r>
    </w:p>
    <w:p>
      <w:pPr>
        <w:spacing w:after="100"/>
      </w:pPr>
      <w:r>
        <w:rPr>
          <w:b/>
          <w:sz w:val="19"/>
        </w:rPr>
        <w:t>P0 | Weeks 1 to 2 | Analytics and frontend/backend engineers | 2 to 3 days | Parent B | Depends on T04</w:t>
      </w:r>
    </w:p>
    <w:p>
      <w:r>
        <w:t>Audit analytics initialization and identity continuity on both surfaces. Normalize explore categories, including all; attach card instance/session identifiers; preserve campaign sources through QR landing and authentication.</w:t>
      </w:r>
    </w:p>
    <w:p>
      <w:pPr>
        <w:pStyle w:val="ListBullet"/>
      </w:pPr>
      <w:r>
        <w:t>Reconcile twenty controlled journeys to server records. Successful check-ins are observable when analytics is available; failures carry reason codes without exposing auth payloads.</w:t>
      </w:r>
    </w:p>
    <w:p>
      <w:pPr>
        <w:pStyle w:val="ListBullet"/>
      </w:pPr>
      <w:r>
        <w:t>At least 95% of observed explore events have valid category values. At least 95% of unique download sessions have a preceding card-show event; repeated downloads remain separately countable.</w:t>
      </w:r>
    </w:p>
    <w:p>
      <w:r>
        <w:t>Completion evidence: Reconciliation export, event payload samples, source-tag tests, exclusions for QA users, and a released data-quality dashboard. Report unmatched anonymous visits separately.</w:t>
      </w:r>
    </w:p>
    <w:p>
      <w:pPr>
        <w:pStyle w:val="Heading2"/>
      </w:pPr>
      <w:r>
        <w:t>T06 Close provider and IDS readiness decisions</w:t>
      </w:r>
    </w:p>
    <w:p>
      <w:pPr>
        <w:spacing w:after="100"/>
      </w:pPr>
      <w:r>
        <w:rPr>
          <w:b/>
          <w:sz w:val="19"/>
        </w:rPr>
        <w:t>P0 | Start Week 1 with weekly follow-up | Anteneh Aman Sosina and operations | 1 to 2 support days | Parent C</w:t>
      </w:r>
    </w:p>
    <w:p>
      <w:r>
        <w:t>Aman schedules the IDS follow-up. Sosina supplies the service, pricing, and reward list. Anteneh coordinates agreement status and selects one staffed provider; Mahlet supports executive decisions and placements.</w:t>
      </w:r>
    </w:p>
    <w:p>
      <w:pPr>
        <w:pStyle w:val="ListBullet"/>
      </w:pPr>
      <w:r>
        <w:t>Record a named confirmation owner, offered slots, approved pricing, response window, cancellations, support route, fulfillment capacity, and the agreement decision.</w:t>
      </w:r>
    </w:p>
    <w:p>
      <w:pPr>
        <w:pStyle w:val="ListBullet"/>
      </w:pPr>
      <w:r>
        <w:t>By end of Week 2, document Option A channel-manager interface, Option B vendor-approved file drop, or a Kuriftu-accepted staffed export fallback. Record interface access, status/time mapping, and exception ownership.</w:t>
      </w:r>
    </w:p>
    <w:p>
      <w:r>
        <w:t>Completion evidence: Meeting decision log, provider readiness checklist, approved fallback, and dated open dependencies. A booked meeting alone does not close this task; PMS automation remains a separate test and estimate.</w:t>
      </w:r>
    </w:p>
    <w:p>
      <w:pPr>
        <w:pStyle w:val="Heading2"/>
      </w:pPr>
      <w:r>
        <w:t>Blocked work and escalation</w:t>
      </w:r>
    </w:p>
    <w:p>
      <w:r>
        <w:t>If IDS access is delayed, Aman records the escalation contact and date while operations validates the staffed fallback. If pricing or agreement approval is delayed, keep the provider unavailable for live requests and continue technical staging work. Anteneh revises the pilot schedule when readiness affects the observation window.</w:t>
      </w:r>
    </w:p>
    <w:p>
      <w:r>
        <w:br w:type="page"/>
      </w:r>
    </w:p>
    <w:p>
      <w:pPr>
        <w:pStyle w:val="Heading1"/>
      </w:pPr>
      <w:r>
        <w:t>3 Sprint 2 Activate communities and repeat use</w:t>
      </w:r>
    </w:p>
    <w:p>
      <w:pPr>
        <w:pStyle w:val="Heading2"/>
      </w:pPr>
      <w:r>
        <w:t>T07 Connect onboarding to persisted membership</w:t>
      </w:r>
    </w:p>
    <w:p>
      <w:pPr>
        <w:spacing w:after="100"/>
      </w:pPr>
      <w:r>
        <w:rPr>
          <w:b/>
          <w:sz w:val="19"/>
        </w:rPr>
        <w:t>P1 | Weeks 2 to 3 | Frontend/backend engineers and product | 2 to 3 days | Parent D | Depends on T04 and T01 eligibility findings</w:t>
      </w:r>
    </w:p>
    <w:p>
      <w:r>
        <w:t>Replace invalid or mock recommendations with production groups. Offer up to two relevant joinable suggestions, retain a skip, and confirm membership before offering the next activity. Distinguish circle and community APIs.</w:t>
      </w:r>
    </w:p>
    <w:p>
      <w:pPr>
        <w:pStyle w:val="ListBullet"/>
      </w:pPr>
      <w:r>
        <w:t>Membership survives refresh. Failed joins and skipped onboarding preserve user progress and offer recovery. Emit the correct joined event only after server success.</w:t>
      </w:r>
    </w:p>
    <w:p>
      <w:pPr>
        <w:pStyle w:val="ListBullet"/>
      </w:pPr>
      <w:r>
        <w:t>Check-in users can reach an eligible provider community. Product can report confirmed onboarding joins within 24 hours with prior members excluded.</w:t>
      </w:r>
    </w:p>
    <w:p>
      <w:r>
        <w:t>Completion evidence: Successful and failed join traces for both group types, production suggestion records, and the onboarding activation funnel. Outcome target: at least 50% of twenty completed onboardings join a circle, subject to ratification.</w:t>
      </w:r>
    </w:p>
    <w:p>
      <w:pPr>
        <w:pStyle w:val="Heading2"/>
      </w:pPr>
      <w:r>
        <w:t>T08 Create hosted circles through event invitations</w:t>
      </w:r>
    </w:p>
    <w:p>
      <w:pPr>
        <w:spacing w:after="100"/>
      </w:pPr>
      <w:r>
        <w:rPr>
          <w:b/>
          <w:sz w:val="19"/>
        </w:rPr>
        <w:t>P1 | Week 3 | Community lead with frontend engineer | 1 day | Parent D | Depends on T07 and T04</w:t>
      </w:r>
    </w:p>
    <w:p>
      <w:r>
        <w:t>Validate the existing create-circle and invitation flow before adding new UI. Help three hosts publish a purpose, cover, next activity, and tagged event invitation, then invite participants to one useful follow-up action.</w:t>
      </w:r>
    </w:p>
    <w:p>
      <w:pPr>
        <w:pStyle w:val="ListBullet"/>
      </w:pPr>
      <w:r>
        <w:t>Creation persists with correct ownership; validation errors and permission failures recover cleanly. Invitations open the right group on Telegram and web.</w:t>
      </w:r>
    </w:p>
    <w:p>
      <w:pPr>
        <w:pStyle w:val="ListBullet"/>
      </w:pPr>
      <w:r>
        <w:t>Each of three circles has a host and next activity. Track distinct joiners and inviters; count activity without mixing provider communities into circle totals.</w:t>
      </w:r>
    </w:p>
    <w:p>
      <w:r>
        <w:t>Completion evidence: Circle IDs, host roster, creation/join traces, tagged links, and weekly activity records. Outcome targets: five members and three participants per circle in seven days, ten additional distinct joiners, five inviters.</w:t>
      </w:r>
    </w:p>
    <w:p>
      <w:pPr>
        <w:pStyle w:val="Heading2"/>
      </w:pPr>
      <w:r>
        <w:t>T09 Deliver a Day 1 return reminder</w:t>
      </w:r>
    </w:p>
    <w:p>
      <w:pPr>
        <w:spacing w:after="100"/>
      </w:pPr>
      <w:r>
        <w:rPr>
          <w:b/>
          <w:sz w:val="19"/>
        </w:rPr>
        <w:t>P1 | Weeks 3 to 4 | Bot/backend engineer | 2 to 3 days | Parent E | Depends on T02 T04 and reachable activity from T07</w:t>
      </w:r>
    </w:p>
    <w:p>
      <w:r>
        <w:t>Schedule a reminder around 24 hours after first activation for eligible users who have not returned. Use a reachable bot chat and notification preference, and link to the next eligible activity. Offer an in-app return prompt for web users without a bot channel.</w:t>
      </w:r>
    </w:p>
    <w:p>
      <w:pPr>
        <w:pStyle w:val="ListBullet"/>
      </w:pPr>
      <w:r>
        <w:t>The job suppresses completed, opted-out, unreachable, or ineligible users; retries do not resend. Coordinate existing jobs under the proposed one proactive reminder per user per day cap.</w:t>
      </w:r>
    </w:p>
    <w:p>
      <w:pPr>
        <w:pStyle w:val="ListBullet"/>
      </w:pPr>
      <w:r>
        <w:t>Track sent/failed, return open, and action within 24 hours. Test worker restart, failed Telegram delivery, and deep links on real devices. Delivery is not treated as a read receipt.</w:t>
      </w:r>
    </w:p>
    <w:p>
      <w:r>
        <w:t>Completion evidence: Job eligibility tests, send ledger, worker health, device traces, and a reminder-return dashboard. Enroll the evaluation cohort early enough for Day 7 observation.</w:t>
      </w:r>
    </w:p>
    <w:p>
      <w:pPr>
        <w:pStyle w:val="Heading2"/>
      </w:pPr>
      <w:r>
        <w:t>Cohort recruitment alongside Sprint 2</w:t>
      </w:r>
    </w:p>
    <w:p>
      <w:r>
        <w:t>Community and marketing leads recruit toward 20 to 30 weekly active pilot testers by Week 4 using Boston Day Spa QR visits and hosted groups. Tag every link. Mahlet confirms QR placements; Mahlet and Sosina review Kuriftu story content. Begin larger promotion after check-in and measurement gates pass. Record channel, app surface, first action, and support needs; exclude staff tests.</w:t>
      </w:r>
    </w:p>
    <w:p>
      <w:r>
        <w:br w:type="page"/>
      </w:r>
    </w:p>
    <w:p>
      <w:pPr>
        <w:pStyle w:val="Heading1"/>
      </w:pPr>
      <w:r>
        <w:t>4 Sprint 2 Enable staffed bookings and rewards</w:t>
      </w:r>
    </w:p>
    <w:p>
      <w:pPr>
        <w:pStyle w:val="Heading2"/>
      </w:pPr>
      <w:r>
        <w:t>T10 Separate booking requests from accepted bookings</w:t>
      </w:r>
    </w:p>
    <w:p>
      <w:pPr>
        <w:spacing w:after="100"/>
      </w:pPr>
      <w:r>
        <w:rPr>
          <w:b/>
          <w:sz w:val="19"/>
        </w:rPr>
        <w:t>P1 | Weeks 3 to 4 | Frontend/backend engineers | 2 to 3 days | Parent F | Depends on T04 and T06 for live release</w:t>
      </w:r>
    </w:p>
    <w:p>
      <w:r>
        <w:t>Show the service, location, local date/time, final ETB price, phone requirements, and pay-on-site terms. Introduce requested, accepted, fulfilled, rejected, and cancelled states; pending requests display Request received.</w:t>
      </w:r>
    </w:p>
    <w:p>
      <w:pPr>
        <w:pStyle w:val="ListBullet"/>
      </w:pPr>
      <w:r>
        <w:t>A persisted request emits booking_requested. Staff acceptance and attendance emit their own events with the booking ID; historical booking_confirmed semantics remain annotated.</w:t>
      </w:r>
    </w:p>
    <w:p>
      <w:pPr>
        <w:pStyle w:val="ListBullet"/>
      </w:pPr>
      <w:r>
        <w:t>Server checks price and service availability. Double taps and retries cannot create duplicate requests. Users can revisit status, cancel where allowed, and contact support.</w:t>
      </w:r>
    </w:p>
    <w:p>
      <w:r>
        <w:t>Completion evidence: State-transition tests and device traces for request, retry, rejection, and cancellation. Run only staging requests until T06 provider readiness passes.</w:t>
      </w:r>
    </w:p>
    <w:p>
      <w:pPr>
        <w:pStyle w:val="Heading2"/>
      </w:pPr>
      <w:r>
        <w:t>T11 Give staff a reconciled request queue</w:t>
      </w:r>
    </w:p>
    <w:p>
      <w:pPr>
        <w:spacing w:after="100"/>
      </w:pPr>
      <w:r>
        <w:rPr>
          <w:b/>
          <w:sz w:val="19"/>
        </w:rPr>
        <w:t>P1 | Weeks 3 to 4 | Backend engineer and provider operations | 2 to 3 days | Parent F | Depends on T06 and T10</w:t>
      </w:r>
    </w:p>
    <w:p>
      <w:r>
        <w:t>Use the provider portal or accepted export fallback to assign requests, accept/reject slots, record attendance, and reconcile daily. Keep actual collected payment separate from projected booking value.</w:t>
      </w:r>
    </w:p>
    <w:p>
      <w:pPr>
        <w:pStyle w:val="ListBullet"/>
      </w:pPr>
      <w:r>
        <w:t>Three staging cases cover successful acceptance/attendance, rejection or cancellation, and retry/reconciliation without duplicates. Staff can identify and resolve missing or mismatched records.</w:t>
      </w:r>
    </w:p>
    <w:p>
      <w:pPr>
        <w:pStyle w:val="ListBullet"/>
      </w:pPr>
      <w:r>
        <w:t>Provider operations accepts the queue and response window. Every live booking links request, staff decision, attendance, and any payment record.</w:t>
      </w:r>
    </w:p>
    <w:p>
      <w:r>
        <w:t>Completion evidence: Staff runbook, trained owner and backup, daily reconciliation record, and exception log. Outcome targets: ten eligible requesters, at least 60% accepted within one business day, five real fulfilled bookings.</w:t>
      </w:r>
    </w:p>
    <w:p>
      <w:pPr>
        <w:pStyle w:val="Heading2"/>
      </w:pPr>
      <w:r>
        <w:t>T12 Publish reachable rewards and verify redemption</w:t>
      </w:r>
    </w:p>
    <w:p>
      <w:pPr>
        <w:spacing w:after="100"/>
      </w:pPr>
      <w:r>
        <w:rPr>
          <w:b/>
          <w:sz w:val="19"/>
        </w:rPr>
        <w:t>P1 | Start Week 4 finish Week 5 | Backend/frontend engineers and operations | 3 to 4 days | Parent G | Depends on T06 and T04</w:t>
      </w:r>
    </w:p>
    <w:p>
      <w:r>
        <w:t>Expose funded rewards with approved cost, eligibility, inventory, location, validity, and redemption instructions. Reuse the points ledger and redemption flow where possible. Align progress copy with the actual points rules.</w:t>
      </w:r>
    </w:p>
    <w:p>
      <w:pPr>
        <w:pStyle w:val="ListBullet"/>
      </w:pPr>
      <w:r>
        <w:t>Provider validates an issued code once; concurrent redemption and retries cannot double debit or exceed inventory. Failed fulfillment follows a tested reversal rule.</w:t>
      </w:r>
    </w:p>
    <w:p>
      <w:pPr>
        <w:pStyle w:val="ListBullet"/>
      </w:pPr>
      <w:r>
        <w:t>Reward states reconcile to inventory and ledger entries. Daily check-in is described as streak-only unless approved economy rules change.</w:t>
      </w:r>
    </w:p>
    <w:p>
      <w:r>
        <w:t>Completion evidence: Inventory/ledger reconciliation and concurrency/reversal tests. Outcome target: three verified redemptions from three real users before expansion review.</w:t>
      </w:r>
    </w:p>
    <w:p>
      <w:pPr>
        <w:pStyle w:val="Heading2"/>
      </w:pPr>
      <w:r>
        <w:t>PMS automation remains separately gated</w:t>
      </w:r>
    </w:p>
    <w:p>
      <w:r>
        <w:t>Aman and engineering verify the vendor-approved interface with real status mapping, local-time handling, retries, deduplication, and exceptions before calling it operational. Estimate connector work after IDS confirms access and scope. The backlog budget covers readiness support and the staffed booking workflow; it does not promise a new connector within six weeks.</w:t>
      </w:r>
    </w:p>
    <w:p>
      <w:r>
        <w:br w:type="page"/>
      </w:r>
    </w:p>
    <w:p>
      <w:pPr>
        <w:pStyle w:val="Heading1"/>
      </w:pPr>
      <w:r>
        <w:t>5 Sprint 3 Validate usability and pilot outcomes</w:t>
      </w:r>
    </w:p>
    <w:p>
      <w:pPr>
        <w:pStyle w:val="Heading2"/>
      </w:pPr>
      <w:r>
        <w:t>T13 Run observed usability sessions and fix failures</w:t>
      </w:r>
    </w:p>
    <w:p>
      <w:pPr>
        <w:spacing w:after="100"/>
      </w:pPr>
      <w:r>
        <w:rPr>
          <w:b/>
          <w:sz w:val="19"/>
        </w:rPr>
        <w:t>P1 | Start Week 2 continue through Week 5 | Product QA and frontend engineer | 1 to 2 days | Parent H | Depends on released task journeys</w:t>
      </w:r>
    </w:p>
    <w:p>
      <w:r>
        <w:t>Observe eight participants across Telegram and web, English and Amharic, including at least three newcomers. Test QR entry, joining, check-in, service discovery, and requesting a live service when ready. Capture errors, completion, time, and assistance.</w:t>
      </w:r>
    </w:p>
    <w:p>
      <w:pPr>
        <w:pStyle w:val="ListBullet"/>
      </w:pPr>
      <w:r>
        <w:t>At least seven of eight join and check in without coaching; median first check-in is within two minutes of authenticated entry. Fix repeated blockers and repeat the affected tasks.</w:t>
      </w:r>
    </w:p>
    <w:p>
      <w:pPr>
        <w:pStyle w:val="ListBullet"/>
      </w:pPr>
      <w:r>
        <w:t>Verify small screens, back navigation, larger text, keyboard/screen-reader labels, iOS/Android Telegram, and slow connections. Do not force participants through unavailable live services.</w:t>
      </w:r>
    </w:p>
    <w:p>
      <w:r>
        <w:t>Completion evidence: Task script, participant/result matrix, observed problems ranked by impact, fixes, and retest outcomes. Conduct membership/check-in tests early; add live booking tasks after provider release.</w:t>
      </w:r>
    </w:p>
    <w:p>
      <w:pPr>
        <w:pStyle w:val="Heading2"/>
      </w:pPr>
      <w:r>
        <w:t>T14 Harden and verify the released journeys</w:t>
      </w:r>
    </w:p>
    <w:p>
      <w:pPr>
        <w:spacing w:after="100"/>
      </w:pPr>
      <w:r>
        <w:rPr>
          <w:b/>
          <w:sz w:val="19"/>
        </w:rPr>
        <w:t>P1 | Weeks 3 to 5 | Engineering lead and QA | 2 days | Parent H | Depends on relevant T02 to T12 releases</w:t>
      </w:r>
    </w:p>
    <w:p>
      <w:r>
        <w:t>Resolve observed regressions and verify the release against actual API state on both app surfaces. Run the applicable repository CI gates and update changed API contracts. Confirm bot worker scheduling and feature rollback paths.</w:t>
      </w:r>
    </w:p>
    <w:p>
      <w:pPr>
        <w:pStyle w:val="ListBullet"/>
      </w:pPr>
      <w:r>
        <w:t>Critical journeys pass retry, expired-session, refresh, membership-change, time-boundary, and inventory checks. No unresolved duplicate booking, award, or redemption defect remains.</w:t>
      </w:r>
    </w:p>
    <w:p>
      <w:pPr>
        <w:pStyle w:val="ListBullet"/>
      </w:pPr>
      <w:r>
        <w:t>Release/build versions, telemetry, rollback instructions, and staff support ownership are documented; controlled test accounts stay excluded from pilot outcome dashboards.</w:t>
      </w:r>
    </w:p>
    <w:p>
      <w:r>
        <w:t>Completion evidence: Passing required checks, production verification log, reviewed changes, and QA sign-off. Retest changed or failed behavior; avoid unrelated expansion of the test scope.</w:t>
      </w:r>
    </w:p>
    <w:p>
      <w:pPr>
        <w:pStyle w:val="Heading2"/>
      </w:pPr>
      <w:r>
        <w:t>T15 Reconcile mature pilot metrics and hold the review</w:t>
      </w:r>
    </w:p>
    <w:p>
      <w:pPr>
        <w:spacing w:after="100"/>
      </w:pPr>
      <w:r>
        <w:rPr>
          <w:b/>
          <w:sz w:val="19"/>
        </w:rPr>
        <w:t>P1 | Weeks 5 to 6 | Anteneh analytics and provider operations | 1 to 2 support days | Parent I | Depends on T04 T05 and released journeys</w:t>
      </w:r>
    </w:p>
    <w:p>
      <w:r>
        <w:t>Report each ratified target with actual count, denominator, window, app surface, source, and exclusion rules. Match booking attendance and reward fulfillment to operations records, and show support workload and outstanding dependencies.</w:t>
      </w:r>
    </w:p>
    <w:p>
      <w:pPr>
        <w:pStyle w:val="ListBullet"/>
      </w:pPr>
      <w:r>
        <w:t>Use at least twenty mature users for each retention read: proposed Day 1 target 40%, Day 7 target 20%. Report insufficient evidence where sample size or elapsed time is inadequate.</w:t>
      </w:r>
    </w:p>
    <w:p>
      <w:pPr>
        <w:pStyle w:val="ListBullet"/>
      </w:pPr>
      <w:r>
        <w:t>Proposed check-in completion is at least 80% across twenty eligible distinct clickers. Include onboarding, active-circle, weekly activity, booking, redemption, and data-quality results from the parent scorecard.</w:t>
      </w:r>
    </w:p>
    <w:p>
      <w:r>
        <w:t>Completion evidence: Pilot results pack and leadership decision record: expand, extend with a dated correction plan, or pause expansion. Never mark observed outcomes complete solely because the feature shipped.</w:t>
      </w:r>
    </w:p>
    <w:p>
      <w:pPr>
        <w:pStyle w:val="Heading2"/>
      </w:pPr>
      <w:r>
        <w:t>Weekly delivery review</w:t>
      </w:r>
    </w:p>
    <w:p>
      <w:r>
        <w:t>Anteneh reviews task owner, status, blocker, next action, expected finish, and evidence each week. Engineering and operations check failures and pending requests daily during release weeks. Leadership records every unmet criterion with an owner and date, and records staffed fallback and automated PMS readiness as separate decisions.</w:t>
      </w:r>
    </w:p>
    <w:sectPr w:rsidR="00FC693F" w:rsidRPr="0006063C" w:rsidSect="00034616">
      <w:footerReference w:type="default" r:id="rId9"/>
      <w:pgSz w:w="12240" w:h="15840"/>
      <w:pgMar w:top="979" w:right="1037" w:bottom="936"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 Circle Pilot Sprint Backlog</dc:title>
  <dc:subject>Implementation priorities based on the August 17 to September 27 2026 progress report</dc:subject>
  <dc:creator>Well Circle</dc:creator>
  <cp:keywords/>
  <dc:description>generated by python-docx</dc:description>
  <cp:lastModifiedBy/>
  <cp:revision>1</cp:revision>
  <dcterms:created xsi:type="dcterms:W3CDTF">2013-12-23T23:15:00Z</dcterms:created>
  <dcterms:modified xsi:type="dcterms:W3CDTF">2013-12-23T23:15:00Z</dcterms:modified>
  <cp:category/>
</cp:coreProperties>
</file>