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40" w:before="0"/>
        <w:jc w:val="center"/>
      </w:pPr>
      <w:r>
        <w:rPr>
          <w:b/>
          <w:bCs/>
          <w:i w:val="false"/>
          <w:iCs w:val="false"/>
          <w:color w:val="6B6B6B"/>
          <w:sz w:val="20"/>
          <w:szCs w:val="20"/>
        </w:rPr>
        <w:t xml:space="preserve">Prepared For</w:t>
      </w:r>
    </w:p>
    <w:p>
      <w:pPr>
        <w:spacing w:after="300" w:before="0"/>
        <w:jc w:val="center"/>
      </w:pPr>
      <w:r>
        <w:rPr>
          <w:b/>
          <w:bCs/>
          <w:i w:val="false"/>
          <w:iCs w:val="false"/>
          <w:color w:val="222222"/>
          <w:sz w:val="24"/>
          <w:szCs w:val="24"/>
        </w:rPr>
        <w:t xml:space="preserve">Kuriftu Resorts Team</w:t>
      </w:r>
    </w:p>
    <w:p>
      <w:pPr>
        <w:spacing w:after="100" w:before="200"/>
        <w:jc w:val="center"/>
      </w:pPr>
      <w:r>
        <w:rPr>
          <w:b/>
          <w:bCs/>
          <w:color w:val="1E5631"/>
          <w:sz w:val="40"/>
          <w:szCs w:val="40"/>
        </w:rPr>
        <w:t xml:space="preserve">Well Circle Progress Report</w:t>
      </w:r>
    </w:p>
    <w:p>
      <w:pPr>
        <w:spacing w:after="400"/>
        <w:jc w:val="center"/>
      </w:pPr>
      <w:r>
        <w:rPr>
          <w:color w:val="6B6B6B"/>
          <w:sz w:val="26"/>
          <w:szCs w:val="26"/>
        </w:rPr>
        <w:t xml:space="preserve">August 17 – September 27, 2026</w:t>
      </w:r>
    </w:p>
    <w:p>
      <w:pPr>
        <w:spacing w:after="40" w:before="0"/>
        <w:jc w:val="center"/>
      </w:pPr>
      <w:r>
        <w:rPr>
          <w:b/>
          <w:bCs/>
          <w:i w:val="false"/>
          <w:iCs w:val="false"/>
          <w:color w:val="6B6B6B"/>
          <w:sz w:val="20"/>
          <w:szCs w:val="20"/>
        </w:rPr>
        <w:t xml:space="preserve">Prepared By</w:t>
      </w:r>
    </w:p>
    <w:p>
      <w:pPr>
        <w:spacing w:after="20" w:before="0"/>
        <w:jc w:val="center"/>
      </w:pPr>
      <w:r>
        <w:rPr>
          <w:b/>
          <w:bCs/>
          <w:i w:val="false"/>
          <w:iCs w:val="false"/>
          <w:color w:val="222222"/>
          <w:sz w:val="22"/>
          <w:szCs w:val="22"/>
        </w:rPr>
        <w:t xml:space="preserve">Anteneh Yimmam</w:t>
      </w:r>
    </w:p>
    <w:p>
      <w:pPr>
        <w:spacing w:after="20" w:before="0"/>
        <w:jc w:val="center"/>
      </w:pPr>
      <w:r>
        <w:rPr>
          <w:b w:val="false"/>
          <w:bCs w:val="false"/>
          <w:i w:val="false"/>
          <w:iCs w:val="false"/>
          <w:color w:val="6B6B6B"/>
          <w:sz w:val="20"/>
          <w:szCs w:val="20"/>
        </w:rPr>
        <w:t xml:space="preserve">Product Manager, Well Circle Team</w:t>
      </w:r>
    </w:p>
    <w:p>
      <w:pPr>
        <w:spacing w:after="20" w:before="0"/>
        <w:jc w:val="center"/>
      </w:pPr>
      <w:r>
        <w:rPr>
          <w:b w:val="false"/>
          <w:bCs w:val="false"/>
          <w:i w:val="false"/>
          <w:iCs w:val="false"/>
          <w:color w:val="6B6B6B"/>
          <w:sz w:val="20"/>
          <w:szCs w:val="20"/>
        </w:rPr>
        <w:t xml:space="preserve">anteneh@wellcircle.et</w:t>
      </w:r>
    </w:p>
    <w:p>
      <w:r>
        <w:br w:type="page"/>
      </w:r>
    </w:p>
    <w:p>
      <w:pPr>
        <w:pStyle w:val="Heading1"/>
        <w:spacing w:after="160" w:before="360"/>
      </w:pPr>
      <w:r>
        <w:rPr>
          <w:b/>
          <w:bCs/>
          <w:color w:val="1E5631"/>
          <w:sz w:val="30"/>
          <w:szCs w:val="30"/>
        </w:rPr>
        <w:t xml:space="preserve">TL;DR</w:t>
      </w:r>
    </w:p>
    <w:p>
      <w:pPr>
        <w:spacing w:after="160" w:before="0"/>
      </w:pPr>
      <w:r>
        <w:rPr>
          <w:color w:val="222222"/>
          <w:sz w:val="21"/>
          <w:szCs w:val="21"/>
        </w:rPr>
        <w:t xml:space="preserve">Well Circle spent Aug 17 – Sep 27 building social and community presence, then, starting last week, began actively funneling that audience into the Telegram bot for the first time. The one standing product issue is the check-in habit loop: </w:t>
      </w:r>
      <w:r>
        <w:rPr>
          <w:b/>
          <w:bCs/>
          <w:color w:val="C0392B"/>
          <w:sz w:val="21"/>
          <w:szCs w:val="21"/>
        </w:rPr>
        <w:t xml:space="preserve">zero check-ins have been completed, and the event has not fired in production at all in over 90 days</w:t>
      </w:r>
      <w:r>
        <w:rPr>
          <w:color w:val="222222"/>
          <w:sz w:val="21"/>
          <w:szCs w:val="21"/>
        </w:rPr>
        <w:t xml:space="preserve">, despite strong nudge click-through and a growing backlog of at-risk streaks. (Booking confirmation is not yet a live pathway — no provider has bookings turned on yet, so 0% there simply reflects that no tester has had anything to confirm, not a defect.) On the community side, the team completed IDS integration readiness, held the in-person Aman/Sosina meeting, shipped a provider-domain migration, and kept a consistent wellness-event cadence — but the follow-up </w:t>
      </w:r>
      <w:r>
        <w:rPr>
          <w:b/>
          <w:bCs/>
          <w:color w:val="B8860B"/>
          <w:sz w:val="21"/>
          <w:szCs w:val="21"/>
        </w:rPr>
        <w:t xml:space="preserve">IDS Team meeting is still not scheduled</w:t>
      </w:r>
      <w:r>
        <w:rPr>
          <w:color w:val="222222"/>
          <w:sz w:val="21"/>
          <w:szCs w:val="21"/>
        </w:rPr>
        <w:t xml:space="preserve">, which is now the pacing item for the PMS integration path. Daily active testers grew from a peak of 3 to a peak of 6 (Sep 23), and that cohort showed the pilot's best retention yet (66.7% Day-1). Last week the team shipped a </w:t>
      </w:r>
      <w:r>
        <w:rPr>
          <w:b/>
          <w:bCs/>
          <w:color w:val="222222"/>
          <w:sz w:val="21"/>
          <w:szCs w:val="21"/>
        </w:rPr>
        <w:t xml:space="preserve">UI redesign</w:t>
      </w:r>
      <w:r>
        <w:rPr>
          <w:color w:val="222222"/>
          <w:sz w:val="21"/>
          <w:szCs w:val="21"/>
        </w:rPr>
        <w:t xml:space="preserve"> and began actively funneling social and event audiences into the Telegram bot for the first time — the prior five weeks were spent building social and community presence rather than driving bot traffic. </w:t>
      </w:r>
      <w:r>
        <w:rPr>
          <w:b/>
          <w:bCs/>
          <w:color w:val="222222"/>
          <w:sz w:val="21"/>
          <w:szCs w:val="21"/>
        </w:rPr>
        <w:t xml:space="preserve">Afroheat Fitness</w:t>
      </w:r>
      <w:r>
        <w:rPr>
          <w:color w:val="222222"/>
          <w:sz w:val="21"/>
          <w:szCs w:val="21"/>
        </w:rPr>
        <w:t xml:space="preserve"> was also contacted as a potential new partner (pending). Social performance is a split picture: </w:t>
      </w:r>
      <w:r>
        <w:rPr>
          <w:b/>
          <w:bCs/>
          <w:color w:val="222222"/>
          <w:sz w:val="21"/>
          <w:szCs w:val="21"/>
        </w:rPr>
        <w:t xml:space="preserve">LinkedIn</w:t>
      </w:r>
      <w:r>
        <w:rPr>
          <w:color w:val="222222"/>
          <w:sz w:val="21"/>
          <w:szCs w:val="21"/>
        </w:rPr>
        <w:t xml:space="preserve"> posting cadence collapsed (1 tracked post vs. 7 last period) and organic impressions fell to 453, while </w:t>
      </w:r>
      <w:r>
        <w:rPr>
          <w:b/>
          <w:bCs/>
          <w:color w:val="222222"/>
          <w:sz w:val="21"/>
          <w:szCs w:val="21"/>
        </w:rPr>
        <w:t xml:space="preserve">Instagram</w:t>
      </w:r>
      <w:r>
        <w:rPr>
          <w:color w:val="222222"/>
          <w:sz w:val="21"/>
          <w:szCs w:val="21"/>
        </w:rPr>
        <w:t xml:space="preserve"> grew to 5,503 views / 317 interactions (up from 3,217 / 103) and </w:t>
      </w:r>
      <w:r>
        <w:rPr>
          <w:b/>
          <w:bCs/>
          <w:color w:val="222222"/>
          <w:sz w:val="21"/>
          <w:szCs w:val="21"/>
        </w:rPr>
        <w:t xml:space="preserve">TikTok</w:t>
      </w:r>
      <w:r>
        <w:rPr>
          <w:color w:val="222222"/>
          <w:sz w:val="21"/>
          <w:szCs w:val="21"/>
        </w:rPr>
        <w:t xml:space="preserve"> posted the strongest growth of any channel — 6.5K views (+166%) and 38 followers, up from a near-zero base.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2800"/>
      </w:tblGrid>
      <w:tr>
        <w:trPr>
          <w:tblHeader/>
        </w:trPr>
        <w:tc>
          <w:tcPr>
            <w:tcW w:type="dxa" w:w="4200"/>
            <w:shd w:fill="1E5631" w:val="clear"/>
            <w:tcMar>
              <w:top w:type="dxa" w:w="100"/>
              <w:left w:type="dxa" w:w="120"/>
              <w:bottom w:type="dxa" w:w="100"/>
              <w:right w:type="dxa" w:w="120"/>
            </w:tcMar>
            <w:vAlign w:val="center"/>
          </w:tcPr>
          <w:p>
            <w:r>
              <w:rPr>
                <w:b/>
                <w:bCs/>
                <w:color w:val="FFFFFF"/>
                <w:sz w:val="20"/>
                <w:szCs w:val="20"/>
              </w:rPr>
              <w:t xml:space="preserve">Metric</w:t>
            </w:r>
          </w:p>
        </w:tc>
        <w:tc>
          <w:tcPr>
            <w:tcW w:type="dxa" w:w="3600"/>
            <w:shd w:fill="1E5631" w:val="clear"/>
            <w:tcMar>
              <w:top w:type="dxa" w:w="100"/>
              <w:left w:type="dxa" w:w="120"/>
              <w:bottom w:type="dxa" w:w="100"/>
              <w:right w:type="dxa" w:w="120"/>
            </w:tcMar>
            <w:vAlign w:val="center"/>
          </w:tcPr>
          <w:p>
            <w:r>
              <w:rPr>
                <w:b/>
                <w:bCs/>
                <w:color w:val="FFFFFF"/>
                <w:sz w:val="20"/>
                <w:szCs w:val="20"/>
              </w:rPr>
              <w:t xml:space="preserve">Result</w:t>
            </w:r>
          </w:p>
        </w:tc>
        <w:tc>
          <w:tcPr>
            <w:tcW w:type="dxa" w:w="2800"/>
            <w:shd w:fill="1E5631" w:val="clear"/>
            <w:tcMar>
              <w:top w:type="dxa" w:w="100"/>
              <w:left w:type="dxa" w:w="120"/>
              <w:bottom w:type="dxa" w:w="100"/>
              <w:right w:type="dxa" w:w="120"/>
            </w:tcMar>
            <w:vAlign w:val="center"/>
          </w:tcPr>
          <w:p>
            <w:r>
              <w:rPr>
                <w:b/>
                <w:bCs/>
                <w:color w:val="FFFFFF"/>
                <w:sz w:val="20"/>
                <w:szCs w:val="20"/>
              </w:rPr>
              <w:t xml:space="preserve">Status</w:t>
            </w:r>
          </w:p>
        </w:tc>
      </w:tr>
      <w:tr>
        <w:tc>
          <w:tcPr>
            <w:tcW w:type="dxa" w:w="4200"/>
            <w:tcMar>
              <w:top w:type="dxa" w:w="100"/>
              <w:left w:type="dxa" w:w="120"/>
              <w:bottom w:type="dxa" w:w="100"/>
              <w:right w:type="dxa" w:w="120"/>
            </w:tcMar>
            <w:vAlign w:val="center"/>
          </w:tcPr>
          <w:p>
            <w:r>
              <w:rPr>
                <w:color w:val="222222"/>
                <w:sz w:val="21"/>
                <w:szCs w:val="21"/>
              </w:rPr>
              <w:t xml:space="preserve">Daily active testers (peak)</w:t>
            </w:r>
          </w:p>
        </w:tc>
        <w:tc>
          <w:tcPr>
            <w:tcW w:type="dxa" w:w="3600"/>
            <w:tcMar>
              <w:top w:type="dxa" w:w="100"/>
              <w:left w:type="dxa" w:w="120"/>
              <w:bottom w:type="dxa" w:w="100"/>
              <w:right w:type="dxa" w:w="120"/>
            </w:tcMar>
            <w:vAlign w:val="center"/>
          </w:tcPr>
          <w:p>
            <w:r>
              <w:rPr>
                <w:color w:val="222222"/>
                <w:sz w:val="21"/>
                <w:szCs w:val="21"/>
              </w:rPr>
              <w:t xml:space="preserve">6 users (Sep 23), up from 3</w:t>
            </w:r>
          </w:p>
        </w:tc>
        <w:tc>
          <w:tcPr>
            <w:tcW w:type="dxa" w:w="2800"/>
            <w:tcMar>
              <w:top w:type="dxa" w:w="100"/>
              <w:left w:type="dxa" w:w="120"/>
              <w:bottom w:type="dxa" w:w="100"/>
              <w:right w:type="dxa" w:w="120"/>
            </w:tcMar>
            <w:vAlign w:val="center"/>
          </w:tcPr>
          <w:p>
            <w:r>
              <w:rPr>
                <w:b/>
                <w:bCs/>
                <w:color w:val="B8860B"/>
                <w:sz w:val="21"/>
                <w:szCs w:val="21"/>
              </w:rPr>
              <w:t xml:space="preserve">🟡 Growing, still small</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Check-in completion rate</w:t>
            </w:r>
          </w:p>
        </w:tc>
        <w:tc>
          <w:tcPr>
            <w:tcW w:type="dxa" w:w="3600"/>
            <w:shd w:fill="F5F7F5" w:val="clear"/>
            <w:tcMar>
              <w:top w:type="dxa" w:w="100"/>
              <w:left w:type="dxa" w:w="120"/>
              <w:bottom w:type="dxa" w:w="100"/>
              <w:right w:type="dxa" w:w="120"/>
            </w:tcMar>
            <w:vAlign w:val="center"/>
          </w:tcPr>
          <w:p>
            <w:r>
              <w:rPr>
                <w:color w:val="222222"/>
                <w:sz w:val="21"/>
                <w:szCs w:val="21"/>
              </w:rPr>
              <w:t xml:space="preserve">0% — broken since Aug 2</w:t>
            </w:r>
          </w:p>
        </w:tc>
        <w:tc>
          <w:tcPr>
            <w:tcW w:type="dxa" w:w="2800"/>
            <w:shd w:fill="F5F7F5" w:val="clear"/>
            <w:tcMar>
              <w:top w:type="dxa" w:w="100"/>
              <w:left w:type="dxa" w:w="120"/>
              <w:bottom w:type="dxa" w:w="100"/>
              <w:right w:type="dxa" w:w="120"/>
            </w:tcMar>
            <w:vAlign w:val="center"/>
          </w:tcPr>
          <w:p>
            <w:r>
              <w:rPr>
                <w:b/>
                <w:bCs/>
                <w:color w:val="C0392B"/>
                <w:sz w:val="21"/>
                <w:szCs w:val="21"/>
              </w:rPr>
              <w:t xml:space="preserve">🔴 Critical, unresolved</w:t>
            </w:r>
          </w:p>
        </w:tc>
      </w:tr>
      <w:tr>
        <w:tc>
          <w:tcPr>
            <w:tcW w:type="dxa" w:w="4200"/>
            <w:tcMar>
              <w:top w:type="dxa" w:w="100"/>
              <w:left w:type="dxa" w:w="120"/>
              <w:bottom w:type="dxa" w:w="100"/>
              <w:right w:type="dxa" w:w="120"/>
            </w:tcMar>
            <w:vAlign w:val="center"/>
          </w:tcPr>
          <w:p>
            <w:r>
              <w:rPr>
                <w:color w:val="222222"/>
                <w:sz w:val="21"/>
                <w:szCs w:val="21"/>
              </w:rPr>
              <w:t xml:space="preserve">Streak-at-risk backlog</w:t>
            </w:r>
          </w:p>
        </w:tc>
        <w:tc>
          <w:tcPr>
            <w:tcW w:type="dxa" w:w="3600"/>
            <w:tcMar>
              <w:top w:type="dxa" w:w="100"/>
              <w:left w:type="dxa" w:w="120"/>
              <w:bottom w:type="dxa" w:w="100"/>
              <w:right w:type="dxa" w:w="120"/>
            </w:tcMar>
            <w:vAlign w:val="center"/>
          </w:tcPr>
          <w:p>
            <w:r>
              <w:rPr>
                <w:color w:val="222222"/>
                <w:sz w:val="21"/>
                <w:szCs w:val="21"/>
              </w:rPr>
              <w:t xml:space="preserve">202 events, 8× spike since Sep 8</w:t>
            </w:r>
          </w:p>
        </w:tc>
        <w:tc>
          <w:tcPr>
            <w:tcW w:type="dxa" w:w="2800"/>
            <w:tcMar>
              <w:top w:type="dxa" w:w="100"/>
              <w:left w:type="dxa" w:w="120"/>
              <w:bottom w:type="dxa" w:w="100"/>
              <w:right w:type="dxa" w:w="120"/>
            </w:tcMar>
            <w:vAlign w:val="center"/>
          </w:tcPr>
          <w:p>
            <w:r>
              <w:rPr>
                <w:b/>
                <w:bCs/>
                <w:color w:val="B8860B"/>
                <w:sz w:val="21"/>
                <w:szCs w:val="21"/>
              </w:rPr>
              <w:t xml:space="preserve">🟡 Growing engagement, blocked</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Circles created</w:t>
            </w:r>
          </w:p>
        </w:tc>
        <w:tc>
          <w:tcPr>
            <w:tcW w:type="dxa" w:w="3600"/>
            <w:shd w:fill="F5F7F5" w:val="clear"/>
            <w:tcMar>
              <w:top w:type="dxa" w:w="100"/>
              <w:left w:type="dxa" w:w="120"/>
              <w:bottom w:type="dxa" w:w="100"/>
              <w:right w:type="dxa" w:w="120"/>
            </w:tcMar>
            <w:vAlign w:val="center"/>
          </w:tcPr>
          <w:p>
            <w:r>
              <w:rPr>
                <w:color w:val="222222"/>
                <w:sz w:val="21"/>
                <w:szCs w:val="21"/>
              </w:rPr>
              <w:t xml:space="preserve">0 in 30/90 days</w:t>
            </w:r>
          </w:p>
        </w:tc>
        <w:tc>
          <w:tcPr>
            <w:tcW w:type="dxa" w:w="2800"/>
            <w:shd w:fill="F5F7F5" w:val="clear"/>
            <w:tcMar>
              <w:top w:type="dxa" w:w="100"/>
              <w:left w:type="dxa" w:w="120"/>
              <w:bottom w:type="dxa" w:w="100"/>
              <w:right w:type="dxa" w:w="120"/>
            </w:tcMar>
            <w:vAlign w:val="center"/>
          </w:tcPr>
          <w:p>
            <w:r>
              <w:rPr>
                <w:b/>
                <w:bCs/>
                <w:color w:val="C0392B"/>
                <w:sz w:val="21"/>
                <w:szCs w:val="21"/>
              </w:rPr>
              <w:t xml:space="preserve">🔴 Dead</w:t>
            </w:r>
          </w:p>
        </w:tc>
      </w:tr>
      <w:tr>
        <w:tc>
          <w:tcPr>
            <w:tcW w:type="dxa" w:w="4200"/>
            <w:tcMar>
              <w:top w:type="dxa" w:w="100"/>
              <w:left w:type="dxa" w:w="120"/>
              <w:bottom w:type="dxa" w:w="100"/>
              <w:right w:type="dxa" w:w="120"/>
            </w:tcMar>
            <w:vAlign w:val="center"/>
          </w:tcPr>
          <w:p>
            <w:r>
              <w:rPr>
                <w:color w:val="222222"/>
                <w:sz w:val="21"/>
                <w:szCs w:val="21"/>
              </w:rPr>
              <w:t xml:space="preserve">IDS Team meeting</w:t>
            </w:r>
          </w:p>
        </w:tc>
        <w:tc>
          <w:tcPr>
            <w:tcW w:type="dxa" w:w="3600"/>
            <w:tcMar>
              <w:top w:type="dxa" w:w="100"/>
              <w:left w:type="dxa" w:w="120"/>
              <w:bottom w:type="dxa" w:w="100"/>
              <w:right w:type="dxa" w:w="120"/>
            </w:tcMar>
            <w:vAlign w:val="center"/>
          </w:tcPr>
          <w:p>
            <w:r>
              <w:rPr>
                <w:color w:val="222222"/>
                <w:sz w:val="21"/>
                <w:szCs w:val="21"/>
              </w:rPr>
              <w:t xml:space="preserve">Not yet scheduled</w:t>
            </w:r>
          </w:p>
        </w:tc>
        <w:tc>
          <w:tcPr>
            <w:tcW w:type="dxa" w:w="2800"/>
            <w:tcMar>
              <w:top w:type="dxa" w:w="100"/>
              <w:left w:type="dxa" w:w="120"/>
              <w:bottom w:type="dxa" w:w="100"/>
              <w:right w:type="dxa" w:w="120"/>
            </w:tcMar>
            <w:vAlign w:val="center"/>
          </w:tcPr>
          <w:p>
            <w:r>
              <w:rPr>
                <w:b/>
                <w:bCs/>
                <w:color w:val="C0392B"/>
                <w:sz w:val="21"/>
                <w:szCs w:val="21"/>
              </w:rPr>
              <w:t xml:space="preserve">🔴 Blocking PMS path</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Bot-funnel push &amp; UI redesign</w:t>
            </w:r>
          </w:p>
        </w:tc>
        <w:tc>
          <w:tcPr>
            <w:tcW w:type="dxa" w:w="3600"/>
            <w:shd w:fill="F5F7F5" w:val="clear"/>
            <w:tcMar>
              <w:top w:type="dxa" w:w="100"/>
              <w:left w:type="dxa" w:w="120"/>
              <w:bottom w:type="dxa" w:w="100"/>
              <w:right w:type="dxa" w:w="120"/>
            </w:tcMar>
            <w:vAlign w:val="center"/>
          </w:tcPr>
          <w:p>
            <w:r>
              <w:rPr>
                <w:color w:val="222222"/>
                <w:sz w:val="21"/>
                <w:szCs w:val="21"/>
              </w:rPr>
              <w:t xml:space="preserve">Started last week (Sep 21–27)</w:t>
            </w:r>
          </w:p>
        </w:tc>
        <w:tc>
          <w:tcPr>
            <w:tcW w:type="dxa" w:w="2800"/>
            <w:shd w:fill="F5F7F5" w:val="clear"/>
            <w:tcMar>
              <w:top w:type="dxa" w:w="100"/>
              <w:left w:type="dxa" w:w="120"/>
              <w:bottom w:type="dxa" w:w="100"/>
              <w:right w:type="dxa" w:w="120"/>
            </w:tcMar>
            <w:vAlign w:val="center"/>
          </w:tcPr>
          <w:p>
            <w:r>
              <w:rPr>
                <w:b/>
                <w:bCs/>
                <w:color w:val="B8860B"/>
                <w:sz w:val="21"/>
                <w:szCs w:val="21"/>
              </w:rPr>
              <w:t xml:space="preserve">🟡 Just launched</w:t>
            </w:r>
          </w:p>
        </w:tc>
      </w:tr>
      <w:tr>
        <w:tc>
          <w:tcPr>
            <w:tcW w:type="dxa" w:w="4200"/>
            <w:tcMar>
              <w:top w:type="dxa" w:w="100"/>
              <w:left w:type="dxa" w:w="120"/>
              <w:bottom w:type="dxa" w:w="100"/>
              <w:right w:type="dxa" w:w="120"/>
            </w:tcMar>
            <w:vAlign w:val="center"/>
          </w:tcPr>
          <w:p>
            <w:r>
              <w:rPr>
                <w:color w:val="222222"/>
                <w:sz w:val="21"/>
                <w:szCs w:val="21"/>
              </w:rPr>
              <w:t xml:space="preserve">Afroheat Fitness partnership</w:t>
            </w:r>
          </w:p>
        </w:tc>
        <w:tc>
          <w:tcPr>
            <w:tcW w:type="dxa" w:w="3600"/>
            <w:tcMar>
              <w:top w:type="dxa" w:w="100"/>
              <w:left w:type="dxa" w:w="120"/>
              <w:bottom w:type="dxa" w:w="100"/>
              <w:right w:type="dxa" w:w="120"/>
            </w:tcMar>
            <w:vAlign w:val="center"/>
          </w:tcPr>
          <w:p>
            <w:r>
              <w:rPr>
                <w:color w:val="222222"/>
                <w:sz w:val="21"/>
                <w:szCs w:val="21"/>
              </w:rPr>
              <w:t xml:space="preserve">Contacted, pending</w:t>
            </w:r>
          </w:p>
        </w:tc>
        <w:tc>
          <w:tcPr>
            <w:tcW w:type="dxa" w:w="2800"/>
            <w:tcMar>
              <w:top w:type="dxa" w:w="100"/>
              <w:left w:type="dxa" w:w="120"/>
              <w:bottom w:type="dxa" w:w="100"/>
              <w:right w:type="dxa" w:w="120"/>
            </w:tcMar>
            <w:vAlign w:val="center"/>
          </w:tcPr>
          <w:p>
            <w:r>
              <w:rPr>
                <w:b/>
                <w:bCs/>
                <w:color w:val="B8860B"/>
                <w:sz w:val="21"/>
                <w:szCs w:val="21"/>
              </w:rPr>
              <w:t xml:space="preserve">🟡 In progress</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LinkedIn organic impressions</w:t>
            </w:r>
          </w:p>
        </w:tc>
        <w:tc>
          <w:tcPr>
            <w:tcW w:type="dxa" w:w="3600"/>
            <w:shd w:fill="F5F7F5" w:val="clear"/>
            <w:tcMar>
              <w:top w:type="dxa" w:w="100"/>
              <w:left w:type="dxa" w:w="120"/>
              <w:bottom w:type="dxa" w:w="100"/>
              <w:right w:type="dxa" w:w="120"/>
            </w:tcMar>
            <w:vAlign w:val="center"/>
          </w:tcPr>
          <w:p>
            <w:r>
              <w:rPr>
                <w:color w:val="222222"/>
                <w:sz w:val="21"/>
                <w:szCs w:val="21"/>
              </w:rPr>
              <w:t xml:space="preserve">453 (30 days) — posting cadence collapsed</w:t>
            </w:r>
          </w:p>
        </w:tc>
        <w:tc>
          <w:tcPr>
            <w:tcW w:type="dxa" w:w="2800"/>
            <w:shd w:fill="F5F7F5" w:val="clear"/>
            <w:tcMar>
              <w:top w:type="dxa" w:w="100"/>
              <w:left w:type="dxa" w:w="120"/>
              <w:bottom w:type="dxa" w:w="100"/>
              <w:right w:type="dxa" w:w="120"/>
            </w:tcMar>
            <w:vAlign w:val="center"/>
          </w:tcPr>
          <w:p>
            <w:r>
              <w:rPr>
                <w:b/>
                <w:bCs/>
                <w:color w:val="C0392B"/>
                <w:sz w:val="21"/>
                <w:szCs w:val="21"/>
              </w:rPr>
              <w:t xml:space="preserve">🔴 Declining</w:t>
            </w:r>
          </w:p>
        </w:tc>
      </w:tr>
      <w:tr>
        <w:tc>
          <w:tcPr>
            <w:tcW w:type="dxa" w:w="4200"/>
            <w:tcMar>
              <w:top w:type="dxa" w:w="100"/>
              <w:left w:type="dxa" w:w="120"/>
              <w:bottom w:type="dxa" w:w="100"/>
              <w:right w:type="dxa" w:w="120"/>
            </w:tcMar>
            <w:vAlign w:val="center"/>
          </w:tcPr>
          <w:p>
            <w:r>
              <w:rPr>
                <w:color w:val="222222"/>
                <w:sz w:val="21"/>
                <w:szCs w:val="21"/>
              </w:rPr>
              <w:t xml:space="preserve">Instagram views</w:t>
            </w:r>
          </w:p>
        </w:tc>
        <w:tc>
          <w:tcPr>
            <w:tcW w:type="dxa" w:w="3600"/>
            <w:tcMar>
              <w:top w:type="dxa" w:w="100"/>
              <w:left w:type="dxa" w:w="120"/>
              <w:bottom w:type="dxa" w:w="100"/>
              <w:right w:type="dxa" w:w="120"/>
            </w:tcMar>
            <w:vAlign w:val="center"/>
          </w:tcPr>
          <w:p>
            <w:r>
              <w:rPr>
                <w:color w:val="222222"/>
                <w:sz w:val="21"/>
                <w:szCs w:val="21"/>
              </w:rPr>
              <w:t xml:space="preserve">5,503 (30 days), up from 3,217</w:t>
            </w:r>
          </w:p>
        </w:tc>
        <w:tc>
          <w:tcPr>
            <w:tcW w:type="dxa" w:w="2800"/>
            <w:tcMar>
              <w:top w:type="dxa" w:w="100"/>
              <w:left w:type="dxa" w:w="120"/>
              <w:bottom w:type="dxa" w:w="100"/>
              <w:right w:type="dxa" w:w="120"/>
            </w:tcMar>
            <w:vAlign w:val="center"/>
          </w:tcPr>
          <w:p>
            <w:r>
              <w:rPr>
                <w:b/>
                <w:bCs/>
                <w:color w:val="1E5631"/>
                <w:sz w:val="21"/>
                <w:szCs w:val="21"/>
              </w:rPr>
              <w:t xml:space="preserve">🟢 Growing</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TikTok views</w:t>
            </w:r>
          </w:p>
        </w:tc>
        <w:tc>
          <w:tcPr>
            <w:tcW w:type="dxa" w:w="3600"/>
            <w:shd w:fill="F5F7F5" w:val="clear"/>
            <w:tcMar>
              <w:top w:type="dxa" w:w="100"/>
              <w:left w:type="dxa" w:w="120"/>
              <w:bottom w:type="dxa" w:w="100"/>
              <w:right w:type="dxa" w:w="120"/>
            </w:tcMar>
            <w:vAlign w:val="center"/>
          </w:tcPr>
          <w:p>
            <w:r>
              <w:rPr>
                <w:color w:val="222222"/>
                <w:sz w:val="21"/>
                <w:szCs w:val="21"/>
              </w:rPr>
              <w:t xml:space="preserve">6.5K (28 days), +166% vs. prior period</w:t>
            </w:r>
          </w:p>
        </w:tc>
        <w:tc>
          <w:tcPr>
            <w:tcW w:type="dxa" w:w="2800"/>
            <w:shd w:fill="F5F7F5" w:val="clear"/>
            <w:tcMar>
              <w:top w:type="dxa" w:w="100"/>
              <w:left w:type="dxa" w:w="120"/>
              <w:bottom w:type="dxa" w:w="100"/>
              <w:right w:type="dxa" w:w="120"/>
            </w:tcMar>
            <w:vAlign w:val="center"/>
          </w:tcPr>
          <w:p>
            <w:r>
              <w:rPr>
                <w:b/>
                <w:bCs/>
                <w:color w:val="1E5631"/>
                <w:sz w:val="21"/>
                <w:szCs w:val="21"/>
              </w:rPr>
              <w:t xml:space="preserve">🟢 Growing fast</w:t>
            </w:r>
          </w:p>
        </w:tc>
      </w:tr>
    </w:tbl>
    <w:p>
      <w:pPr>
        <w:pBdr>
          <w:bottom w:val="single" w:color="CCCCCC" w:sz="6" w:space="1"/>
        </w:pBdr>
        <w:spacing w:after="200" w:before="200"/>
      </w:pPr>
    </w:p>
    <w:p>
      <w:pPr>
        <w:pStyle w:val="Heading1"/>
        <w:spacing w:after="160" w:before="360"/>
      </w:pPr>
      <w:r>
        <w:rPr>
          <w:b/>
          <w:bCs/>
          <w:color w:val="1E5631"/>
          <w:sz w:val="30"/>
          <w:szCs w:val="30"/>
        </w:rPr>
        <w:t xml:space="preserve">Executive Summary</w:t>
      </w:r>
    </w:p>
    <w:p>
      <w:pPr>
        <w:spacing w:after="160" w:before="0"/>
      </w:pPr>
      <w:r>
        <w:rPr>
          <w:b w:val="false"/>
          <w:bCs w:val="false"/>
          <w:i w:val="false"/>
          <w:iCs w:val="false"/>
          <w:color w:val="222222"/>
          <w:sz w:val="21"/>
          <w:szCs w:val="21"/>
        </w:rPr>
        <w:t xml:space="preserve">This report covers Well Circle's operational status, community growth, and product performance for the Kuriftu Resorts wellness pilot, spanning August 17 – September 27, 2026. Well Circle remains in the pre-launch integration phase: IDS integration engineering work is complete, but the follow-up IDS Team meeting to finalize scheduling and the provider pricing list has not yet been set, and the partnership agreement signing is still pending.</w:t>
      </w:r>
    </w:p>
    <w:p>
      <w:pPr>
        <w:spacing w:after="160" w:before="0"/>
      </w:pPr>
      <w:r>
        <w:rPr>
          <w:b w:val="false"/>
          <w:bCs w:val="false"/>
          <w:i w:val="false"/>
          <w:iCs w:val="false"/>
          <w:color w:val="222222"/>
          <w:sz w:val="21"/>
          <w:szCs w:val="21"/>
        </w:rPr>
        <w:t xml:space="preserve">Product analytics for the trailing 30 days (Aug 28 – Sep 27, sourced from PostHog) confirm the hard blocker flagged last period has not moved: check-in completion is still at 0%, and the check-in event itself has not fired in production since August 2 — meaning every downstream reward event (streak milestones, personal bests, comeback bonuses) remains structurally unreachable. Booking confirmation also sits at 0% in the funnel, but this reflects the pilot's current stage rather than a defect: no provider has live bookings turned on yet, so there is nothing for a tester to confirm. The one genuinely positive signal on the check-in side is that the accumulation of at-risk streaks (202 events, an 8× volume increase since Sep 8) shows real user engagement building up behind a broken pipe — fixing check-in would immediately test a real, motivated cohort.</w:t>
      </w:r>
    </w:p>
    <w:p>
      <w:pPr>
        <w:spacing w:after="160" w:before="0"/>
      </w:pPr>
      <w:r>
        <w:rPr>
          <w:b w:val="false"/>
          <w:bCs w:val="false"/>
          <w:i w:val="false"/>
          <w:iCs w:val="false"/>
          <w:color w:val="222222"/>
          <w:sz w:val="21"/>
          <w:szCs w:val="21"/>
        </w:rPr>
        <w:t xml:space="preserve">Community-side, the team shifted further toward embedding in existing wellness events (Greatrun, Birtusew) rather than running standalone ones, kept a consistent weekly events cadence, and closed the loop on post-event circle creation — though circle joins remain entirely invite-link-driven (0 organic joins through onboarding) and no new circles have been created in 90 days. The first five weeks of this period (Aug 17 – Sep 20) were focused on building social and community presence; last week the team shipped a UI redesign and began actively funneling social and event audiences into the Telegram bot for the first time, and reached out to Afroheat Fitness as a potential new partner (pending). Social performance diverged by channel: LinkedIn organic reach continued the decline flagged last report, compounded by posting cadence dropping to roughly one tracked post versus seven previously, while Instagram grew on both views and interactions and TikTok posted the strongest channel growth of the period (6.5K views, +166%).</w:t>
      </w:r>
    </w:p>
    <w:p>
      <w:pPr>
        <w:pBdr>
          <w:bottom w:val="single" w:color="CCCCCC" w:sz="6" w:space="1"/>
        </w:pBdr>
        <w:spacing w:after="200" w:before="200"/>
      </w:pPr>
    </w:p>
    <w:p>
      <w:pPr>
        <w:pStyle w:val="Heading1"/>
        <w:spacing w:after="160" w:before="360"/>
      </w:pPr>
      <w:r>
        <w:rPr>
          <w:b/>
          <w:bCs/>
          <w:color w:val="1E5631"/>
          <w:sz w:val="30"/>
          <w:szCs w:val="30"/>
        </w:rPr>
        <w:t xml:space="preserve">1. Recent Accomplishments (Aug 17 – Sep 27)</w:t>
      </w:r>
    </w:p>
    <w:p>
      <w:pPr>
        <w:pStyle w:val="Heading2"/>
        <w:spacing w:after="160" w:before="360"/>
      </w:pPr>
      <w:r>
        <w:rPr>
          <w:b/>
          <w:bCs/>
          <w:color w:val="1E5631"/>
          <w:sz w:val="25"/>
          <w:szCs w:val="25"/>
        </w:rPr>
        <w:t xml:space="preserve">Key Meetings &amp; Stakeholder Alignment</w:t>
      </w:r>
    </w:p>
    <w:p>
      <w:pPr>
        <w:pStyle w:val="ListParagraph"/>
        <w:numPr>
          <w:ilvl w:val="0"/>
          <w:numId w:val="1"/>
        </w:numPr>
        <w:spacing w:after="90"/>
      </w:pPr>
      <w:r>
        <w:rPr>
          <w:color w:val="222222"/>
          <w:sz w:val="21"/>
          <w:szCs w:val="21"/>
        </w:rPr>
        <w:t xml:space="preserve">Aug 23 (Team Sync): </w:t>
      </w:r>
      <w:r>
        <w:rPr>
          <w:color w:val="222222"/>
          <w:sz w:val="21"/>
          <w:szCs w:val="21"/>
        </w:rPr>
        <w:t xml:space="preserve">Reviewed social account consolidation, in-person event onboarding results, and confirmed IDS integration readiness on the engineering side.</w:t>
      </w:r>
    </w:p>
    <w:p>
      <w:pPr>
        <w:pStyle w:val="ListParagraph"/>
        <w:numPr>
          <w:ilvl w:val="0"/>
          <w:numId w:val="1"/>
        </w:numPr>
        <w:spacing w:after="90"/>
      </w:pPr>
      <w:r>
        <w:rPr>
          <w:color w:val="222222"/>
          <w:sz w:val="21"/>
          <w:szCs w:val="21"/>
        </w:rPr>
        <w:t xml:space="preserve">Aug 30 (Team Sync / In-person): </w:t>
      </w:r>
      <w:r>
        <w:rPr>
          <w:color w:val="222222"/>
          <w:sz w:val="21"/>
          <w:szCs w:val="21"/>
        </w:rPr>
        <w:t xml:space="preserve">Met with Aman and Sosina in person to finalize IDS scheduling and the provider pricing list; Aman linked the team with the main IDS team. Chatbot event-support (RAG) work and webapp access handoff to marketing were scoped.</w:t>
      </w:r>
    </w:p>
    <w:p>
      <w:pPr>
        <w:pStyle w:val="ListParagraph"/>
        <w:numPr>
          <w:ilvl w:val="0"/>
          <w:numId w:val="1"/>
        </w:numPr>
        <w:spacing w:after="90"/>
      </w:pPr>
      <w:r>
        <w:rPr>
          <w:color w:val="222222"/>
          <w:sz w:val="21"/>
          <w:szCs w:val="21"/>
        </w:rPr>
        <w:t xml:space="preserve">Sep 5–13: </w:t>
      </w:r>
      <w:r>
        <w:rPr>
          <w:color w:val="222222"/>
          <w:sz w:val="21"/>
          <w:szCs w:val="21"/>
        </w:rPr>
        <w:t xml:space="preserve">Implementation plan finalized for the about-page and RAG/security changes proposed by the team (~50% shipped); IDS team contacted directly to set up a follow-up meeting.</w:t>
      </w:r>
    </w:p>
    <w:p>
      <w:pPr>
        <w:pStyle w:val="ListParagraph"/>
        <w:numPr>
          <w:ilvl w:val="0"/>
          <w:numId w:val="1"/>
        </w:numPr>
        <w:spacing w:after="90"/>
      </w:pPr>
      <w:r>
        <w:rPr>
          <w:color w:val="222222"/>
          <w:sz w:val="21"/>
          <w:szCs w:val="21"/>
        </w:rPr>
        <w:t xml:space="preserve">Sep 20: </w:t>
      </w:r>
      <w:r>
        <w:rPr>
          <w:color w:val="222222"/>
          <w:sz w:val="21"/>
          <w:szCs w:val="21"/>
        </w:rPr>
        <w:t xml:space="preserve">Website design and font corrections shipped; this week's events wired into the bot with a dropdown for details.</w:t>
      </w:r>
    </w:p>
    <w:p>
      <w:pPr>
        <w:pStyle w:val="ListParagraph"/>
        <w:numPr>
          <w:ilvl w:val="0"/>
          <w:numId w:val="1"/>
        </w:numPr>
        <w:spacing w:after="90"/>
      </w:pPr>
      <w:r>
        <w:rPr>
          <w:color w:val="222222"/>
          <w:sz w:val="21"/>
          <w:szCs w:val="21"/>
        </w:rPr>
        <w:t xml:space="preserve">Also shipped in this window: </w:t>
      </w:r>
      <w:r>
        <w:rPr>
          <w:color w:val="222222"/>
          <w:sz w:val="21"/>
          <w:szCs w:val="21"/>
        </w:rPr>
        <w:t xml:space="preserve">provider-domain migration (removing the Telegram-only provider option in favor of provider.wellcircle.et), events-page improvements on both the bot and webapp, and the start of event-aware RAG support in the chatbot.</w:t>
      </w:r>
    </w:p>
    <w:p>
      <w:pPr>
        <w:pStyle w:val="ListParagraph"/>
        <w:numPr>
          <w:ilvl w:val="0"/>
          <w:numId w:val="1"/>
        </w:numPr>
        <w:spacing w:after="90"/>
      </w:pPr>
      <w:r>
        <w:rPr>
          <w:color w:val="222222"/>
          <w:sz w:val="21"/>
          <w:szCs w:val="21"/>
        </w:rPr>
        <w:t xml:space="preserve">Open item: </w:t>
      </w:r>
      <w:r>
        <w:rPr>
          <w:color w:val="222222"/>
          <w:sz w:val="21"/>
          <w:szCs w:val="21"/>
        </w:rPr>
        <w:t xml:space="preserve">The IDS Team follow-up meeting has </w:t>
      </w:r>
      <w:r>
        <w:rPr>
          <w:b/>
          <w:bCs/>
          <w:color w:val="C0392B"/>
          <w:sz w:val="21"/>
          <w:szCs w:val="21"/>
        </w:rPr>
        <w:t xml:space="preserve">not yet been scheduled</w:t>
      </w:r>
      <w:r>
        <w:rPr>
          <w:color w:val="222222"/>
          <w:sz w:val="21"/>
          <w:szCs w:val="21"/>
        </w:rPr>
        <w:t xml:space="preserve"> — this is now the critical path item for the PMS integration timeline.</w:t>
      </w:r>
    </w:p>
    <w:p>
      <w:pPr>
        <w:pStyle w:val="Heading2"/>
        <w:spacing w:after="160" w:before="360"/>
      </w:pPr>
      <w:r>
        <w:rPr>
          <w:b/>
          <w:bCs/>
          <w:color w:val="1E5631"/>
          <w:sz w:val="25"/>
          <w:szCs w:val="25"/>
        </w:rPr>
        <w:t xml:space="preserve">Aug 17 – Sep 20 (5 Weeks): Social &amp; Community Presence</w:t>
      </w:r>
    </w:p>
    <w:p>
      <w:pPr>
        <w:spacing w:after="100" w:before="0"/>
      </w:pPr>
      <w:r>
        <w:rPr>
          <w:b w:val="false"/>
          <w:bCs w:val="false"/>
          <w:i w:val="false"/>
          <w:iCs w:val="false"/>
          <w:color w:val="222222"/>
          <w:sz w:val="21"/>
          <w:szCs w:val="21"/>
        </w:rPr>
        <w:t xml:space="preserve">The first five weeks of this period were spent building social and community presence rather than driving traffic into the product — laying the groundwork the last week's bot-funnel push now builds on.</w:t>
      </w:r>
    </w:p>
    <w:p>
      <w:pPr>
        <w:pStyle w:val="ListParagraph"/>
        <w:numPr>
          <w:ilvl w:val="0"/>
          <w:numId w:val="1"/>
        </w:numPr>
        <w:spacing w:after="90"/>
      </w:pPr>
      <w:r>
        <w:rPr>
          <w:sz w:val="21"/>
          <w:szCs w:val="21"/>
        </w:rPr>
        <w:t xml:space="preserve">QR code partner stand (wellcircle.et/visit?src=boston-day-spa) remains live and continues generating tracked referral visits — confirmed as a real, trackable acquisition channel worth building a dedicated cohort around.</w:t>
      </w:r>
    </w:p>
    <w:p>
      <w:pPr>
        <w:pStyle w:val="ListParagraph"/>
        <w:numPr>
          <w:ilvl w:val="0"/>
          <w:numId w:val="1"/>
        </w:numPr>
        <w:spacing w:after="90"/>
      </w:pPr>
      <w:r>
        <w:rPr>
          <w:sz w:val="21"/>
          <w:szCs w:val="21"/>
        </w:rPr>
        <w:t xml:space="preserve">Continued embedding in existing wellness communities rather than running standalone Well Circle events: joined Greatrun, Birtusew, and the 19K event.</w:t>
      </w:r>
    </w:p>
    <w:p>
      <w:pPr>
        <w:pStyle w:val="ListParagraph"/>
        <w:numPr>
          <w:ilvl w:val="0"/>
          <w:numId w:val="1"/>
        </w:numPr>
        <w:spacing w:after="90"/>
      </w:pPr>
      <w:r>
        <w:rPr>
          <w:sz w:val="21"/>
          <w:szCs w:val="21"/>
        </w:rPr>
        <w:t xml:space="preserve">“Create circle after event” workflow (story upload + circle banner) shipped, closing the loop between in-person events and in-app community formation.</w:t>
      </w:r>
    </w:p>
    <w:p>
      <w:pPr>
        <w:pStyle w:val="ListParagraph"/>
        <w:numPr>
          <w:ilvl w:val="0"/>
          <w:numId w:val="1"/>
        </w:numPr>
        <w:spacing w:after="90"/>
      </w:pPr>
      <w:r>
        <w:rPr>
          <w:sz w:val="21"/>
          <w:szCs w:val="21"/>
        </w:rPr>
        <w:t xml:space="preserve">Hanna onboarded into a brand role and completed probation review, with access to email and socials; real brand assets (logo, past-event photos, color theme) delivered for the explainer video.</w:t>
      </w:r>
    </w:p>
    <w:p>
      <w:pPr>
        <w:pStyle w:val="ListParagraph"/>
        <w:numPr>
          <w:ilvl w:val="0"/>
          <w:numId w:val="1"/>
        </w:numPr>
        <w:spacing w:after="90"/>
      </w:pPr>
      <w:r>
        <w:rPr>
          <w:sz w:val="21"/>
          <w:szCs w:val="21"/>
        </w:rPr>
        <w:t xml:space="preserve">Kept a consistent weekly presence across LinkedIn, Instagram, and TikTok with wellness-events roundup content — the cadence that is now paying off most visibly on Instagram and TikTok (see Section 6).</w:t>
      </w:r>
    </w:p>
    <w:p>
      <w:pPr>
        <w:pStyle w:val="ListParagraph"/>
        <w:numPr>
          <w:ilvl w:val="0"/>
          <w:numId w:val="1"/>
        </w:numPr>
        <w:spacing w:after="90"/>
      </w:pPr>
      <w:r>
        <w:rPr>
          <w:sz w:val="21"/>
          <w:szCs w:val="21"/>
        </w:rPr>
        <w:t xml:space="preserve">New Year wellness-event outreach to partner communities (African Village, Birtusew, Satenaw) kicked off — status: pending as of Sep 20.</w:t>
      </w:r>
    </w:p>
    <w:p>
      <w:pPr>
        <w:pStyle w:val="ListParagraph"/>
        <w:numPr>
          <w:ilvl w:val="0"/>
          <w:numId w:val="1"/>
        </w:numPr>
        <w:spacing w:after="90"/>
      </w:pPr>
      <w:r>
        <w:rPr>
          <w:sz w:val="21"/>
          <w:szCs w:val="21"/>
        </w:rPr>
        <w:t xml:space="preserve">Explainer video: script, footage generation, and asset gathering are underway; pinning the finished video across channels is still pending.</w:t>
      </w:r>
    </w:p>
    <w:p>
      <w:pPr>
        <w:pStyle w:val="Heading2"/>
        <w:spacing w:after="160" w:before="360"/>
      </w:pPr>
      <w:r>
        <w:rPr>
          <w:b/>
          <w:bCs/>
          <w:color w:val="1E5631"/>
          <w:sz w:val="25"/>
          <w:szCs w:val="25"/>
        </w:rPr>
        <w:t xml:space="preserve">Sep 21 – Sep 27 (Last Week): Funneling Users Into the Bot</w:t>
      </w:r>
    </w:p>
    <w:p>
      <w:pPr>
        <w:pStyle w:val="ListParagraph"/>
        <w:numPr>
          <w:ilvl w:val="0"/>
          <w:numId w:val="1"/>
        </w:numPr>
        <w:spacing w:after="90"/>
      </w:pPr>
      <w:r>
        <w:rPr>
          <w:b/>
          <w:bCs/>
          <w:color w:val="222222"/>
          <w:sz w:val="21"/>
          <w:szCs w:val="21"/>
        </w:rPr>
        <w:t xml:space="preserve">UI redesign shipped</w:t>
      </w:r>
      <w:r>
        <w:rPr>
          <w:color w:val="222222"/>
          <w:sz w:val="21"/>
          <w:szCs w:val="21"/>
        </w:rPr>
        <w:t xml:space="preserve"> across the bot/webapp experience — the first concrete step toward converting social and event audiences into product users.</w:t>
      </w:r>
    </w:p>
    <w:p>
      <w:pPr>
        <w:pStyle w:val="ListParagraph"/>
        <w:numPr>
          <w:ilvl w:val="0"/>
          <w:numId w:val="1"/>
        </w:numPr>
        <w:spacing w:after="90"/>
      </w:pPr>
      <w:r>
        <w:rPr>
          <w:b/>
          <w:bCs/>
          <w:color w:val="222222"/>
          <w:sz w:val="21"/>
          <w:szCs w:val="21"/>
        </w:rPr>
        <w:t xml:space="preserve">Started actively funneling users into the Telegram bot</w:t>
      </w:r>
      <w:r>
        <w:rPr>
          <w:color w:val="222222"/>
          <w:sz w:val="21"/>
          <w:szCs w:val="21"/>
        </w:rPr>
        <w:t xml:space="preserve"> for the first time this pilot — directing social and in-person event audiences toward @wellcirclebot rather than just building awareness.</w:t>
      </w:r>
    </w:p>
    <w:p>
      <w:pPr>
        <w:pStyle w:val="ListParagraph"/>
        <w:numPr>
          <w:ilvl w:val="0"/>
          <w:numId w:val="1"/>
        </w:numPr>
        <w:spacing w:after="90"/>
      </w:pPr>
      <w:r>
        <w:rPr>
          <w:b/>
          <w:bCs/>
          <w:color w:val="222222"/>
          <w:sz w:val="21"/>
          <w:szCs w:val="21"/>
        </w:rPr>
        <w:t xml:space="preserve">Contacted Afroheat Fitness</w:t>
      </w:r>
      <w:r>
        <w:rPr>
          <w:color w:val="222222"/>
          <w:sz w:val="21"/>
          <w:szCs w:val="21"/>
        </w:rPr>
        <w:t xml:space="preserve"> as a potential new wellness partner — status: pending.</w:t>
      </w:r>
    </w:p>
    <w:p>
      <w:pPr>
        <w:pStyle w:val="ListParagraph"/>
        <w:numPr>
          <w:ilvl w:val="0"/>
          <w:numId w:val="1"/>
        </w:numPr>
        <w:spacing w:after="90"/>
      </w:pPr>
      <w:r>
        <w:rPr>
          <w:sz w:val="21"/>
          <w:szCs w:val="21"/>
        </w:rPr>
        <w:t xml:space="preserve">GitHub Education deployment option configured for the bot.</w:t>
      </w:r>
    </w:p>
    <w:p>
      <w:pPr>
        <w:pBdr>
          <w:bottom w:val="single" w:color="CCCCCC" w:sz="6" w:space="1"/>
        </w:pBdr>
        <w:spacing w:after="200" w:before="200"/>
      </w:pPr>
    </w:p>
    <w:p>
      <w:pPr>
        <w:pStyle w:val="Heading1"/>
        <w:spacing w:after="160" w:before="360"/>
      </w:pPr>
      <w:r>
        <w:rPr>
          <w:b/>
          <w:bCs/>
          <w:color w:val="1E5631"/>
          <w:sz w:val="30"/>
          <w:szCs w:val="30"/>
        </w:rPr>
        <w:t xml:space="preserve">2. High-Level Well Circle Progress Timeline &amp; Governance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4800"/>
      </w:tblGrid>
      <w:tr>
        <w:trPr>
          <w:tblHeader/>
        </w:trPr>
        <w:tc>
          <w:tcPr>
            <w:tcW w:type="dxa" w:w="2600"/>
            <w:shd w:fill="1E5631" w:val="clear"/>
            <w:tcMar>
              <w:top w:type="dxa" w:w="100"/>
              <w:left w:type="dxa" w:w="120"/>
              <w:bottom w:type="dxa" w:w="100"/>
              <w:right w:type="dxa" w:w="120"/>
            </w:tcMar>
            <w:vAlign w:val="center"/>
          </w:tcPr>
          <w:p>
            <w:r>
              <w:rPr>
                <w:b/>
                <w:bCs/>
                <w:color w:val="FFFFFF"/>
                <w:sz w:val="20"/>
                <w:szCs w:val="20"/>
              </w:rPr>
              <w:t xml:space="preserve">Phase</w:t>
            </w:r>
          </w:p>
        </w:tc>
        <w:tc>
          <w:tcPr>
            <w:tcW w:type="dxa" w:w="1600"/>
            <w:shd w:fill="1E5631" w:val="clear"/>
            <w:tcMar>
              <w:top w:type="dxa" w:w="100"/>
              <w:left w:type="dxa" w:w="120"/>
              <w:bottom w:type="dxa" w:w="100"/>
              <w:right w:type="dxa" w:w="120"/>
            </w:tcMar>
            <w:vAlign w:val="center"/>
          </w:tcPr>
          <w:p>
            <w:r>
              <w:rPr>
                <w:b/>
                <w:bCs/>
                <w:color w:val="FFFFFF"/>
                <w:sz w:val="20"/>
                <w:szCs w:val="20"/>
              </w:rPr>
              <w:t xml:space="preserve">Window</w:t>
            </w:r>
          </w:p>
        </w:tc>
        <w:tc>
          <w:tcPr>
            <w:tcW w:type="dxa" w:w="1600"/>
            <w:shd w:fill="1E5631" w:val="clear"/>
            <w:tcMar>
              <w:top w:type="dxa" w:w="100"/>
              <w:left w:type="dxa" w:w="120"/>
              <w:bottom w:type="dxa" w:w="100"/>
              <w:right w:type="dxa" w:w="120"/>
            </w:tcMar>
            <w:vAlign w:val="center"/>
          </w:tcPr>
          <w:p>
            <w:r>
              <w:rPr>
                <w:b/>
                <w:bCs/>
                <w:color w:val="FFFFFF"/>
                <w:sz w:val="20"/>
                <w:szCs w:val="20"/>
              </w:rPr>
              <w:t xml:space="preserve">Status</w:t>
            </w:r>
          </w:p>
        </w:tc>
        <w:tc>
          <w:tcPr>
            <w:tcW w:type="dxa" w:w="4800"/>
            <w:shd w:fill="1E5631" w:val="clear"/>
            <w:tcMar>
              <w:top w:type="dxa" w:w="100"/>
              <w:left w:type="dxa" w:w="120"/>
              <w:bottom w:type="dxa" w:w="100"/>
              <w:right w:type="dxa" w:w="120"/>
            </w:tcMar>
            <w:vAlign w:val="center"/>
          </w:tcPr>
          <w:p>
            <w:r>
              <w:rPr>
                <w:b/>
                <w:bCs/>
                <w:color w:val="FFFFFF"/>
                <w:sz w:val="20"/>
                <w:szCs w:val="20"/>
              </w:rPr>
              <w:t xml:space="preserve">Key Deliverables</w:t>
            </w:r>
          </w:p>
        </w:tc>
      </w:tr>
      <w:tr>
        <w:tc>
          <w:tcPr>
            <w:tcW w:type="dxa" w:w="2600"/>
            <w:tcMar>
              <w:top w:type="dxa" w:w="100"/>
              <w:left w:type="dxa" w:w="120"/>
              <w:bottom w:type="dxa" w:w="100"/>
              <w:right w:type="dxa" w:w="120"/>
            </w:tcMar>
            <w:vAlign w:val="center"/>
          </w:tcPr>
          <w:p>
            <w:r>
              <w:rPr>
                <w:color w:val="222222"/>
                <w:sz w:val="21"/>
                <w:szCs w:val="21"/>
              </w:rPr>
              <w:t xml:space="preserve">Phase 1: Stabilization</w:t>
            </w:r>
          </w:p>
        </w:tc>
        <w:tc>
          <w:tcPr>
            <w:tcW w:type="dxa" w:w="1600"/>
            <w:tcMar>
              <w:top w:type="dxa" w:w="100"/>
              <w:left w:type="dxa" w:w="120"/>
              <w:bottom w:type="dxa" w:w="100"/>
              <w:right w:type="dxa" w:w="120"/>
            </w:tcMar>
            <w:vAlign w:val="center"/>
          </w:tcPr>
          <w:p>
            <w:r>
              <w:rPr>
                <w:color w:val="222222"/>
                <w:sz w:val="21"/>
                <w:szCs w:val="21"/>
              </w:rPr>
              <w:t xml:space="preserve">Aug 03 – Aug 09</w:t>
            </w:r>
          </w:p>
        </w:tc>
        <w:tc>
          <w:tcPr>
            <w:tcW w:type="dxa" w:w="1600"/>
            <w:tcMar>
              <w:top w:type="dxa" w:w="100"/>
              <w:left w:type="dxa" w:w="120"/>
              <w:bottom w:type="dxa" w:w="100"/>
              <w:right w:type="dxa" w:w="120"/>
            </w:tcMar>
            <w:vAlign w:val="center"/>
          </w:tcPr>
          <w:p>
            <w:r>
              <w:rPr>
                <w:b/>
                <w:bCs/>
                <w:color w:val="1E5631"/>
                <w:sz w:val="21"/>
                <w:szCs w:val="21"/>
              </w:rPr>
              <w:t xml:space="preserve">Completed</w:t>
            </w:r>
          </w:p>
        </w:tc>
        <w:tc>
          <w:tcPr>
            <w:tcW w:type="dxa" w:w="4800"/>
            <w:tcMar>
              <w:top w:type="dxa" w:w="100"/>
              <w:left w:type="dxa" w:w="120"/>
              <w:bottom w:type="dxa" w:w="100"/>
              <w:right w:type="dxa" w:w="120"/>
            </w:tcMar>
            <w:vAlign w:val="center"/>
          </w:tcPr>
          <w:p>
            <w:r>
              <w:rPr>
                <w:color w:val="222222"/>
                <w:sz w:val="21"/>
                <w:szCs w:val="21"/>
              </w:rPr>
              <w:t xml:space="preserve">Kuriftu onboarded as primary provider, QR codes generated, staff booking export live.</w:t>
            </w:r>
          </w:p>
        </w:tc>
      </w:tr>
      <w:tr>
        <w:tc>
          <w:tcPr>
            <w:tcW w:type="dxa" w:w="2600"/>
            <w:shd w:fill="F5F7F5" w:val="clear"/>
            <w:tcMar>
              <w:top w:type="dxa" w:w="100"/>
              <w:left w:type="dxa" w:w="120"/>
              <w:bottom w:type="dxa" w:w="100"/>
              <w:right w:type="dxa" w:w="120"/>
            </w:tcMar>
            <w:vAlign w:val="center"/>
          </w:tcPr>
          <w:p>
            <w:r>
              <w:rPr>
                <w:color w:val="222222"/>
                <w:sz w:val="21"/>
                <w:szCs w:val="21"/>
              </w:rPr>
              <w:t xml:space="preserve">Phase 2: Pre-Launch Integration &amp; Agreement</w:t>
            </w:r>
          </w:p>
        </w:tc>
        <w:tc>
          <w:tcPr>
            <w:tcW w:type="dxa" w:w="1600"/>
            <w:shd w:fill="F5F7F5" w:val="clear"/>
            <w:tcMar>
              <w:top w:type="dxa" w:w="100"/>
              <w:left w:type="dxa" w:w="120"/>
              <w:bottom w:type="dxa" w:w="100"/>
              <w:right w:type="dxa" w:w="120"/>
            </w:tcMar>
            <w:vAlign w:val="center"/>
          </w:tcPr>
          <w:p>
            <w:r>
              <w:rPr>
                <w:color w:val="222222"/>
                <w:sz w:val="21"/>
                <w:szCs w:val="21"/>
              </w:rPr>
              <w:t xml:space="preserve">TBD</w:t>
            </w:r>
          </w:p>
        </w:tc>
        <w:tc>
          <w:tcPr>
            <w:tcW w:type="dxa" w:w="1600"/>
            <w:shd w:fill="F5F7F5" w:val="clear"/>
            <w:tcMar>
              <w:top w:type="dxa" w:w="100"/>
              <w:left w:type="dxa" w:w="120"/>
              <w:bottom w:type="dxa" w:w="100"/>
              <w:right w:type="dxa" w:w="120"/>
            </w:tcMar>
            <w:vAlign w:val="center"/>
          </w:tcPr>
          <w:p>
            <w:r>
              <w:rPr>
                <w:b/>
                <w:bCs/>
                <w:color w:val="B8860B"/>
                <w:sz w:val="21"/>
                <w:szCs w:val="21"/>
              </w:rPr>
              <w:t xml:space="preserve">In Progress</w:t>
            </w:r>
          </w:p>
        </w:tc>
        <w:tc>
          <w:tcPr>
            <w:tcW w:type="dxa" w:w="4800"/>
            <w:shd w:fill="F5F7F5" w:val="clear"/>
            <w:tcMar>
              <w:top w:type="dxa" w:w="100"/>
              <w:left w:type="dxa" w:w="120"/>
              <w:bottom w:type="dxa" w:w="100"/>
              <w:right w:type="dxa" w:w="120"/>
            </w:tcMar>
            <w:vAlign w:val="center"/>
          </w:tcPr>
          <w:p>
            <w:r>
              <w:rPr>
                <w:color w:val="222222"/>
                <w:sz w:val="21"/>
                <w:szCs w:val="21"/>
              </w:rPr>
              <w:t xml:space="preserve">IDS integration readiness complete; IDS Team follow-up meeting not yet scheduled; partnership agreement signing and provider readiness ongoing. Onboarding of 4 external wellness providers and community group integration continues.</w:t>
            </w:r>
          </w:p>
        </w:tc>
      </w:tr>
      <w:tr>
        <w:tc>
          <w:tcPr>
            <w:tcW w:type="dxa" w:w="2600"/>
            <w:tcMar>
              <w:top w:type="dxa" w:w="100"/>
              <w:left w:type="dxa" w:w="120"/>
              <w:bottom w:type="dxa" w:w="100"/>
              <w:right w:type="dxa" w:w="120"/>
            </w:tcMar>
            <w:vAlign w:val="center"/>
          </w:tcPr>
          <w:p>
            <w:r>
              <w:rPr>
                <w:color w:val="222222"/>
                <w:sz w:val="21"/>
                <w:szCs w:val="21"/>
              </w:rPr>
              <w:t xml:space="preserve">Phase 3: Review Window</w:t>
            </w:r>
          </w:p>
        </w:tc>
        <w:tc>
          <w:tcPr>
            <w:tcW w:type="dxa" w:w="1600"/>
            <w:tcMar>
              <w:top w:type="dxa" w:w="100"/>
              <w:left w:type="dxa" w:w="120"/>
              <w:bottom w:type="dxa" w:w="100"/>
              <w:right w:type="dxa" w:w="120"/>
            </w:tcMar>
            <w:vAlign w:val="center"/>
          </w:tcPr>
          <w:p>
            <w:r>
              <w:rPr>
                <w:color w:val="222222"/>
                <w:sz w:val="21"/>
                <w:szCs w:val="21"/>
              </w:rPr>
              <w:t xml:space="preserve">TBD</w:t>
            </w:r>
          </w:p>
        </w:tc>
        <w:tc>
          <w:tcPr>
            <w:tcW w:type="dxa" w:w="1600"/>
            <w:tcMar>
              <w:top w:type="dxa" w:w="100"/>
              <w:left w:type="dxa" w:w="120"/>
              <w:bottom w:type="dxa" w:w="100"/>
              <w:right w:type="dxa" w:w="120"/>
            </w:tcMar>
            <w:vAlign w:val="center"/>
          </w:tcPr>
          <w:p>
            <w:r>
              <w:rPr>
                <w:b/>
                <w:bCs/>
                <w:color w:val="6B6B6B"/>
                <w:sz w:val="21"/>
                <w:szCs w:val="21"/>
              </w:rPr>
              <w:t xml:space="preserve">Upcoming</w:t>
            </w:r>
          </w:p>
        </w:tc>
        <w:tc>
          <w:tcPr>
            <w:tcW w:type="dxa" w:w="4800"/>
            <w:tcMar>
              <w:top w:type="dxa" w:w="100"/>
              <w:left w:type="dxa" w:w="120"/>
              <w:bottom w:type="dxa" w:w="100"/>
              <w:right w:type="dxa" w:w="120"/>
            </w:tcMar>
            <w:vAlign w:val="center"/>
          </w:tcPr>
          <w:p>
            <w:r>
              <w:rPr>
                <w:color w:val="222222"/>
                <w:sz w:val="21"/>
                <w:szCs w:val="21"/>
              </w:rPr>
              <w:t xml:space="preserve">Joint feasibility review against agreed PostHog analytics.</w:t>
            </w:r>
          </w:p>
        </w:tc>
      </w:tr>
      <w:tr>
        <w:tc>
          <w:tcPr>
            <w:tcW w:type="dxa" w:w="2600"/>
            <w:shd w:fill="F5F7F5" w:val="clear"/>
            <w:tcMar>
              <w:top w:type="dxa" w:w="100"/>
              <w:left w:type="dxa" w:w="120"/>
              <w:bottom w:type="dxa" w:w="100"/>
              <w:right w:type="dxa" w:w="120"/>
            </w:tcMar>
            <w:vAlign w:val="center"/>
          </w:tcPr>
          <w:p>
            <w:r>
              <w:rPr>
                <w:color w:val="222222"/>
                <w:sz w:val="21"/>
                <w:szCs w:val="21"/>
              </w:rPr>
              <w:t xml:space="preserve">Go/No-Go Decision</w:t>
            </w:r>
          </w:p>
        </w:tc>
        <w:tc>
          <w:tcPr>
            <w:tcW w:type="dxa" w:w="1600"/>
            <w:shd w:fill="F5F7F5" w:val="clear"/>
            <w:tcMar>
              <w:top w:type="dxa" w:w="100"/>
              <w:left w:type="dxa" w:w="120"/>
              <w:bottom w:type="dxa" w:w="100"/>
              <w:right w:type="dxa" w:w="120"/>
            </w:tcMar>
            <w:vAlign w:val="center"/>
          </w:tcPr>
          <w:p>
            <w:r>
              <w:rPr>
                <w:color w:val="222222"/>
                <w:sz w:val="21"/>
                <w:szCs w:val="21"/>
              </w:rPr>
              <w:t xml:space="preserve">TBD</w:t>
            </w:r>
          </w:p>
        </w:tc>
        <w:tc>
          <w:tcPr>
            <w:tcW w:type="dxa" w:w="1600"/>
            <w:shd w:fill="F5F7F5" w:val="clear"/>
            <w:tcMar>
              <w:top w:type="dxa" w:w="100"/>
              <w:left w:type="dxa" w:w="120"/>
              <w:bottom w:type="dxa" w:w="100"/>
              <w:right w:type="dxa" w:w="120"/>
            </w:tcMar>
            <w:vAlign w:val="center"/>
          </w:tcPr>
          <w:p>
            <w:r>
              <w:rPr>
                <w:b/>
                <w:bCs/>
                <w:color w:val="6B6B6B"/>
                <w:sz w:val="21"/>
                <w:szCs w:val="21"/>
              </w:rPr>
              <w:t xml:space="preserve">Scheduled</w:t>
            </w:r>
          </w:p>
        </w:tc>
        <w:tc>
          <w:tcPr>
            <w:tcW w:type="dxa" w:w="4800"/>
            <w:shd w:fill="F5F7F5" w:val="clear"/>
            <w:tcMar>
              <w:top w:type="dxa" w:w="100"/>
              <w:left w:type="dxa" w:w="120"/>
              <w:bottom w:type="dxa" w:w="100"/>
              <w:right w:type="dxa" w:w="120"/>
            </w:tcMar>
            <w:vAlign w:val="center"/>
          </w:tcPr>
          <w:p>
            <w:r>
              <w:rPr>
                <w:color w:val="222222"/>
                <w:sz w:val="21"/>
                <w:szCs w:val="21"/>
              </w:rPr>
              <w:t xml:space="preserve">Final executive evaluation for long-term expansion.</w:t>
            </w:r>
          </w:p>
        </w:tc>
      </w:tr>
    </w:tbl>
    <w:p>
      <w:pPr>
        <w:pBdr>
          <w:bottom w:val="single" w:color="CCCCCC" w:sz="6" w:space="1"/>
        </w:pBdr>
        <w:spacing w:after="200" w:before="200"/>
      </w:pPr>
    </w:p>
    <w:p>
      <w:pPr>
        <w:pStyle w:val="Heading1"/>
        <w:spacing w:after="160" w:before="360"/>
      </w:pPr>
      <w:r>
        <w:rPr>
          <w:b/>
          <w:bCs/>
          <w:color w:val="1E5631"/>
          <w:sz w:val="30"/>
          <w:szCs w:val="30"/>
        </w:rPr>
        <w:t xml:space="preserve">3. PMS Integration Progress (FortuneNext 7.0 by IDS Next)</w:t>
      </w:r>
    </w:p>
    <w:p>
      <w:pPr>
        <w:spacing w:after="160" w:before="0"/>
      </w:pPr>
      <w:r>
        <w:rPr>
          <w:b w:val="false"/>
          <w:bCs w:val="false"/>
          <w:i w:val="false"/>
          <w:iCs w:val="false"/>
          <w:color w:val="222222"/>
          <w:sz w:val="21"/>
          <w:szCs w:val="21"/>
        </w:rPr>
        <w:t xml:space="preserve">Engineering-side readiness work is complete, but scheduling the follow-up IDS Team meeting — needed to finalize integration timing and the provider pricing list — remains an open item with no date set. PMS integration stays in-scope to automate the booking flow from Well Circle's Google Sheets export directly into Kuriftu's front-office system.</w:t>
      </w:r>
    </w:p>
    <w:p>
      <w:pPr>
        <w:pStyle w:val="ListParagraph"/>
        <w:numPr>
          <w:ilvl w:val="0"/>
          <w:numId w:val="1"/>
        </w:numPr>
        <w:spacing w:after="90"/>
      </w:pPr>
      <w:r>
        <w:rPr>
          <w:color w:val="222222"/>
          <w:sz w:val="21"/>
          <w:szCs w:val="21"/>
        </w:rPr>
        <w:t xml:space="preserve">Current System: </w:t>
      </w:r>
      <w:r>
        <w:rPr>
          <w:color w:val="222222"/>
          <w:sz w:val="21"/>
          <w:szCs w:val="21"/>
        </w:rPr>
        <w:t xml:space="preserve">FortuneNext 7.0 PMS (2 integrated modules).</w:t>
      </w:r>
    </w:p>
    <w:p>
      <w:pPr>
        <w:pStyle w:val="ListParagraph"/>
        <w:numPr>
          <w:ilvl w:val="0"/>
          <w:numId w:val="1"/>
        </w:numPr>
        <w:spacing w:after="90"/>
      </w:pPr>
      <w:r>
        <w:rPr>
          <w:color w:val="222222"/>
          <w:sz w:val="21"/>
          <w:szCs w:val="21"/>
        </w:rPr>
        <w:t xml:space="preserve">Primary Integration Path (Option A): </w:t>
      </w:r>
      <w:r>
        <w:rPr>
          <w:color w:val="222222"/>
          <w:sz w:val="21"/>
          <w:szCs w:val="21"/>
        </w:rPr>
        <w:t xml:space="preserve">Connecting Well Circle's API to Kuriftu's active “Revenue &amp; Distribution Connect” channel manager.</w:t>
      </w:r>
    </w:p>
    <w:p>
      <w:pPr>
        <w:pStyle w:val="ListParagraph"/>
        <w:numPr>
          <w:ilvl w:val="0"/>
          <w:numId w:val="1"/>
        </w:numPr>
        <w:spacing w:after="90"/>
      </w:pPr>
      <w:r>
        <w:rPr>
          <w:color w:val="222222"/>
          <w:sz w:val="21"/>
          <w:szCs w:val="21"/>
        </w:rPr>
        <w:t xml:space="preserve">Fallback Integration Path (Option B): </w:t>
      </w:r>
      <w:r>
        <w:rPr>
          <w:color w:val="222222"/>
          <w:sz w:val="21"/>
          <w:szCs w:val="21"/>
        </w:rPr>
        <w:t xml:space="preserve">Automated CSV/XML scheduled file drop directly into FortuneNext Front Office, eliminating manual staff entry.</w:t>
      </w:r>
    </w:p>
    <w:p>
      <w:pPr>
        <w:pStyle w:val="ListParagraph"/>
        <w:numPr>
          <w:ilvl w:val="0"/>
          <w:numId w:val="1"/>
        </w:numPr>
        <w:spacing w:after="90"/>
      </w:pPr>
      <w:r>
        <w:rPr>
          <w:color w:val="222222"/>
          <w:sz w:val="21"/>
          <w:szCs w:val="21"/>
        </w:rPr>
        <w:t xml:space="preserve">Post-Launch Strategy (Option C): </w:t>
      </w:r>
      <w:r>
        <w:rPr>
          <w:color w:val="222222"/>
          <w:sz w:val="21"/>
          <w:szCs w:val="21"/>
        </w:rPr>
        <w:t xml:space="preserve">Formal IDS Next Partner Marketplace integration for long-term real-time synchronization.</w:t>
      </w:r>
    </w:p>
    <w:p>
      <w:pPr>
        <w:pBdr>
          <w:bottom w:val="single" w:color="CCCCCC" w:sz="6" w:space="1"/>
        </w:pBdr>
        <w:spacing w:after="200" w:before="200"/>
      </w:pPr>
    </w:p>
    <w:p>
      <w:pPr>
        <w:pStyle w:val="Heading1"/>
        <w:spacing w:after="160" w:before="360"/>
      </w:pPr>
      <w:r>
        <w:rPr>
          <w:b/>
          <w:bCs/>
          <w:color w:val="1E5631"/>
          <w:sz w:val="30"/>
          <w:szCs w:val="30"/>
        </w:rPr>
        <w:t xml:space="preserve">4. Well Circle Performance Report (30-day PostHog window, Aug 28 – Sep 27, 2026)</w:t>
      </w:r>
    </w:p>
    <w:p>
      <w:pPr>
        <w:spacing w:after="160" w:before="0"/>
      </w:pPr>
      <w:r>
        <w:rPr>
          <w:b w:val="false"/>
          <w:bCs w:val="false"/>
          <w:i w:val="false"/>
          <w:iCs w:val="false"/>
          <w:color w:val="222222"/>
          <w:sz w:val="21"/>
          <w:szCs w:val="21"/>
        </w:rPr>
        <w:t xml:space="preserve">This section reflects the PostHog pilot-effectiveness and identity/habit-loop dashboards for the trailing 30 days. Most of that window (Aug 28 – Sep 20) predates the active bot-funnel push, so the low volumes through most of it reflect the social-presence-building phase rather than the funnel underperforming; the meaningful read starts with last week (Sep 21–27), when the team began directing users into the bot for the first time — and it's no coincidence that the DAU peak and best retention cohort both land in that exact window. The check-in habit loop is the one issue that predates and is independent of the funnel push: it has not fired in production at all in 90+ days.</w:t>
      </w:r>
    </w:p>
    <w:p>
      <w:pPr>
        <w:pStyle w:val="Heading2"/>
        <w:spacing w:after="160" w:before="360"/>
      </w:pPr>
      <w:r>
        <w:rPr>
          <w:b/>
          <w:bCs/>
          <w:color w:val="1E5631"/>
          <w:sz w:val="25"/>
          <w:szCs w:val="25"/>
        </w:rPr>
        <w:t xml:space="preserve">New-Customer Funnel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2000"/>
      </w:tblGrid>
      <w:tr>
        <w:trPr>
          <w:tblHeader/>
        </w:trPr>
        <w:tc>
          <w:tcPr>
            <w:tcW w:type="dxa" w:w="3200"/>
            <w:shd w:fill="1E5631" w:val="clear"/>
            <w:tcMar>
              <w:top w:type="dxa" w:w="100"/>
              <w:left w:type="dxa" w:w="120"/>
              <w:bottom w:type="dxa" w:w="100"/>
              <w:right w:type="dxa" w:w="120"/>
            </w:tcMar>
            <w:vAlign w:val="center"/>
          </w:tcPr>
          <w:p>
            <w:r>
              <w:rPr>
                <w:b/>
                <w:bCs/>
                <w:color w:val="FFFFFF"/>
                <w:sz w:val="20"/>
                <w:szCs w:val="20"/>
              </w:rPr>
              <w:t xml:space="preserve">Step</w:t>
            </w:r>
          </w:p>
        </w:tc>
        <w:tc>
          <w:tcPr>
            <w:tcW w:type="dxa" w:w="2000"/>
            <w:shd w:fill="1E5631" w:val="clear"/>
            <w:tcMar>
              <w:top w:type="dxa" w:w="100"/>
              <w:left w:type="dxa" w:w="120"/>
              <w:bottom w:type="dxa" w:w="100"/>
              <w:right w:type="dxa" w:w="120"/>
            </w:tcMar>
            <w:vAlign w:val="center"/>
          </w:tcPr>
          <w:p>
            <w:r>
              <w:rPr>
                <w:b/>
                <w:bCs/>
                <w:color w:val="FFFFFF"/>
                <w:sz w:val="20"/>
                <w:szCs w:val="20"/>
              </w:rPr>
              <w:t xml:space="preserve">Users</w:t>
            </w:r>
          </w:p>
        </w:tc>
        <w:tc>
          <w:tcPr>
            <w:tcW w:type="dxa" w:w="2400"/>
            <w:shd w:fill="1E5631" w:val="clear"/>
            <w:tcMar>
              <w:top w:type="dxa" w:w="100"/>
              <w:left w:type="dxa" w:w="120"/>
              <w:bottom w:type="dxa" w:w="100"/>
              <w:right w:type="dxa" w:w="120"/>
            </w:tcMar>
            <w:vAlign w:val="center"/>
          </w:tcPr>
          <w:p>
            <w:r>
              <w:rPr>
                <w:b/>
                <w:bCs/>
                <w:color w:val="FFFFFF"/>
                <w:sz w:val="20"/>
                <w:szCs w:val="20"/>
              </w:rPr>
              <w:t xml:space="preserve">Conversion (overall)</w:t>
            </w:r>
          </w:p>
        </w:tc>
        <w:tc>
          <w:tcPr>
            <w:tcW w:type="dxa" w:w="2000"/>
            <w:shd w:fill="1E5631" w:val="clear"/>
            <w:tcMar>
              <w:top w:type="dxa" w:w="100"/>
              <w:left w:type="dxa" w:w="120"/>
              <w:bottom w:type="dxa" w:w="100"/>
              <w:right w:type="dxa" w:w="120"/>
            </w:tcMar>
            <w:vAlign w:val="center"/>
          </w:tcPr>
          <w:p>
            <w:r>
              <w:rPr>
                <w:b/>
                <w:bCs/>
                <w:color w:val="FFFFFF"/>
                <w:sz w:val="20"/>
                <w:szCs w:val="20"/>
              </w:rPr>
              <w:t xml:space="preserve">Drop-off</w:t>
            </w:r>
          </w:p>
        </w:tc>
      </w:tr>
      <w:tr>
        <w:tc>
          <w:tcPr>
            <w:tcW w:type="dxa" w:w="3200"/>
            <w:tcMar>
              <w:top w:type="dxa" w:w="100"/>
              <w:left w:type="dxa" w:w="120"/>
              <w:bottom w:type="dxa" w:w="100"/>
              <w:right w:type="dxa" w:w="120"/>
            </w:tcMar>
            <w:vAlign w:val="center"/>
          </w:tcPr>
          <w:p>
            <w:r>
              <w:rPr>
                <w:color w:val="222222"/>
                <w:sz w:val="21"/>
                <w:szCs w:val="21"/>
              </w:rPr>
              <w:t xml:space="preserve">app_open</w:t>
            </w:r>
          </w:p>
        </w:tc>
        <w:tc>
          <w:tcPr>
            <w:tcW w:type="dxa" w:w="2000"/>
            <w:tcMar>
              <w:top w:type="dxa" w:w="100"/>
              <w:left w:type="dxa" w:w="120"/>
              <w:bottom w:type="dxa" w:w="100"/>
              <w:right w:type="dxa" w:w="120"/>
            </w:tcMar>
            <w:vAlign w:val="center"/>
          </w:tcPr>
          <w:p>
            <w:r>
              <w:rPr>
                <w:color w:val="222222"/>
                <w:sz w:val="21"/>
                <w:szCs w:val="21"/>
              </w:rPr>
              <w:t xml:space="preserve">15</w:t>
            </w:r>
          </w:p>
        </w:tc>
        <w:tc>
          <w:tcPr>
            <w:tcW w:type="dxa" w:w="2400"/>
            <w:tcMar>
              <w:top w:type="dxa" w:w="100"/>
              <w:left w:type="dxa" w:w="120"/>
              <w:bottom w:type="dxa" w:w="100"/>
              <w:right w:type="dxa" w:w="120"/>
            </w:tcMar>
            <w:vAlign w:val="center"/>
          </w:tcPr>
          <w:p>
            <w:r>
              <w:rPr>
                <w:color w:val="222222"/>
                <w:sz w:val="21"/>
                <w:szCs w:val="21"/>
              </w:rPr>
              <w:t xml:space="preserve">100%</w:t>
            </w:r>
          </w:p>
        </w:tc>
        <w:tc>
          <w:tcPr>
            <w:tcW w:type="dxa" w:w="2000"/>
            <w:tcMar>
              <w:top w:type="dxa" w:w="100"/>
              <w:left w:type="dxa" w:w="120"/>
              <w:bottom w:type="dxa" w:w="100"/>
              <w:right w:type="dxa" w:w="120"/>
            </w:tcMar>
            <w:vAlign w:val="center"/>
          </w:tcPr>
          <w:p>
            <w:r>
              <w:rPr>
                <w:color w:val="222222"/>
                <w:sz w:val="21"/>
                <w:szCs w:val="21"/>
              </w:rPr>
              <w:t xml:space="preserve">–</w:t>
            </w:r>
          </w:p>
        </w:tc>
      </w:tr>
      <w:tr>
        <w:tc>
          <w:tcPr>
            <w:tcW w:type="dxa" w:w="3200"/>
            <w:shd w:fill="F5F7F5" w:val="clear"/>
            <w:tcMar>
              <w:top w:type="dxa" w:w="100"/>
              <w:left w:type="dxa" w:w="120"/>
              <w:bottom w:type="dxa" w:w="100"/>
              <w:right w:type="dxa" w:w="120"/>
            </w:tcMar>
            <w:vAlign w:val="center"/>
          </w:tcPr>
          <w:p>
            <w:r>
              <w:rPr>
                <w:color w:val="222222"/>
                <w:sz w:val="21"/>
                <w:szCs w:val="21"/>
              </w:rPr>
              <w:t xml:space="preserve">explore_view</w:t>
            </w:r>
          </w:p>
        </w:tc>
        <w:tc>
          <w:tcPr>
            <w:tcW w:type="dxa" w:w="2000"/>
            <w:shd w:fill="F5F7F5" w:val="clear"/>
            <w:tcMar>
              <w:top w:type="dxa" w:w="100"/>
              <w:left w:type="dxa" w:w="120"/>
              <w:bottom w:type="dxa" w:w="100"/>
              <w:right w:type="dxa" w:w="120"/>
            </w:tcMar>
            <w:vAlign w:val="center"/>
          </w:tcPr>
          <w:p>
            <w:r>
              <w:rPr>
                <w:color w:val="222222"/>
                <w:sz w:val="21"/>
                <w:szCs w:val="21"/>
              </w:rPr>
              <w:t xml:space="preserve">12</w:t>
            </w:r>
          </w:p>
        </w:tc>
        <w:tc>
          <w:tcPr>
            <w:tcW w:type="dxa" w:w="2400"/>
            <w:shd w:fill="F5F7F5" w:val="clear"/>
            <w:tcMar>
              <w:top w:type="dxa" w:w="100"/>
              <w:left w:type="dxa" w:w="120"/>
              <w:bottom w:type="dxa" w:w="100"/>
              <w:right w:type="dxa" w:w="120"/>
            </w:tcMar>
            <w:vAlign w:val="center"/>
          </w:tcPr>
          <w:p>
            <w:r>
              <w:rPr>
                <w:color w:val="222222"/>
                <w:sz w:val="21"/>
                <w:szCs w:val="21"/>
              </w:rPr>
              <w:t xml:space="preserve">80%</w:t>
            </w:r>
          </w:p>
        </w:tc>
        <w:tc>
          <w:tcPr>
            <w:tcW w:type="dxa" w:w="2000"/>
            <w:shd w:fill="F5F7F5" w:val="clear"/>
            <w:tcMar>
              <w:top w:type="dxa" w:w="100"/>
              <w:left w:type="dxa" w:w="120"/>
              <w:bottom w:type="dxa" w:w="100"/>
              <w:right w:type="dxa" w:w="120"/>
            </w:tcMar>
            <w:vAlign w:val="center"/>
          </w:tcPr>
          <w:p>
            <w:r>
              <w:rPr>
                <w:color w:val="222222"/>
                <w:sz w:val="21"/>
                <w:szCs w:val="21"/>
              </w:rPr>
              <w:t xml:space="preserve">20%</w:t>
            </w:r>
          </w:p>
        </w:tc>
      </w:tr>
      <w:tr>
        <w:tc>
          <w:tcPr>
            <w:tcW w:type="dxa" w:w="3200"/>
            <w:tcMar>
              <w:top w:type="dxa" w:w="100"/>
              <w:left w:type="dxa" w:w="120"/>
              <w:bottom w:type="dxa" w:w="100"/>
              <w:right w:type="dxa" w:w="120"/>
            </w:tcMar>
            <w:vAlign w:val="center"/>
          </w:tcPr>
          <w:p>
            <w:r>
              <w:rPr>
                <w:color w:val="222222"/>
                <w:sz w:val="21"/>
                <w:szCs w:val="21"/>
              </w:rPr>
              <w:t xml:space="preserve">booking_start</w:t>
            </w:r>
          </w:p>
        </w:tc>
        <w:tc>
          <w:tcPr>
            <w:tcW w:type="dxa" w:w="2000"/>
            <w:tcMar>
              <w:top w:type="dxa" w:w="100"/>
              <w:left w:type="dxa" w:w="120"/>
              <w:bottom w:type="dxa" w:w="100"/>
              <w:right w:type="dxa" w:w="120"/>
            </w:tcMar>
            <w:vAlign w:val="center"/>
          </w:tcPr>
          <w:p>
            <w:r>
              <w:rPr>
                <w:color w:val="222222"/>
                <w:sz w:val="21"/>
                <w:szCs w:val="21"/>
              </w:rPr>
              <w:t xml:space="preserve">6</w:t>
            </w:r>
          </w:p>
        </w:tc>
        <w:tc>
          <w:tcPr>
            <w:tcW w:type="dxa" w:w="2400"/>
            <w:tcMar>
              <w:top w:type="dxa" w:w="100"/>
              <w:left w:type="dxa" w:w="120"/>
              <w:bottom w:type="dxa" w:w="100"/>
              <w:right w:type="dxa" w:w="120"/>
            </w:tcMar>
            <w:vAlign w:val="center"/>
          </w:tcPr>
          <w:p>
            <w:r>
              <w:rPr>
                <w:color w:val="222222"/>
                <w:sz w:val="21"/>
                <w:szCs w:val="21"/>
              </w:rPr>
              <w:t xml:space="preserve">40%</w:t>
            </w:r>
          </w:p>
        </w:tc>
        <w:tc>
          <w:tcPr>
            <w:tcW w:type="dxa" w:w="2000"/>
            <w:tcMar>
              <w:top w:type="dxa" w:w="100"/>
              <w:left w:type="dxa" w:w="120"/>
              <w:bottom w:type="dxa" w:w="100"/>
              <w:right w:type="dxa" w:w="120"/>
            </w:tcMar>
            <w:vAlign w:val="center"/>
          </w:tcPr>
          <w:p>
            <w:r>
              <w:rPr>
                <w:color w:val="222222"/>
                <w:sz w:val="21"/>
                <w:szCs w:val="21"/>
              </w:rPr>
              <w:t xml:space="preserve">60%</w:t>
            </w:r>
          </w:p>
        </w:tc>
      </w:tr>
      <w:tr>
        <w:tc>
          <w:tcPr>
            <w:tcW w:type="dxa" w:w="3200"/>
            <w:shd w:fill="F5F7F5" w:val="clear"/>
            <w:tcMar>
              <w:top w:type="dxa" w:w="100"/>
              <w:left w:type="dxa" w:w="120"/>
              <w:bottom w:type="dxa" w:w="100"/>
              <w:right w:type="dxa" w:w="120"/>
            </w:tcMar>
            <w:vAlign w:val="center"/>
          </w:tcPr>
          <w:p>
            <w:r>
              <w:rPr>
                <w:color w:val="222222"/>
                <w:sz w:val="21"/>
                <w:szCs w:val="21"/>
              </w:rPr>
              <w:t xml:space="preserve">booking_confirmed</w:t>
            </w:r>
          </w:p>
        </w:tc>
        <w:tc>
          <w:tcPr>
            <w:tcW w:type="dxa" w:w="2000"/>
            <w:shd w:fill="F5F7F5" w:val="clear"/>
            <w:tcMar>
              <w:top w:type="dxa" w:w="100"/>
              <w:left w:type="dxa" w:w="120"/>
              <w:bottom w:type="dxa" w:w="100"/>
              <w:right w:type="dxa" w:w="120"/>
            </w:tcMar>
            <w:vAlign w:val="center"/>
          </w:tcPr>
          <w:p>
            <w:r>
              <w:rPr>
                <w:color w:val="222222"/>
                <w:sz w:val="21"/>
                <w:szCs w:val="21"/>
              </w:rPr>
              <w:t xml:space="preserve">0</w:t>
            </w:r>
          </w:p>
        </w:tc>
        <w:tc>
          <w:tcPr>
            <w:tcW w:type="dxa" w:w="2400"/>
            <w:shd w:fill="F5F7F5" w:val="clear"/>
            <w:tcMar>
              <w:top w:type="dxa" w:w="100"/>
              <w:left w:type="dxa" w:w="120"/>
              <w:bottom w:type="dxa" w:w="100"/>
              <w:right w:type="dxa" w:w="120"/>
            </w:tcMar>
            <w:vAlign w:val="center"/>
          </w:tcPr>
          <w:p>
            <w:r>
              <w:rPr>
                <w:color w:val="222222"/>
                <w:sz w:val="21"/>
                <w:szCs w:val="21"/>
              </w:rPr>
              <w:t xml:space="preserve">0%</w:t>
            </w:r>
          </w:p>
        </w:tc>
        <w:tc>
          <w:tcPr>
            <w:tcW w:type="dxa" w:w="2000"/>
            <w:shd w:fill="F5F7F5" w:val="clear"/>
            <w:tcMar>
              <w:top w:type="dxa" w:w="100"/>
              <w:left w:type="dxa" w:w="120"/>
              <w:bottom w:type="dxa" w:w="100"/>
              <w:right w:type="dxa" w:w="120"/>
            </w:tcMar>
            <w:vAlign w:val="center"/>
          </w:tcPr>
          <w:p>
            <w:r>
              <w:rPr>
                <w:color w:val="222222"/>
                <w:sz w:val="21"/>
                <w:szCs w:val="21"/>
              </w:rPr>
              <w:t xml:space="preserve">100%</w:t>
            </w:r>
          </w:p>
        </w:tc>
      </w:tr>
    </w:tbl>
    <w:p>
      <w:pPr>
        <w:spacing w:after="160" w:before="100"/>
      </w:pPr>
      <w:r>
        <w:rPr>
          <w:b w:val="false"/>
          <w:bCs w:val="false"/>
          <w:i w:val="false"/>
          <w:iCs w:val="false"/>
          <w:color w:val="222222"/>
          <w:sz w:val="21"/>
          <w:szCs w:val="21"/>
        </w:rPr>
        <w:t xml:space="preserve">The first two steps convert well — 80% of testers who open the app explore content, and 40% of explorers go on to start a booking, which is a healthy intent signal this early. Booking confirmation sits at 0%, but no provider has live bookings turned on yet, so there is nothing for a tester to confirm at that step — this is expected for the pilot's current stage, not a product defect. It's a step worth re-measuring once a provider goes live with real bookings.</w:t>
      </w:r>
    </w:p>
    <w:p>
      <w:pPr>
        <w:pStyle w:val="Heading2"/>
        <w:spacing w:after="160" w:before="360"/>
      </w:pPr>
      <w:r>
        <w:rPr>
          <w:b/>
          <w:bCs/>
          <w:color w:val="1E5631"/>
          <w:sz w:val="25"/>
          <w:szCs w:val="25"/>
        </w:rPr>
        <w:t xml:space="preserve">Daily Active Testers &amp; Retention</w:t>
      </w:r>
    </w:p>
    <w:p>
      <w:pPr>
        <w:pStyle w:val="ListParagraph"/>
        <w:numPr>
          <w:ilvl w:val="0"/>
          <w:numId w:val="1"/>
        </w:numPr>
        <w:spacing w:after="90"/>
      </w:pPr>
      <w:r>
        <w:rPr>
          <w:sz w:val="21"/>
          <w:szCs w:val="21"/>
        </w:rPr>
        <w:t xml:space="preserve">Peak DAU grew from 3 (late August) to 6 on Sep 23, with the strongest window being Sep 22–24 — this lines up directly with the team starting to actively funnel users into the bot that same week.</w:t>
      </w:r>
    </w:p>
    <w:p>
      <w:pPr>
        <w:pStyle w:val="ListParagraph"/>
        <w:numPr>
          <w:ilvl w:val="0"/>
          <w:numId w:val="1"/>
        </w:numPr>
        <w:spacing w:after="90"/>
      </w:pPr>
      <w:r>
        <w:rPr>
          <w:sz w:val="21"/>
          <w:szCs w:val="21"/>
        </w:rPr>
        <w:t xml:space="preserve">The Sep 23 cohort (the peak-DAU group) shows the pilot's best retention yet: 66.7% Day-1 and 16.7% Day 2–3 — a genuinely promising early signal.</w:t>
      </w:r>
    </w:p>
    <w:p>
      <w:pPr>
        <w:pStyle w:val="ListParagraph"/>
        <w:numPr>
          <w:ilvl w:val="0"/>
          <w:numId w:val="1"/>
        </w:numPr>
        <w:spacing w:after="90"/>
      </w:pPr>
      <w:r>
        <w:rPr>
          <w:sz w:val="21"/>
          <w:szCs w:val="21"/>
        </w:rPr>
        <w:t xml:space="preserve">Outside that cohort, most groups drop to 0% retention from Day 1 onward; no cohort has sustained retention beyond a few days, and the Aug 28 cohort's one persistent power user remains an outlier rather than a pattern.</w:t>
      </w:r>
    </w:p>
    <w:p>
      <w:pPr>
        <w:pStyle w:val="Heading2"/>
        <w:spacing w:after="160" w:before="360"/>
      </w:pPr>
      <w:r>
        <w:rPr>
          <w:b/>
          <w:bCs/>
          <w:color w:val="1E5631"/>
          <w:sz w:val="25"/>
          <w:szCs w:val="25"/>
        </w:rPr>
        <w:t xml:space="preserve">Check-in Habit Loop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2000"/>
      </w:tblGrid>
      <w:tr>
        <w:trPr>
          <w:tblHeader/>
        </w:trPr>
        <w:tc>
          <w:tcPr>
            <w:tcW w:type="dxa" w:w="3200"/>
            <w:shd w:fill="1E5631" w:val="clear"/>
            <w:tcMar>
              <w:top w:type="dxa" w:w="100"/>
              <w:left w:type="dxa" w:w="120"/>
              <w:bottom w:type="dxa" w:w="100"/>
              <w:right w:type="dxa" w:w="120"/>
            </w:tcMar>
            <w:vAlign w:val="center"/>
          </w:tcPr>
          <w:p>
            <w:r>
              <w:rPr>
                <w:b/>
                <w:bCs/>
                <w:color w:val="FFFFFF"/>
                <w:sz w:val="20"/>
                <w:szCs w:val="20"/>
              </w:rPr>
              <w:t xml:space="preserve">Step</w:t>
            </w:r>
          </w:p>
        </w:tc>
        <w:tc>
          <w:tcPr>
            <w:tcW w:type="dxa" w:w="2000"/>
            <w:shd w:fill="1E5631" w:val="clear"/>
            <w:tcMar>
              <w:top w:type="dxa" w:w="100"/>
              <w:left w:type="dxa" w:w="120"/>
              <w:bottom w:type="dxa" w:w="100"/>
              <w:right w:type="dxa" w:w="120"/>
            </w:tcMar>
            <w:vAlign w:val="center"/>
          </w:tcPr>
          <w:p>
            <w:r>
              <w:rPr>
                <w:b/>
                <w:bCs/>
                <w:color w:val="FFFFFF"/>
                <w:sz w:val="20"/>
                <w:szCs w:val="20"/>
              </w:rPr>
              <w:t xml:space="preserve">Users</w:t>
            </w:r>
          </w:p>
        </w:tc>
        <w:tc>
          <w:tcPr>
            <w:tcW w:type="dxa" w:w="2400"/>
            <w:shd w:fill="1E5631" w:val="clear"/>
            <w:tcMar>
              <w:top w:type="dxa" w:w="100"/>
              <w:left w:type="dxa" w:w="120"/>
              <w:bottom w:type="dxa" w:w="100"/>
              <w:right w:type="dxa" w:w="120"/>
            </w:tcMar>
            <w:vAlign w:val="center"/>
          </w:tcPr>
          <w:p>
            <w:r>
              <w:rPr>
                <w:b/>
                <w:bCs/>
                <w:color w:val="FFFFFF"/>
                <w:sz w:val="20"/>
                <w:szCs w:val="20"/>
              </w:rPr>
              <w:t xml:space="preserve">Conversion</w:t>
            </w:r>
          </w:p>
        </w:tc>
        <w:tc>
          <w:tcPr>
            <w:tcW w:type="dxa" w:w="2000"/>
            <w:shd w:fill="1E5631" w:val="clear"/>
            <w:tcMar>
              <w:top w:type="dxa" w:w="100"/>
              <w:left w:type="dxa" w:w="120"/>
              <w:bottom w:type="dxa" w:w="100"/>
              <w:right w:type="dxa" w:w="120"/>
            </w:tcMar>
            <w:vAlign w:val="center"/>
          </w:tcPr>
          <w:p>
            <w:r>
              <w:rPr>
                <w:b/>
                <w:bCs/>
                <w:color w:val="FFFFFF"/>
                <w:sz w:val="20"/>
                <w:szCs w:val="20"/>
              </w:rPr>
              <w:t xml:space="preserve">Drop-off</w:t>
            </w:r>
          </w:p>
        </w:tc>
      </w:tr>
      <w:tr>
        <w:tc>
          <w:tcPr>
            <w:tcW w:type="dxa" w:w="3200"/>
            <w:tcMar>
              <w:top w:type="dxa" w:w="100"/>
              <w:left w:type="dxa" w:w="120"/>
              <w:bottom w:type="dxa" w:w="100"/>
              <w:right w:type="dxa" w:w="120"/>
            </w:tcMar>
            <w:vAlign w:val="center"/>
          </w:tcPr>
          <w:p>
            <w:r>
              <w:rPr>
                <w:color w:val="222222"/>
                <w:sz w:val="21"/>
                <w:szCs w:val="21"/>
              </w:rPr>
              <w:t xml:space="preserve">checkin_prompt_view</w:t>
            </w:r>
          </w:p>
        </w:tc>
        <w:tc>
          <w:tcPr>
            <w:tcW w:type="dxa" w:w="2000"/>
            <w:tcMar>
              <w:top w:type="dxa" w:w="100"/>
              <w:left w:type="dxa" w:w="120"/>
              <w:bottom w:type="dxa" w:w="100"/>
              <w:right w:type="dxa" w:w="120"/>
            </w:tcMar>
            <w:vAlign w:val="center"/>
          </w:tcPr>
          <w:p>
            <w:r>
              <w:rPr>
                <w:color w:val="222222"/>
                <w:sz w:val="21"/>
                <w:szCs w:val="21"/>
              </w:rPr>
              <w:t xml:space="preserve">5</w:t>
            </w:r>
          </w:p>
        </w:tc>
        <w:tc>
          <w:tcPr>
            <w:tcW w:type="dxa" w:w="2400"/>
            <w:tcMar>
              <w:top w:type="dxa" w:w="100"/>
              <w:left w:type="dxa" w:w="120"/>
              <w:bottom w:type="dxa" w:w="100"/>
              <w:right w:type="dxa" w:w="120"/>
            </w:tcMar>
            <w:vAlign w:val="center"/>
          </w:tcPr>
          <w:p>
            <w:r>
              <w:rPr>
                <w:color w:val="222222"/>
                <w:sz w:val="21"/>
                <w:szCs w:val="21"/>
              </w:rPr>
              <w:t xml:space="preserve">100%</w:t>
            </w:r>
          </w:p>
        </w:tc>
        <w:tc>
          <w:tcPr>
            <w:tcW w:type="dxa" w:w="2000"/>
            <w:tcMar>
              <w:top w:type="dxa" w:w="100"/>
              <w:left w:type="dxa" w:w="120"/>
              <w:bottom w:type="dxa" w:w="100"/>
              <w:right w:type="dxa" w:w="120"/>
            </w:tcMar>
            <w:vAlign w:val="center"/>
          </w:tcPr>
          <w:p>
            <w:r>
              <w:rPr>
                <w:color w:val="222222"/>
                <w:sz w:val="21"/>
                <w:szCs w:val="21"/>
              </w:rPr>
              <w:t xml:space="preserve">–</w:t>
            </w:r>
          </w:p>
        </w:tc>
      </w:tr>
      <w:tr>
        <w:tc>
          <w:tcPr>
            <w:tcW w:type="dxa" w:w="3200"/>
            <w:shd w:fill="F5F7F5" w:val="clear"/>
            <w:tcMar>
              <w:top w:type="dxa" w:w="100"/>
              <w:left w:type="dxa" w:w="120"/>
              <w:bottom w:type="dxa" w:w="100"/>
              <w:right w:type="dxa" w:w="120"/>
            </w:tcMar>
            <w:vAlign w:val="center"/>
          </w:tcPr>
          <w:p>
            <w:r>
              <w:rPr>
                <w:color w:val="222222"/>
                <w:sz w:val="21"/>
                <w:szCs w:val="21"/>
              </w:rPr>
              <w:t xml:space="preserve">checkin_prompt_click</w:t>
            </w:r>
          </w:p>
        </w:tc>
        <w:tc>
          <w:tcPr>
            <w:tcW w:type="dxa" w:w="2000"/>
            <w:shd w:fill="F5F7F5" w:val="clear"/>
            <w:tcMar>
              <w:top w:type="dxa" w:w="100"/>
              <w:left w:type="dxa" w:w="120"/>
              <w:bottom w:type="dxa" w:w="100"/>
              <w:right w:type="dxa" w:w="120"/>
            </w:tcMar>
            <w:vAlign w:val="center"/>
          </w:tcPr>
          <w:p>
            <w:r>
              <w:rPr>
                <w:color w:val="222222"/>
                <w:sz w:val="21"/>
                <w:szCs w:val="21"/>
              </w:rPr>
              <w:t xml:space="preserve">4</w:t>
            </w:r>
          </w:p>
        </w:tc>
        <w:tc>
          <w:tcPr>
            <w:tcW w:type="dxa" w:w="2400"/>
            <w:shd w:fill="F5F7F5" w:val="clear"/>
            <w:tcMar>
              <w:top w:type="dxa" w:w="100"/>
              <w:left w:type="dxa" w:w="120"/>
              <w:bottom w:type="dxa" w:w="100"/>
              <w:right w:type="dxa" w:w="120"/>
            </w:tcMar>
            <w:vAlign w:val="center"/>
          </w:tcPr>
          <w:p>
            <w:r>
              <w:rPr>
                <w:color w:val="222222"/>
                <w:sz w:val="21"/>
                <w:szCs w:val="21"/>
              </w:rPr>
              <w:t xml:space="preserve">80%</w:t>
            </w:r>
          </w:p>
        </w:tc>
        <w:tc>
          <w:tcPr>
            <w:tcW w:type="dxa" w:w="2000"/>
            <w:shd w:fill="F5F7F5" w:val="clear"/>
            <w:tcMar>
              <w:top w:type="dxa" w:w="100"/>
              <w:left w:type="dxa" w:w="120"/>
              <w:bottom w:type="dxa" w:w="100"/>
              <w:right w:type="dxa" w:w="120"/>
            </w:tcMar>
            <w:vAlign w:val="center"/>
          </w:tcPr>
          <w:p>
            <w:r>
              <w:rPr>
                <w:color w:val="222222"/>
                <w:sz w:val="21"/>
                <w:szCs w:val="21"/>
              </w:rPr>
              <w:t xml:space="preserve">20%</w:t>
            </w:r>
          </w:p>
        </w:tc>
      </w:tr>
      <w:tr>
        <w:tc>
          <w:tcPr>
            <w:tcW w:type="dxa" w:w="3200"/>
            <w:tcMar>
              <w:top w:type="dxa" w:w="100"/>
              <w:left w:type="dxa" w:w="120"/>
              <w:bottom w:type="dxa" w:w="100"/>
              <w:right w:type="dxa" w:w="120"/>
            </w:tcMar>
            <w:vAlign w:val="center"/>
          </w:tcPr>
          <w:p>
            <w:r>
              <w:rPr>
                <w:color w:val="222222"/>
                <w:sz w:val="21"/>
                <w:szCs w:val="21"/>
              </w:rPr>
              <w:t xml:space="preserve">checkin</w:t>
            </w:r>
          </w:p>
        </w:tc>
        <w:tc>
          <w:tcPr>
            <w:tcW w:type="dxa" w:w="2000"/>
            <w:tcMar>
              <w:top w:type="dxa" w:w="100"/>
              <w:left w:type="dxa" w:w="120"/>
              <w:bottom w:type="dxa" w:w="100"/>
              <w:right w:type="dxa" w:w="120"/>
            </w:tcMar>
            <w:vAlign w:val="center"/>
          </w:tcPr>
          <w:p>
            <w:r>
              <w:rPr>
                <w:color w:val="222222"/>
                <w:sz w:val="21"/>
                <w:szCs w:val="21"/>
              </w:rPr>
              <w:t xml:space="preserve">0</w:t>
            </w:r>
          </w:p>
        </w:tc>
        <w:tc>
          <w:tcPr>
            <w:tcW w:type="dxa" w:w="2400"/>
            <w:tcMar>
              <w:top w:type="dxa" w:w="100"/>
              <w:left w:type="dxa" w:w="120"/>
              <w:bottom w:type="dxa" w:w="100"/>
              <w:right w:type="dxa" w:w="120"/>
            </w:tcMar>
            <w:vAlign w:val="center"/>
          </w:tcPr>
          <w:p>
            <w:r>
              <w:rPr>
                <w:b/>
                <w:bCs/>
                <w:color w:val="C0392B"/>
                <w:sz w:val="21"/>
                <w:szCs w:val="21"/>
              </w:rPr>
              <w:t xml:space="preserve">0%</w:t>
            </w:r>
          </w:p>
        </w:tc>
        <w:tc>
          <w:tcPr>
            <w:tcW w:type="dxa" w:w="2000"/>
            <w:tcMar>
              <w:top w:type="dxa" w:w="100"/>
              <w:left w:type="dxa" w:w="120"/>
              <w:bottom w:type="dxa" w:w="100"/>
              <w:right w:type="dxa" w:w="120"/>
            </w:tcMar>
            <w:vAlign w:val="center"/>
          </w:tcPr>
          <w:p>
            <w:r>
              <w:rPr>
                <w:b/>
                <w:bCs/>
                <w:color w:val="C0392B"/>
                <w:sz w:val="21"/>
                <w:szCs w:val="21"/>
              </w:rPr>
              <w:t xml:space="preserve">100%</w:t>
            </w:r>
          </w:p>
        </w:tc>
      </w:tr>
    </w:tbl>
    <w:p>
      <w:pPr>
        <w:spacing w:after="160" w:before="100"/>
      </w:pPr>
      <w:r>
        <w:rPr>
          <w:b w:val="false"/>
          <w:bCs w:val="false"/>
          <w:i w:val="false"/>
          <w:iCs w:val="false"/>
          <w:color w:val="222222"/>
          <w:sz w:val="21"/>
          <w:szCs w:val="21"/>
        </w:rPr>
        <w:t xml:space="preserve">The streak nudge itself works well — 80% click-through means the prompt copy and placement are effective. But the check-in event has not fired in production since August 2, before this pilot's tracked window even began, confirming this is a standing bug rather than a recent regression. Because checkin never fires, streak_milestone, streak_personal_best, and comeback_bonus have zero events across their full 90-day history — the entire reward flywheel is stalled behind this one fix.</w:t>
      </w:r>
    </w:p>
    <w:p>
      <w:pPr>
        <w:spacing w:after="160" w:before="0"/>
      </w:pPr>
      <w:r>
        <w:rPr>
          <w:color w:val="222222"/>
          <w:sz w:val="21"/>
          <w:szCs w:val="21"/>
        </w:rPr>
        <w:t xml:space="preserve">Positive signal buried underneath: </w:t>
      </w:r>
      <w:r>
        <w:rPr>
          <w:b w:val="false"/>
          <w:bCs w:val="false"/>
          <w:color w:val="222222"/>
          <w:sz w:val="21"/>
          <w:szCs w:val="21"/>
        </w:rPr>
        <w:t xml:space="preserve">streak_risk_view volume is accelerating sharply — from ~11 events in the Aug 28–Sep 7 window to ~94 in Sep 8–18 and ~90 sustained through Sep 26 (an 8× increase). This means a real, growing backlog of users have built multi-day streaks the system is trying to protect. Once check-in is fixed, this cohort is an immediate, motivated test of whether the milestone/comeback rewards actually drive re-engagement.</w:t>
      </w:r>
    </w:p>
    <w:p>
      <w:pPr>
        <w:pStyle w:val="Heading2"/>
        <w:spacing w:after="160" w:before="360"/>
      </w:pPr>
      <w:r>
        <w:rPr>
          <w:b/>
          <w:bCs/>
          <w:color w:val="1E5631"/>
          <w:sz w:val="25"/>
          <w:szCs w:val="25"/>
        </w:rPr>
        <w:t xml:space="preserve">Circles: Create / Join / Invite</w:t>
      </w:r>
    </w:p>
    <w:p>
      <w:pPr>
        <w:pStyle w:val="ListParagraph"/>
        <w:numPr>
          <w:ilvl w:val="0"/>
          <w:numId w:val="1"/>
        </w:numPr>
        <w:spacing w:after="90"/>
      </w:pPr>
      <w:r>
        <w:rPr>
          <w:sz w:val="21"/>
          <w:szCs w:val="21"/>
        </w:rPr>
        <w:t xml:space="preserve">30-day totals: 0 circles created, 12 joined, 1 invite shared. Zero circles have been created in 90 days — circle creation is functionally dead.</w:t>
      </w:r>
    </w:p>
    <w:p>
      <w:pPr>
        <w:pStyle w:val="ListParagraph"/>
        <w:numPr>
          <w:ilvl w:val="0"/>
          <w:numId w:val="1"/>
        </w:numPr>
        <w:spacing w:after="90"/>
      </w:pPr>
      <w:r>
        <w:rPr>
          <w:sz w:val="21"/>
          <w:szCs w:val="21"/>
        </w:rPr>
        <w:t xml:space="preserve">Every join is invite-link driven: a Sep 2 burst of 7 joins tracks to a single link shared outside the app (likely a Telegram group), not to in-app discovery.</w:t>
      </w:r>
    </w:p>
    <w:p>
      <w:pPr>
        <w:pStyle w:val="ListParagraph"/>
        <w:numPr>
          <w:ilvl w:val="0"/>
          <w:numId w:val="1"/>
        </w:numPr>
        <w:spacing w:after="90"/>
      </w:pPr>
      <w:r>
        <w:rPr>
          <w:sz w:val="21"/>
          <w:szCs w:val="21"/>
        </w:rPr>
        <w:t xml:space="preserve">0 of 5 onboarding completions led to a circle join — the onboarding → circle prompt is not converting, even though circles are the strongest organic social signal the pilot has.</w:t>
      </w:r>
    </w:p>
    <w:p>
      <w:pPr>
        <w:pStyle w:val="Heading2"/>
        <w:spacing w:after="160" w:before="360"/>
      </w:pPr>
      <w:r>
        <w:rPr>
          <w:b/>
          <w:bCs/>
          <w:color w:val="1E5631"/>
          <w:sz w:val="25"/>
          <w:szCs w:val="25"/>
        </w:rPr>
        <w:t xml:space="preserve">Rewards &amp; Share Cards</w:t>
      </w:r>
    </w:p>
    <w:p>
      <w:pPr>
        <w:pStyle w:val="ListParagraph"/>
        <w:numPr>
          <w:ilvl w:val="0"/>
          <w:numId w:val="1"/>
        </w:numPr>
        <w:spacing w:after="90"/>
      </w:pPr>
      <w:r>
        <w:rPr>
          <w:sz w:val="21"/>
          <w:szCs w:val="21"/>
        </w:rPr>
        <w:t xml:space="preserve">Rewards redemption starts: 2 events total in 30 days (Sep 5 and Sep 13) — effectively zero, and structurally gated behind booking confirmation, which isn't live with any provider yet.</w:t>
      </w:r>
    </w:p>
    <w:p>
      <w:pPr>
        <w:pStyle w:val="ListParagraph"/>
        <w:numPr>
          <w:ilvl w:val="0"/>
          <w:numId w:val="1"/>
        </w:numPr>
        <w:spacing w:after="90"/>
      </w:pPr>
      <w:r>
        <w:rPr>
          <w:color w:val="222222"/>
          <w:sz w:val="21"/>
          <w:szCs w:val="21"/>
        </w:rPr>
        <w:t xml:space="preserve">Share card data quality issue: </w:t>
      </w:r>
      <w:r>
        <w:rPr>
          <w:color w:val="222222"/>
          <w:sz w:val="21"/>
          <w:szCs w:val="21"/>
        </w:rPr>
        <w:t xml:space="preserve">48 downloads were logged against only 11 shows in the same 30-day window — mathematically impossible in a normal flow, and the clearest sign the </w:t>
      </w:r>
      <w:r>
        <w:rPr>
          <w:color w:val="222222"/>
          <w:sz w:val="21"/>
          <w:szCs w:val="21"/>
        </w:rPr>
        <w:t xml:space="preserve">share_card_shown</w:t>
      </w:r>
      <w:r>
        <w:rPr>
          <w:color w:val="222222"/>
          <w:sz w:val="21"/>
          <w:szCs w:val="21"/>
        </w:rPr>
        <w:t xml:space="preserve"> event is not firing consistently. This should be fixed before drawing any conclusions about share-card performance.</w:t>
      </w:r>
    </w:p>
    <w:p>
      <w:pPr>
        <w:pStyle w:val="Heading2"/>
        <w:spacing w:after="160" w:before="360"/>
      </w:pPr>
      <w:r>
        <w:rPr>
          <w:b/>
          <w:bCs/>
          <w:color w:val="1E5631"/>
          <w:sz w:val="25"/>
          <w:szCs w:val="25"/>
        </w:rPr>
        <w:t xml:space="preserve">Services Explored by Category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tblGrid>
      <w:tr>
        <w:trPr>
          <w:tblHeader/>
        </w:trPr>
        <w:tc>
          <w:tcPr>
            <w:tcW w:type="dxa" w:w="4000"/>
            <w:shd w:fill="1E5631" w:val="clear"/>
            <w:tcMar>
              <w:top w:type="dxa" w:w="100"/>
              <w:left w:type="dxa" w:w="120"/>
              <w:bottom w:type="dxa" w:w="100"/>
              <w:right w:type="dxa" w:w="120"/>
            </w:tcMar>
            <w:vAlign w:val="center"/>
          </w:tcPr>
          <w:p>
            <w:r>
              <w:rPr>
                <w:b/>
                <w:bCs/>
                <w:color w:val="FFFFFF"/>
                <w:sz w:val="20"/>
                <w:szCs w:val="20"/>
              </w:rPr>
              <w:t xml:space="preserve">Category</w:t>
            </w:r>
          </w:p>
        </w:tc>
        <w:tc>
          <w:tcPr>
            <w:tcW w:type="dxa" w:w="3000"/>
            <w:shd w:fill="1E5631" w:val="clear"/>
            <w:tcMar>
              <w:top w:type="dxa" w:w="100"/>
              <w:left w:type="dxa" w:w="120"/>
              <w:bottom w:type="dxa" w:w="100"/>
              <w:right w:type="dxa" w:w="120"/>
            </w:tcMar>
            <w:vAlign w:val="center"/>
          </w:tcPr>
          <w:p>
            <w:r>
              <w:rPr>
                <w:b/>
                <w:bCs/>
                <w:color w:val="FFFFFF"/>
                <w:sz w:val="20"/>
                <w:szCs w:val="20"/>
              </w:rPr>
              <w:t xml:space="preserve">Events (30d)</w:t>
            </w:r>
          </w:p>
        </w:tc>
        <w:tc>
          <w:tcPr>
            <w:tcW w:type="dxa" w:w="3000"/>
            <w:shd w:fill="1E5631" w:val="clear"/>
            <w:tcMar>
              <w:top w:type="dxa" w:w="100"/>
              <w:left w:type="dxa" w:w="120"/>
              <w:bottom w:type="dxa" w:w="100"/>
              <w:right w:type="dxa" w:w="120"/>
            </w:tcMar>
            <w:vAlign w:val="center"/>
          </w:tcPr>
          <w:p>
            <w:r>
              <w:rPr>
                <w:b/>
                <w:bCs/>
                <w:color w:val="FFFFFF"/>
                <w:sz w:val="20"/>
                <w:szCs w:val="20"/>
              </w:rPr>
              <w:t xml:space="preserve">Share of categorized</w:t>
            </w:r>
          </w:p>
        </w:tc>
      </w:tr>
      <w:tr>
        <w:tc>
          <w:tcPr>
            <w:tcW w:type="dxa" w:w="4000"/>
            <w:tcMar>
              <w:top w:type="dxa" w:w="100"/>
              <w:left w:type="dxa" w:w="120"/>
              <w:bottom w:type="dxa" w:w="100"/>
              <w:right w:type="dxa" w:w="120"/>
            </w:tcMar>
            <w:vAlign w:val="center"/>
          </w:tcPr>
          <w:p>
            <w:r>
              <w:rPr>
                <w:color w:val="222222"/>
                <w:sz w:val="21"/>
                <w:szCs w:val="21"/>
              </w:rPr>
              <w:t xml:space="preserve">Gym</w:t>
            </w:r>
          </w:p>
        </w:tc>
        <w:tc>
          <w:tcPr>
            <w:tcW w:type="dxa" w:w="3000"/>
            <w:tcMar>
              <w:top w:type="dxa" w:w="100"/>
              <w:left w:type="dxa" w:w="120"/>
              <w:bottom w:type="dxa" w:w="100"/>
              <w:right w:type="dxa" w:w="120"/>
            </w:tcMar>
            <w:vAlign w:val="center"/>
          </w:tcPr>
          <w:p>
            <w:r>
              <w:rPr>
                <w:color w:val="222222"/>
                <w:sz w:val="21"/>
                <w:szCs w:val="21"/>
              </w:rPr>
              <w:t xml:space="preserve">28</w:t>
            </w:r>
          </w:p>
        </w:tc>
        <w:tc>
          <w:tcPr>
            <w:tcW w:type="dxa" w:w="3000"/>
            <w:tcMar>
              <w:top w:type="dxa" w:w="100"/>
              <w:left w:type="dxa" w:w="120"/>
              <w:bottom w:type="dxa" w:w="100"/>
              <w:right w:type="dxa" w:w="120"/>
            </w:tcMar>
            <w:vAlign w:val="center"/>
          </w:tcPr>
          <w:p>
            <w:r>
              <w:rPr>
                <w:color w:val="222222"/>
                <w:sz w:val="21"/>
                <w:szCs w:val="21"/>
              </w:rPr>
              <w:t xml:space="preserve">42%</w:t>
            </w:r>
          </w:p>
        </w:tc>
      </w:tr>
      <w:tr>
        <w:tc>
          <w:tcPr>
            <w:tcW w:type="dxa" w:w="4000"/>
            <w:shd w:fill="F5F7F5" w:val="clear"/>
            <w:tcMar>
              <w:top w:type="dxa" w:w="100"/>
              <w:left w:type="dxa" w:w="120"/>
              <w:bottom w:type="dxa" w:w="100"/>
              <w:right w:type="dxa" w:w="120"/>
            </w:tcMar>
            <w:vAlign w:val="center"/>
          </w:tcPr>
          <w:p>
            <w:r>
              <w:rPr>
                <w:color w:val="222222"/>
                <w:sz w:val="21"/>
                <w:szCs w:val="21"/>
              </w:rPr>
              <w:t xml:space="preserve">Yoga</w:t>
            </w:r>
          </w:p>
        </w:tc>
        <w:tc>
          <w:tcPr>
            <w:tcW w:type="dxa" w:w="3000"/>
            <w:shd w:fill="F5F7F5" w:val="clear"/>
            <w:tcMar>
              <w:top w:type="dxa" w:w="100"/>
              <w:left w:type="dxa" w:w="120"/>
              <w:bottom w:type="dxa" w:w="100"/>
              <w:right w:type="dxa" w:w="120"/>
            </w:tcMar>
            <w:vAlign w:val="center"/>
          </w:tcPr>
          <w:p>
            <w:r>
              <w:rPr>
                <w:color w:val="222222"/>
                <w:sz w:val="21"/>
                <w:szCs w:val="21"/>
              </w:rPr>
              <w:t xml:space="preserve">19</w:t>
            </w:r>
          </w:p>
        </w:tc>
        <w:tc>
          <w:tcPr>
            <w:tcW w:type="dxa" w:w="3000"/>
            <w:shd w:fill="F5F7F5" w:val="clear"/>
            <w:tcMar>
              <w:top w:type="dxa" w:w="100"/>
              <w:left w:type="dxa" w:w="120"/>
              <w:bottom w:type="dxa" w:w="100"/>
              <w:right w:type="dxa" w:w="120"/>
            </w:tcMar>
            <w:vAlign w:val="center"/>
          </w:tcPr>
          <w:p>
            <w:r>
              <w:rPr>
                <w:color w:val="222222"/>
                <w:sz w:val="21"/>
                <w:szCs w:val="21"/>
              </w:rPr>
              <w:t xml:space="preserve">29%</w:t>
            </w:r>
          </w:p>
        </w:tc>
      </w:tr>
      <w:tr>
        <w:tc>
          <w:tcPr>
            <w:tcW w:type="dxa" w:w="4000"/>
            <w:tcMar>
              <w:top w:type="dxa" w:w="100"/>
              <w:left w:type="dxa" w:w="120"/>
              <w:bottom w:type="dxa" w:w="100"/>
              <w:right w:type="dxa" w:w="120"/>
            </w:tcMar>
            <w:vAlign w:val="center"/>
          </w:tcPr>
          <w:p>
            <w:r>
              <w:rPr>
                <w:color w:val="222222"/>
                <w:sz w:val="21"/>
                <w:szCs w:val="21"/>
              </w:rPr>
              <w:t xml:space="preserve">Nutrition</w:t>
            </w:r>
          </w:p>
        </w:tc>
        <w:tc>
          <w:tcPr>
            <w:tcW w:type="dxa" w:w="3000"/>
            <w:tcMar>
              <w:top w:type="dxa" w:w="100"/>
              <w:left w:type="dxa" w:w="120"/>
              <w:bottom w:type="dxa" w:w="100"/>
              <w:right w:type="dxa" w:w="120"/>
            </w:tcMar>
            <w:vAlign w:val="center"/>
          </w:tcPr>
          <w:p>
            <w:r>
              <w:rPr>
                <w:color w:val="222222"/>
                <w:sz w:val="21"/>
                <w:szCs w:val="21"/>
              </w:rPr>
              <w:t xml:space="preserve">10</w:t>
            </w:r>
          </w:p>
        </w:tc>
        <w:tc>
          <w:tcPr>
            <w:tcW w:type="dxa" w:w="3000"/>
            <w:tcMar>
              <w:top w:type="dxa" w:w="100"/>
              <w:left w:type="dxa" w:w="120"/>
              <w:bottom w:type="dxa" w:w="100"/>
              <w:right w:type="dxa" w:w="120"/>
            </w:tcMar>
            <w:vAlign w:val="center"/>
          </w:tcPr>
          <w:p>
            <w:r>
              <w:rPr>
                <w:color w:val="222222"/>
                <w:sz w:val="21"/>
                <w:szCs w:val="21"/>
              </w:rPr>
              <w:t xml:space="preserve">15%</w:t>
            </w:r>
          </w:p>
        </w:tc>
      </w:tr>
      <w:tr>
        <w:tc>
          <w:tcPr>
            <w:tcW w:type="dxa" w:w="4000"/>
            <w:shd w:fill="F5F7F5" w:val="clear"/>
            <w:tcMar>
              <w:top w:type="dxa" w:w="100"/>
              <w:left w:type="dxa" w:w="120"/>
              <w:bottom w:type="dxa" w:w="100"/>
              <w:right w:type="dxa" w:w="120"/>
            </w:tcMar>
            <w:vAlign w:val="center"/>
          </w:tcPr>
          <w:p>
            <w:r>
              <w:rPr>
                <w:color w:val="222222"/>
                <w:sz w:val="21"/>
                <w:szCs w:val="21"/>
              </w:rPr>
              <w:t xml:space="preserve">Spa</w:t>
            </w:r>
          </w:p>
        </w:tc>
        <w:tc>
          <w:tcPr>
            <w:tcW w:type="dxa" w:w="3000"/>
            <w:shd w:fill="F5F7F5" w:val="clear"/>
            <w:tcMar>
              <w:top w:type="dxa" w:w="100"/>
              <w:left w:type="dxa" w:w="120"/>
              <w:bottom w:type="dxa" w:w="100"/>
              <w:right w:type="dxa" w:w="120"/>
            </w:tcMar>
            <w:vAlign w:val="center"/>
          </w:tcPr>
          <w:p>
            <w:r>
              <w:rPr>
                <w:color w:val="222222"/>
                <w:sz w:val="21"/>
                <w:szCs w:val="21"/>
              </w:rPr>
              <w:t xml:space="preserve">6</w:t>
            </w:r>
          </w:p>
        </w:tc>
        <w:tc>
          <w:tcPr>
            <w:tcW w:type="dxa" w:w="3000"/>
            <w:shd w:fill="F5F7F5" w:val="clear"/>
            <w:tcMar>
              <w:top w:type="dxa" w:w="100"/>
              <w:left w:type="dxa" w:w="120"/>
              <w:bottom w:type="dxa" w:w="100"/>
              <w:right w:type="dxa" w:w="120"/>
            </w:tcMar>
            <w:vAlign w:val="center"/>
          </w:tcPr>
          <w:p>
            <w:r>
              <w:rPr>
                <w:color w:val="222222"/>
                <w:sz w:val="21"/>
                <w:szCs w:val="21"/>
              </w:rPr>
              <w:t xml:space="preserve">9%</w:t>
            </w:r>
          </w:p>
        </w:tc>
      </w:tr>
      <w:tr>
        <w:tc>
          <w:tcPr>
            <w:tcW w:type="dxa" w:w="4000"/>
            <w:tcMar>
              <w:top w:type="dxa" w:w="100"/>
              <w:left w:type="dxa" w:w="120"/>
              <w:bottom w:type="dxa" w:w="100"/>
              <w:right w:type="dxa" w:w="120"/>
            </w:tcMar>
            <w:vAlign w:val="center"/>
          </w:tcPr>
          <w:p>
            <w:r>
              <w:rPr>
                <w:color w:val="222222"/>
                <w:sz w:val="21"/>
                <w:szCs w:val="21"/>
              </w:rPr>
              <w:t xml:space="preserve">Therapy</w:t>
            </w:r>
          </w:p>
        </w:tc>
        <w:tc>
          <w:tcPr>
            <w:tcW w:type="dxa" w:w="3000"/>
            <w:tcMar>
              <w:top w:type="dxa" w:w="100"/>
              <w:left w:type="dxa" w:w="120"/>
              <w:bottom w:type="dxa" w:w="100"/>
              <w:right w:type="dxa" w:w="120"/>
            </w:tcMar>
            <w:vAlign w:val="center"/>
          </w:tcPr>
          <w:p>
            <w:r>
              <w:rPr>
                <w:color w:val="222222"/>
                <w:sz w:val="21"/>
                <w:szCs w:val="21"/>
              </w:rPr>
              <w:t xml:space="preserve">2</w:t>
            </w:r>
          </w:p>
        </w:tc>
        <w:tc>
          <w:tcPr>
            <w:tcW w:type="dxa" w:w="3000"/>
            <w:tcMar>
              <w:top w:type="dxa" w:w="100"/>
              <w:left w:type="dxa" w:w="120"/>
              <w:bottom w:type="dxa" w:w="100"/>
              <w:right w:type="dxa" w:w="120"/>
            </w:tcMar>
            <w:vAlign w:val="center"/>
          </w:tcPr>
          <w:p>
            <w:r>
              <w:rPr>
                <w:color w:val="222222"/>
                <w:sz w:val="21"/>
                <w:szCs w:val="21"/>
              </w:rPr>
              <w:t xml:space="preserve">3%</w:t>
            </w:r>
          </w:p>
        </w:tc>
      </w:tr>
      <w:tr>
        <w:tc>
          <w:tcPr>
            <w:tcW w:type="dxa" w:w="4000"/>
            <w:shd w:fill="F5F7F5" w:val="clear"/>
            <w:tcMar>
              <w:top w:type="dxa" w:w="100"/>
              <w:left w:type="dxa" w:w="120"/>
              <w:bottom w:type="dxa" w:w="100"/>
              <w:right w:type="dxa" w:w="120"/>
            </w:tcMar>
            <w:vAlign w:val="center"/>
          </w:tcPr>
          <w:p>
            <w:r>
              <w:rPr>
                <w:color w:val="222222"/>
                <w:sz w:val="21"/>
                <w:szCs w:val="21"/>
              </w:rPr>
              <w:t xml:space="preserve">Other</w:t>
            </w:r>
          </w:p>
        </w:tc>
        <w:tc>
          <w:tcPr>
            <w:tcW w:type="dxa" w:w="3000"/>
            <w:shd w:fill="F5F7F5" w:val="clear"/>
            <w:tcMar>
              <w:top w:type="dxa" w:w="100"/>
              <w:left w:type="dxa" w:w="120"/>
              <w:bottom w:type="dxa" w:w="100"/>
              <w:right w:type="dxa" w:w="120"/>
            </w:tcMar>
            <w:vAlign w:val="center"/>
          </w:tcPr>
          <w:p>
            <w:r>
              <w:rPr>
                <w:color w:val="222222"/>
                <w:sz w:val="21"/>
                <w:szCs w:val="21"/>
              </w:rPr>
              <w:t xml:space="preserve">1</w:t>
            </w:r>
          </w:p>
        </w:tc>
        <w:tc>
          <w:tcPr>
            <w:tcW w:type="dxa" w:w="3000"/>
            <w:shd w:fill="F5F7F5" w:val="clear"/>
            <w:tcMar>
              <w:top w:type="dxa" w:w="100"/>
              <w:left w:type="dxa" w:w="120"/>
              <w:bottom w:type="dxa" w:w="100"/>
              <w:right w:type="dxa" w:w="120"/>
            </w:tcMar>
            <w:vAlign w:val="center"/>
          </w:tcPr>
          <w:p>
            <w:r>
              <w:rPr>
                <w:color w:val="222222"/>
                <w:sz w:val="21"/>
                <w:szCs w:val="21"/>
              </w:rPr>
              <w:t xml:space="preserve">2%</w:t>
            </w:r>
          </w:p>
        </w:tc>
      </w:tr>
    </w:tbl>
    <w:p>
      <w:pPr>
        <w:spacing w:after="160" w:before="100"/>
      </w:pPr>
      <w:r>
        <w:rPr>
          <w:b w:val="false"/>
          <w:bCs w:val="false"/>
          <w:i w:val="false"/>
          <w:iCs w:val="false"/>
          <w:color w:val="222222"/>
          <w:sz w:val="21"/>
          <w:szCs w:val="21"/>
        </w:rPr>
        <w:t xml:space="preserve">Gym and yoga together account for 71% of categorized interest and remain the pilot's showcase categories. 185 of 251 total explore_view events (74%) still fire without a category tag — the same tagging gap flagged last report has not been closed and continues to limit how much of this data can be trusted.</w:t>
      </w:r>
    </w:p>
    <w:p>
      <w:pPr>
        <w:pBdr>
          <w:bottom w:val="single" w:color="CCCCCC" w:sz="6" w:space="1"/>
        </w:pBdr>
        <w:spacing w:after="200" w:before="200"/>
      </w:pPr>
    </w:p>
    <w:p>
      <w:pPr>
        <w:pStyle w:val="Heading1"/>
        <w:spacing w:after="160" w:before="360"/>
      </w:pPr>
      <w:r>
        <w:rPr>
          <w:b/>
          <w:bCs/>
          <w:color w:val="1E5631"/>
          <w:sz w:val="30"/>
          <w:szCs w:val="30"/>
        </w:rPr>
        <w:t xml:space="preserve">5. Priority Action Items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00"/>
      </w:tblGrid>
      <w:tr>
        <w:trPr>
          <w:tblHeader/>
        </w:trPr>
        <w:tc>
          <w:tcPr>
            <w:tcW w:type="dxa" w:w="1400"/>
            <w:shd w:fill="1E5631" w:val="clear"/>
            <w:tcMar>
              <w:top w:type="dxa" w:w="100"/>
              <w:left w:type="dxa" w:w="120"/>
              <w:bottom w:type="dxa" w:w="100"/>
              <w:right w:type="dxa" w:w="120"/>
            </w:tcMar>
            <w:vAlign w:val="center"/>
          </w:tcPr>
          <w:p>
            <w:r>
              <w:rPr>
                <w:b/>
                <w:bCs/>
                <w:color w:val="FFFFFF"/>
                <w:sz w:val="20"/>
                <w:szCs w:val="20"/>
              </w:rPr>
              <w:t xml:space="preserve">Priority</w:t>
            </w:r>
          </w:p>
        </w:tc>
        <w:tc>
          <w:tcPr>
            <w:tcW w:type="dxa" w:w="3200"/>
            <w:shd w:fill="1E5631" w:val="clear"/>
            <w:tcMar>
              <w:top w:type="dxa" w:w="100"/>
              <w:left w:type="dxa" w:w="120"/>
              <w:bottom w:type="dxa" w:w="100"/>
              <w:right w:type="dxa" w:w="120"/>
            </w:tcMar>
            <w:vAlign w:val="center"/>
          </w:tcPr>
          <w:p>
            <w:r>
              <w:rPr>
                <w:b/>
                <w:bCs/>
                <w:color w:val="FFFFFF"/>
                <w:sz w:val="20"/>
                <w:szCs w:val="20"/>
              </w:rPr>
              <w:t xml:space="preserve">Action</w:t>
            </w:r>
          </w:p>
        </w:tc>
        <w:tc>
          <w:tcPr>
            <w:tcW w:type="dxa" w:w="5400"/>
            <w:shd w:fill="1E5631" w:val="clear"/>
            <w:tcMar>
              <w:top w:type="dxa" w:w="100"/>
              <w:left w:type="dxa" w:w="120"/>
              <w:bottom w:type="dxa" w:w="100"/>
              <w:right w:type="dxa" w:w="120"/>
            </w:tcMar>
            <w:vAlign w:val="center"/>
          </w:tcPr>
          <w:p>
            <w:r>
              <w:rPr>
                <w:b/>
                <w:bCs/>
                <w:color w:val="FFFFFF"/>
                <w:sz w:val="20"/>
                <w:szCs w:val="20"/>
              </w:rPr>
              <w:t xml:space="preserve">Rationale</w:t>
            </w:r>
          </w:p>
        </w:tc>
      </w:tr>
      <w:tr>
        <w:tc>
          <w:tcPr>
            <w:tcW w:type="dxa" w:w="1400"/>
            <w:tcMar>
              <w:top w:type="dxa" w:w="100"/>
              <w:left w:type="dxa" w:w="120"/>
              <w:bottom w:type="dxa" w:w="100"/>
              <w:right w:type="dxa" w:w="120"/>
            </w:tcMar>
            <w:vAlign w:val="center"/>
          </w:tcPr>
          <w:p>
            <w:r>
              <w:rPr>
                <w:b/>
                <w:bCs/>
                <w:color w:val="C0392B"/>
                <w:sz w:val="21"/>
                <w:szCs w:val="21"/>
              </w:rPr>
              <w:t xml:space="preserve">🔴 P0</w:t>
            </w:r>
          </w:p>
        </w:tc>
        <w:tc>
          <w:tcPr>
            <w:tcW w:type="dxa" w:w="3200"/>
            <w:tcMar>
              <w:top w:type="dxa" w:w="100"/>
              <w:left w:type="dxa" w:w="120"/>
              <w:bottom w:type="dxa" w:w="100"/>
              <w:right w:type="dxa" w:w="120"/>
            </w:tcMar>
            <w:vAlign w:val="center"/>
          </w:tcPr>
          <w:p>
            <w:r>
              <w:rPr>
                <w:color w:val="222222"/>
                <w:sz w:val="21"/>
                <w:szCs w:val="21"/>
              </w:rPr>
              <w:t xml:space="preserve">Fix the checkin event</w:t>
            </w:r>
          </w:p>
        </w:tc>
        <w:tc>
          <w:tcPr>
            <w:tcW w:type="dxa" w:w="5400"/>
            <w:tcMar>
              <w:top w:type="dxa" w:w="100"/>
              <w:left w:type="dxa" w:w="120"/>
              <w:bottom w:type="dxa" w:w="100"/>
              <w:right w:type="dxa" w:w="120"/>
            </w:tcMar>
            <w:vAlign w:val="center"/>
          </w:tcPr>
          <w:p>
            <w:r>
              <w:rPr>
                <w:color w:val="222222"/>
                <w:sz w:val="21"/>
                <w:szCs w:val="21"/>
              </w:rPr>
              <w:t xml:space="preserve">Has not fired since Aug 2. Every downstream reward, retention, and habit-loop metric is blocked by this one bug — and a growing, engaged streak-at-risk cohort (202 events) is waiting on it.</w:t>
            </w:r>
          </w:p>
        </w:tc>
      </w:tr>
      <w:tr>
        <w:tc>
          <w:tcPr>
            <w:tcW w:type="dxa" w:w="1400"/>
            <w:shd w:fill="F5F7F5" w:val="clear"/>
            <w:tcMar>
              <w:top w:type="dxa" w:w="100"/>
              <w:left w:type="dxa" w:w="120"/>
              <w:bottom w:type="dxa" w:w="100"/>
              <w:right w:type="dxa" w:w="120"/>
            </w:tcMar>
            <w:vAlign w:val="center"/>
          </w:tcPr>
          <w:p>
            <w:r>
              <w:rPr>
                <w:b/>
                <w:bCs/>
                <w:color w:val="C0392B"/>
                <w:sz w:val="21"/>
                <w:szCs w:val="21"/>
              </w:rPr>
              <w:t xml:space="preserve">🔴 P0</w:t>
            </w:r>
          </w:p>
        </w:tc>
        <w:tc>
          <w:tcPr>
            <w:tcW w:type="dxa" w:w="3200"/>
            <w:shd w:fill="F5F7F5" w:val="clear"/>
            <w:tcMar>
              <w:top w:type="dxa" w:w="100"/>
              <w:left w:type="dxa" w:w="120"/>
              <w:bottom w:type="dxa" w:w="100"/>
              <w:right w:type="dxa" w:w="120"/>
            </w:tcMar>
            <w:vAlign w:val="center"/>
          </w:tcPr>
          <w:p>
            <w:r>
              <w:rPr>
                <w:color w:val="222222"/>
                <w:sz w:val="21"/>
                <w:szCs w:val="21"/>
              </w:rPr>
              <w:t xml:space="preserve">Schedule the IDS Team follow-up meeting</w:t>
            </w:r>
          </w:p>
        </w:tc>
        <w:tc>
          <w:tcPr>
            <w:tcW w:type="dxa" w:w="5400"/>
            <w:shd w:fill="F5F7F5" w:val="clear"/>
            <w:tcMar>
              <w:top w:type="dxa" w:w="100"/>
              <w:left w:type="dxa" w:w="120"/>
              <w:bottom w:type="dxa" w:w="100"/>
              <w:right w:type="dxa" w:w="120"/>
            </w:tcMar>
            <w:vAlign w:val="center"/>
          </w:tcPr>
          <w:p>
            <w:r>
              <w:rPr>
                <w:color w:val="222222"/>
                <w:sz w:val="21"/>
                <w:szCs w:val="21"/>
              </w:rPr>
              <w:t xml:space="preserve">Not yet scheduled. This is now the pacing item for the entire PMS integration path and the provider pricing list.</w:t>
            </w:r>
          </w:p>
        </w:tc>
      </w:tr>
      <w:tr>
        <w:tc>
          <w:tcPr>
            <w:tcW w:type="dxa" w:w="1400"/>
            <w:tcMar>
              <w:top w:type="dxa" w:w="100"/>
              <w:left w:type="dxa" w:w="120"/>
              <w:bottom w:type="dxa" w:w="100"/>
              <w:right w:type="dxa" w:w="120"/>
            </w:tcMar>
            <w:vAlign w:val="center"/>
          </w:tcPr>
          <w:p>
            <w:r>
              <w:rPr>
                <w:b/>
                <w:bCs/>
                <w:color w:val="B8860B"/>
                <w:sz w:val="21"/>
                <w:szCs w:val="21"/>
              </w:rPr>
              <w:t xml:space="preserve">🟡 P1</w:t>
            </w:r>
          </w:p>
        </w:tc>
        <w:tc>
          <w:tcPr>
            <w:tcW w:type="dxa" w:w="3200"/>
            <w:tcMar>
              <w:top w:type="dxa" w:w="100"/>
              <w:left w:type="dxa" w:w="120"/>
              <w:bottom w:type="dxa" w:w="100"/>
              <w:right w:type="dxa" w:w="120"/>
            </w:tcMar>
            <w:vAlign w:val="center"/>
          </w:tcPr>
          <w:p>
            <w:r>
              <w:rPr>
                <w:color w:val="222222"/>
                <w:sz w:val="21"/>
                <w:szCs w:val="21"/>
              </w:rPr>
              <w:t xml:space="preserve">Fix share_card_shown event firing</w:t>
            </w:r>
          </w:p>
        </w:tc>
        <w:tc>
          <w:tcPr>
            <w:tcW w:type="dxa" w:w="5400"/>
            <w:tcMar>
              <w:top w:type="dxa" w:w="100"/>
              <w:left w:type="dxa" w:w="120"/>
              <w:bottom w:type="dxa" w:w="100"/>
              <w:right w:type="dxa" w:w="120"/>
            </w:tcMar>
            <w:vAlign w:val="center"/>
          </w:tcPr>
          <w:p>
            <w:r>
              <w:rPr>
                <w:color w:val="222222"/>
                <w:sz w:val="21"/>
                <w:szCs w:val="21"/>
              </w:rPr>
              <w:t xml:space="preserve">Downloads (48) exceed shows (11) in the same window — the shown event is being dropped, making share-card analytics unreliable.</w:t>
            </w:r>
          </w:p>
        </w:tc>
      </w:tr>
      <w:tr>
        <w:tc>
          <w:tcPr>
            <w:tcW w:type="dxa" w:w="1400"/>
            <w:shd w:fill="F5F7F5" w:val="clear"/>
            <w:tcMar>
              <w:top w:type="dxa" w:w="100"/>
              <w:left w:type="dxa" w:w="120"/>
              <w:bottom w:type="dxa" w:w="100"/>
              <w:right w:type="dxa" w:w="120"/>
            </w:tcMar>
            <w:vAlign w:val="center"/>
          </w:tcPr>
          <w:p>
            <w:r>
              <w:rPr>
                <w:b/>
                <w:bCs/>
                <w:color w:val="B8860B"/>
                <w:sz w:val="21"/>
                <w:szCs w:val="21"/>
              </w:rPr>
              <w:t xml:space="preserve">🟡 P1</w:t>
            </w:r>
          </w:p>
        </w:tc>
        <w:tc>
          <w:tcPr>
            <w:tcW w:type="dxa" w:w="3200"/>
            <w:shd w:fill="F5F7F5" w:val="clear"/>
            <w:tcMar>
              <w:top w:type="dxa" w:w="100"/>
              <w:left w:type="dxa" w:w="120"/>
              <w:bottom w:type="dxa" w:w="100"/>
              <w:right w:type="dxa" w:w="120"/>
            </w:tcMar>
            <w:vAlign w:val="center"/>
          </w:tcPr>
          <w:p>
            <w:r>
              <w:rPr>
                <w:color w:val="222222"/>
                <w:sz w:val="21"/>
                <w:szCs w:val="21"/>
              </w:rPr>
              <w:t xml:space="preserve">Add a circle_joined prompt to onboarding</w:t>
            </w:r>
          </w:p>
        </w:tc>
        <w:tc>
          <w:tcPr>
            <w:tcW w:type="dxa" w:w="5400"/>
            <w:shd w:fill="F5F7F5" w:val="clear"/>
            <w:tcMar>
              <w:top w:type="dxa" w:w="100"/>
              <w:left w:type="dxa" w:w="120"/>
              <w:bottom w:type="dxa" w:w="100"/>
              <w:right w:type="dxa" w:w="120"/>
            </w:tcMar>
            <w:vAlign w:val="center"/>
          </w:tcPr>
          <w:p>
            <w:r>
              <w:rPr>
                <w:color w:val="222222"/>
                <w:sz w:val="21"/>
                <w:szCs w:val="21"/>
              </w:rPr>
              <w:t xml:space="preserve">0 of 5 onboarding completions led to a circle join, yet circles are the strongest organic social signal in the data.</w:t>
            </w:r>
          </w:p>
        </w:tc>
      </w:tr>
      <w:tr>
        <w:tc>
          <w:tcPr>
            <w:tcW w:type="dxa" w:w="1400"/>
            <w:tcMar>
              <w:top w:type="dxa" w:w="100"/>
              <w:left w:type="dxa" w:w="120"/>
              <w:bottom w:type="dxa" w:w="100"/>
              <w:right w:type="dxa" w:w="120"/>
            </w:tcMar>
            <w:vAlign w:val="center"/>
          </w:tcPr>
          <w:p>
            <w:r>
              <w:rPr>
                <w:b/>
                <w:bCs/>
                <w:color w:val="B8860B"/>
                <w:sz w:val="21"/>
                <w:szCs w:val="21"/>
              </w:rPr>
              <w:t xml:space="preserve">🟡 P1</w:t>
            </w:r>
          </w:p>
        </w:tc>
        <w:tc>
          <w:tcPr>
            <w:tcW w:type="dxa" w:w="3200"/>
            <w:tcMar>
              <w:top w:type="dxa" w:w="100"/>
              <w:left w:type="dxa" w:w="120"/>
              <w:bottom w:type="dxa" w:w="100"/>
              <w:right w:type="dxa" w:w="120"/>
            </w:tcMar>
            <w:vAlign w:val="center"/>
          </w:tcPr>
          <w:p>
            <w:r>
              <w:rPr>
                <w:color w:val="222222"/>
                <w:sz w:val="21"/>
                <w:szCs w:val="21"/>
              </w:rPr>
              <w:t xml:space="preserve">Restore LinkedIn posting cadence</w:t>
            </w:r>
          </w:p>
        </w:tc>
        <w:tc>
          <w:tcPr>
            <w:tcW w:type="dxa" w:w="5400"/>
            <w:tcMar>
              <w:top w:type="dxa" w:w="100"/>
              <w:left w:type="dxa" w:w="120"/>
              <w:bottom w:type="dxa" w:w="100"/>
              <w:right w:type="dxa" w:w="120"/>
            </w:tcMar>
            <w:vAlign w:val="center"/>
          </w:tcPr>
          <w:p>
            <w:r>
              <w:rPr>
                <w:color w:val="222222"/>
                <w:sz w:val="21"/>
                <w:szCs w:val="21"/>
              </w:rPr>
              <w:t xml:space="preserve">Roughly one tracked post this period vs. seven the period before, tracking with a continued organic reach decline.</w:t>
            </w:r>
          </w:p>
        </w:tc>
      </w:tr>
      <w:tr>
        <w:tc>
          <w:tcPr>
            <w:tcW w:type="dxa" w:w="1400"/>
            <w:shd w:fill="F5F7F5" w:val="clear"/>
            <w:tcMar>
              <w:top w:type="dxa" w:w="100"/>
              <w:left w:type="dxa" w:w="120"/>
              <w:bottom w:type="dxa" w:w="100"/>
              <w:right w:type="dxa" w:w="120"/>
            </w:tcMar>
            <w:vAlign w:val="center"/>
          </w:tcPr>
          <w:p>
            <w:r>
              <w:rPr>
                <w:b/>
                <w:bCs/>
                <w:color w:val="B8860B"/>
                <w:sz w:val="21"/>
                <w:szCs w:val="21"/>
              </w:rPr>
              <w:t xml:space="preserve">🟡 P1</w:t>
            </w:r>
          </w:p>
        </w:tc>
        <w:tc>
          <w:tcPr>
            <w:tcW w:type="dxa" w:w="3200"/>
            <w:shd w:fill="F5F7F5" w:val="clear"/>
            <w:tcMar>
              <w:top w:type="dxa" w:w="100"/>
              <w:left w:type="dxa" w:w="120"/>
              <w:bottom w:type="dxa" w:w="100"/>
              <w:right w:type="dxa" w:w="120"/>
            </w:tcMar>
            <w:vAlign w:val="center"/>
          </w:tcPr>
          <w:p>
            <w:r>
              <w:rPr>
                <w:color w:val="222222"/>
                <w:sz w:val="21"/>
                <w:szCs w:val="21"/>
              </w:rPr>
              <w:t xml:space="preserve">Track results of the new bot-funnel push</w:t>
            </w:r>
          </w:p>
        </w:tc>
        <w:tc>
          <w:tcPr>
            <w:tcW w:type="dxa" w:w="5400"/>
            <w:shd w:fill="F5F7F5" w:val="clear"/>
            <w:tcMar>
              <w:top w:type="dxa" w:w="100"/>
              <w:left w:type="dxa" w:w="120"/>
              <w:bottom w:type="dxa" w:w="100"/>
              <w:right w:type="dxa" w:w="120"/>
            </w:tcMar>
            <w:vAlign w:val="center"/>
          </w:tcPr>
          <w:p>
            <w:r>
              <w:rPr>
                <w:color w:val="222222"/>
                <w:sz w:val="21"/>
                <w:szCs w:val="21"/>
              </w:rPr>
              <w:t xml:space="preserve">Funneling users into the bot only started last week (Sep 21–27) — instrument this now so next report can measure conversion from social/event traffic into the bot.</w:t>
            </w:r>
          </w:p>
        </w:tc>
      </w:tr>
      <w:tr>
        <w:tc>
          <w:tcPr>
            <w:tcW w:type="dxa" w:w="1400"/>
            <w:tcMar>
              <w:top w:type="dxa" w:w="100"/>
              <w:left w:type="dxa" w:w="120"/>
              <w:bottom w:type="dxa" w:w="100"/>
              <w:right w:type="dxa" w:w="120"/>
            </w:tcMar>
            <w:vAlign w:val="center"/>
          </w:tcPr>
          <w:p>
            <w:r>
              <w:rPr>
                <w:b/>
                <w:bCs/>
                <w:color w:val="B8860B"/>
                <w:sz w:val="21"/>
                <w:szCs w:val="21"/>
              </w:rPr>
              <w:t xml:space="preserve">🟡 P2</w:t>
            </w:r>
          </w:p>
        </w:tc>
        <w:tc>
          <w:tcPr>
            <w:tcW w:type="dxa" w:w="3200"/>
            <w:tcMar>
              <w:top w:type="dxa" w:w="100"/>
              <w:left w:type="dxa" w:w="120"/>
              <w:bottom w:type="dxa" w:w="100"/>
              <w:right w:type="dxa" w:w="120"/>
            </w:tcMar>
            <w:vAlign w:val="center"/>
          </w:tcPr>
          <w:p>
            <w:r>
              <w:rPr>
                <w:color w:val="222222"/>
                <w:sz w:val="21"/>
                <w:szCs w:val="21"/>
              </w:rPr>
              <w:t xml:space="preserve">Tag explore_view with category consistently</w:t>
            </w:r>
          </w:p>
        </w:tc>
        <w:tc>
          <w:tcPr>
            <w:tcW w:type="dxa" w:w="5400"/>
            <w:tcMar>
              <w:top w:type="dxa" w:w="100"/>
              <w:left w:type="dxa" w:w="120"/>
              <w:bottom w:type="dxa" w:w="100"/>
              <w:right w:type="dxa" w:w="120"/>
            </w:tcMar>
            <w:vAlign w:val="center"/>
          </w:tcPr>
          <w:p>
            <w:r>
              <w:rPr>
                <w:color w:val="222222"/>
                <w:sz w:val="21"/>
                <w:szCs w:val="21"/>
              </w:rPr>
              <w:t xml:space="preserve">74% of explore events remain untagged, limiting confidence in the category-interest data.</w:t>
            </w:r>
          </w:p>
        </w:tc>
      </w:tr>
      <w:tr>
        <w:tc>
          <w:tcPr>
            <w:tcW w:type="dxa" w:w="1400"/>
            <w:shd w:fill="F5F7F5" w:val="clear"/>
            <w:tcMar>
              <w:top w:type="dxa" w:w="100"/>
              <w:left w:type="dxa" w:w="120"/>
              <w:bottom w:type="dxa" w:w="100"/>
              <w:right w:type="dxa" w:w="120"/>
            </w:tcMar>
            <w:vAlign w:val="center"/>
          </w:tcPr>
          <w:p>
            <w:r>
              <w:rPr>
                <w:b/>
                <w:bCs/>
                <w:color w:val="6B6B6B"/>
                <w:sz w:val="21"/>
                <w:szCs w:val="21"/>
              </w:rPr>
              <w:t xml:space="preserve">ℹ️ P3</w:t>
            </w:r>
          </w:p>
        </w:tc>
        <w:tc>
          <w:tcPr>
            <w:tcW w:type="dxa" w:w="3200"/>
            <w:shd w:fill="F5F7F5" w:val="clear"/>
            <w:tcMar>
              <w:top w:type="dxa" w:w="100"/>
              <w:left w:type="dxa" w:w="120"/>
              <w:bottom w:type="dxa" w:w="100"/>
              <w:right w:type="dxa" w:w="120"/>
            </w:tcMar>
            <w:vAlign w:val="center"/>
          </w:tcPr>
          <w:p>
            <w:r>
              <w:rPr>
                <w:color w:val="222222"/>
                <w:sz w:val="21"/>
                <w:szCs w:val="21"/>
              </w:rPr>
              <w:t xml:space="preserve">Grow the tester cohort</w:t>
            </w:r>
          </w:p>
        </w:tc>
        <w:tc>
          <w:tcPr>
            <w:tcW w:type="dxa" w:w="5400"/>
            <w:shd w:fill="F5F7F5" w:val="clear"/>
            <w:tcMar>
              <w:top w:type="dxa" w:w="100"/>
              <w:left w:type="dxa" w:w="120"/>
              <w:bottom w:type="dxa" w:w="100"/>
              <w:right w:type="dxa" w:w="120"/>
            </w:tcMar>
            <w:vAlign w:val="center"/>
          </w:tcPr>
          <w:p>
            <w:r>
              <w:rPr>
                <w:color w:val="222222"/>
                <w:sz w:val="21"/>
                <w:szCs w:val="21"/>
              </w:rPr>
              <w:t xml:space="preserve">6 peak DAU is still too small for confident conclusions; aim for 20–30 active testers for reliable funnel data.</w:t>
            </w:r>
          </w:p>
        </w:tc>
      </w:tr>
    </w:tbl>
    <w:p>
      <w:pPr>
        <w:pBdr>
          <w:bottom w:val="single" w:color="CCCCCC" w:sz="6" w:space="1"/>
        </w:pBdr>
        <w:spacing w:after="200" w:before="200"/>
      </w:pPr>
    </w:p>
    <w:p>
      <w:pPr>
        <w:pStyle w:val="Heading1"/>
        <w:spacing w:after="160" w:before="360"/>
      </w:pPr>
      <w:r>
        <w:rPr>
          <w:b/>
          <w:bCs/>
          <w:color w:val="1E5631"/>
          <w:sz w:val="30"/>
          <w:szCs w:val="30"/>
        </w:rPr>
        <w:t xml:space="preserve">6. Social Media Performance</w:t>
      </w:r>
    </w:p>
    <w:p>
      <w:pPr>
        <w:spacing w:after="160" w:before="0"/>
      </w:pPr>
      <w:r>
        <w:rPr>
          <w:b/>
          <w:bCs/>
          <w:i/>
          <w:iCs/>
          <w:color w:val="6B6B6B"/>
          <w:sz w:val="21"/>
          <w:szCs w:val="21"/>
        </w:rPr>
        <w:t xml:space="preserve">Note: </w:t>
      </w:r>
      <w:r>
        <w:rPr>
          <w:i/>
          <w:iCs/>
          <w:color w:val="6B6B6B"/>
          <w:sz w:val="21"/>
          <w:szCs w:val="21"/>
        </w:rPr>
        <w:t xml:space="preserve">this section covers LinkedIn, Instagram, and TikTok for the period.</w:t>
      </w:r>
    </w:p>
    <w:p>
      <w:pPr>
        <w:pStyle w:val="Heading2"/>
        <w:spacing w:after="160" w:before="360"/>
      </w:pPr>
      <w:r>
        <w:rPr>
          <w:b/>
          <w:bCs/>
          <w:color w:val="1E5631"/>
          <w:sz w:val="25"/>
          <w:szCs w:val="25"/>
        </w:rPr>
        <w:t xml:space="preserve">LinkedIn</w:t>
      </w:r>
    </w:p>
    <w:p>
      <w:pPr>
        <w:spacing w:after="160" w:before="0"/>
      </w:pPr>
      <w:r>
        <w:rPr>
          <w:b w:val="false"/>
          <w:bCs w:val="false"/>
          <w:i w:val="false"/>
          <w:iCs w:val="false"/>
          <w:color w:val="222222"/>
          <w:sz w:val="21"/>
          <w:szCs w:val="21"/>
        </w:rPr>
        <w:t xml:space="preserve">Organic LinkedIn reach continued to soften this period: 453 organic impressions, 47 clicks, and 10 reactions over the trailing 30 days (Aug 27 – Sep 25), against 548 impressions and 22 clicks reported for Aug 17–29 last period, and 1,569 impressions / 371 clicks two periods ago. The steeper story is cadence: the export shows only one fully tracked organic post this period (Sep 1: 51 impressions, 2 clicks, 3 likes), compared with seven posts across the prior two-week period. The recommendation from last report — reintroduce narrative/brand-story posts alongside the events cadence — does not appear to have been acted on yet.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3200"/>
      </w:tblGrid>
      <w:tr>
        <w:trPr>
          <w:tblHeader/>
        </w:trPr>
        <w:tc>
          <w:tcPr>
            <w:tcW w:type="dxa" w:w="4200"/>
            <w:shd w:fill="1E5631" w:val="clear"/>
            <w:tcMar>
              <w:top w:type="dxa" w:w="100"/>
              <w:left w:type="dxa" w:w="120"/>
              <w:bottom w:type="dxa" w:w="100"/>
              <w:right w:type="dxa" w:w="120"/>
            </w:tcMar>
            <w:vAlign w:val="center"/>
          </w:tcPr>
          <w:p>
            <w:r>
              <w:rPr>
                <w:b/>
                <w:bCs/>
                <w:color w:val="FFFFFF"/>
                <w:sz w:val="20"/>
                <w:szCs w:val="20"/>
              </w:rPr>
              <w:t xml:space="preserve">Metric (30 days, Aug 27–Sep 25)</w:t>
            </w:r>
          </w:p>
        </w:tc>
        <w:tc>
          <w:tcPr>
            <w:tcW w:type="dxa" w:w="3200"/>
            <w:shd w:fill="1E5631" w:val="clear"/>
            <w:tcMar>
              <w:top w:type="dxa" w:w="100"/>
              <w:left w:type="dxa" w:w="120"/>
              <w:bottom w:type="dxa" w:w="100"/>
              <w:right w:type="dxa" w:w="120"/>
            </w:tcMar>
            <w:vAlign w:val="center"/>
          </w:tcPr>
          <w:p>
            <w:r>
              <w:rPr>
                <w:b/>
                <w:bCs/>
                <w:color w:val="FFFFFF"/>
                <w:sz w:val="20"/>
                <w:szCs w:val="20"/>
              </w:rPr>
              <w:t xml:space="preserve">This Period</w:t>
            </w:r>
          </w:p>
        </w:tc>
        <w:tc>
          <w:tcPr>
            <w:tcW w:type="dxa" w:w="3200"/>
            <w:shd w:fill="1E5631" w:val="clear"/>
            <w:tcMar>
              <w:top w:type="dxa" w:w="100"/>
              <w:left w:type="dxa" w:w="120"/>
              <w:bottom w:type="dxa" w:w="100"/>
              <w:right w:type="dxa" w:w="120"/>
            </w:tcMar>
            <w:vAlign w:val="center"/>
          </w:tcPr>
          <w:p>
            <w:r>
              <w:rPr>
                <w:b/>
                <w:bCs/>
                <w:color w:val="FFFFFF"/>
                <w:sz w:val="20"/>
                <w:szCs w:val="20"/>
              </w:rPr>
              <w:t xml:space="preserve">Prior Period</w:t>
            </w:r>
          </w:p>
        </w:tc>
      </w:tr>
      <w:tr>
        <w:tc>
          <w:tcPr>
            <w:tcW w:type="dxa" w:w="4200"/>
            <w:tcMar>
              <w:top w:type="dxa" w:w="100"/>
              <w:left w:type="dxa" w:w="120"/>
              <w:bottom w:type="dxa" w:w="100"/>
              <w:right w:type="dxa" w:w="120"/>
            </w:tcMar>
            <w:vAlign w:val="center"/>
          </w:tcPr>
          <w:p>
            <w:r>
              <w:rPr>
                <w:color w:val="222222"/>
                <w:sz w:val="21"/>
                <w:szCs w:val="21"/>
              </w:rPr>
              <w:t xml:space="preserve">Impressions (organic)</w:t>
            </w:r>
          </w:p>
        </w:tc>
        <w:tc>
          <w:tcPr>
            <w:tcW w:type="dxa" w:w="3200"/>
            <w:tcMar>
              <w:top w:type="dxa" w:w="100"/>
              <w:left w:type="dxa" w:w="120"/>
              <w:bottom w:type="dxa" w:w="100"/>
              <w:right w:type="dxa" w:w="120"/>
            </w:tcMar>
            <w:vAlign w:val="center"/>
          </w:tcPr>
          <w:p>
            <w:r>
              <w:rPr>
                <w:color w:val="222222"/>
                <w:sz w:val="21"/>
                <w:szCs w:val="21"/>
              </w:rPr>
              <w:t xml:space="preserve">453</w:t>
            </w:r>
          </w:p>
        </w:tc>
        <w:tc>
          <w:tcPr>
            <w:tcW w:type="dxa" w:w="3200"/>
            <w:tcMar>
              <w:top w:type="dxa" w:w="100"/>
              <w:left w:type="dxa" w:w="120"/>
              <w:bottom w:type="dxa" w:w="100"/>
              <w:right w:type="dxa" w:w="120"/>
            </w:tcMar>
            <w:vAlign w:val="center"/>
          </w:tcPr>
          <w:p>
            <w:r>
              <w:rPr>
                <w:color w:val="222222"/>
                <w:sz w:val="21"/>
                <w:szCs w:val="21"/>
              </w:rPr>
              <w:t xml:space="preserve">548 (Aug 17–29)</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Clicks (organic)</w:t>
            </w:r>
          </w:p>
        </w:tc>
        <w:tc>
          <w:tcPr>
            <w:tcW w:type="dxa" w:w="3200"/>
            <w:shd w:fill="F5F7F5" w:val="clear"/>
            <w:tcMar>
              <w:top w:type="dxa" w:w="100"/>
              <w:left w:type="dxa" w:w="120"/>
              <w:bottom w:type="dxa" w:w="100"/>
              <w:right w:type="dxa" w:w="120"/>
            </w:tcMar>
            <w:vAlign w:val="center"/>
          </w:tcPr>
          <w:p>
            <w:r>
              <w:rPr>
                <w:color w:val="222222"/>
                <w:sz w:val="21"/>
                <w:szCs w:val="21"/>
              </w:rPr>
              <w:t xml:space="preserve">47</w:t>
            </w:r>
          </w:p>
        </w:tc>
        <w:tc>
          <w:tcPr>
            <w:tcW w:type="dxa" w:w="3200"/>
            <w:shd w:fill="F5F7F5" w:val="clear"/>
            <w:tcMar>
              <w:top w:type="dxa" w:w="100"/>
              <w:left w:type="dxa" w:w="120"/>
              <w:bottom w:type="dxa" w:w="100"/>
              <w:right w:type="dxa" w:w="120"/>
            </w:tcMar>
            <w:vAlign w:val="center"/>
          </w:tcPr>
          <w:p>
            <w:r>
              <w:rPr>
                <w:color w:val="222222"/>
                <w:sz w:val="21"/>
                <w:szCs w:val="21"/>
              </w:rPr>
              <w:t xml:space="preserve">22 (Aug 17–29)</w:t>
            </w:r>
          </w:p>
        </w:tc>
      </w:tr>
      <w:tr>
        <w:tc>
          <w:tcPr>
            <w:tcW w:type="dxa" w:w="4200"/>
            <w:tcMar>
              <w:top w:type="dxa" w:w="100"/>
              <w:left w:type="dxa" w:w="120"/>
              <w:bottom w:type="dxa" w:w="100"/>
              <w:right w:type="dxa" w:w="120"/>
            </w:tcMar>
            <w:vAlign w:val="center"/>
          </w:tcPr>
          <w:p>
            <w:r>
              <w:rPr>
                <w:color w:val="222222"/>
                <w:sz w:val="21"/>
                <w:szCs w:val="21"/>
              </w:rPr>
              <w:t xml:space="preserve">Reactions (organic)</w:t>
            </w:r>
          </w:p>
        </w:tc>
        <w:tc>
          <w:tcPr>
            <w:tcW w:type="dxa" w:w="3200"/>
            <w:tcMar>
              <w:top w:type="dxa" w:w="100"/>
              <w:left w:type="dxa" w:w="120"/>
              <w:bottom w:type="dxa" w:w="100"/>
              <w:right w:type="dxa" w:w="120"/>
            </w:tcMar>
            <w:vAlign w:val="center"/>
          </w:tcPr>
          <w:p>
            <w:r>
              <w:rPr>
                <w:color w:val="222222"/>
                <w:sz w:val="21"/>
                <w:szCs w:val="21"/>
              </w:rPr>
              <w:t xml:space="preserve">10</w:t>
            </w:r>
          </w:p>
        </w:tc>
        <w:tc>
          <w:tcPr>
            <w:tcW w:type="dxa" w:w="3200"/>
            <w:tcMar>
              <w:top w:type="dxa" w:w="100"/>
              <w:left w:type="dxa" w:w="120"/>
              <w:bottom w:type="dxa" w:w="100"/>
              <w:right w:type="dxa" w:w="120"/>
            </w:tcMar>
            <w:vAlign w:val="center"/>
          </w:tcPr>
          <w:p>
            <w:r>
              <w:rPr>
                <w:color w:val="222222"/>
                <w:sz w:val="21"/>
                <w:szCs w:val="21"/>
              </w:rPr>
              <w:t xml:space="preserve">46 (Aug 17–29)</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Avg. daily engagement rate (organic)</w:t>
            </w:r>
          </w:p>
        </w:tc>
        <w:tc>
          <w:tcPr>
            <w:tcW w:type="dxa" w:w="3200"/>
            <w:shd w:fill="F5F7F5" w:val="clear"/>
            <w:tcMar>
              <w:top w:type="dxa" w:w="100"/>
              <w:left w:type="dxa" w:w="120"/>
              <w:bottom w:type="dxa" w:w="100"/>
              <w:right w:type="dxa" w:w="120"/>
            </w:tcMar>
            <w:vAlign w:val="center"/>
          </w:tcPr>
          <w:p>
            <w:r>
              <w:rPr>
                <w:color w:val="222222"/>
                <w:sz w:val="21"/>
                <w:szCs w:val="21"/>
              </w:rPr>
              <w:t xml:space="preserve">~10.3%</w:t>
            </w:r>
          </w:p>
        </w:tc>
        <w:tc>
          <w:tcPr>
            <w:tcW w:type="dxa" w:w="3200"/>
            <w:shd w:fill="F5F7F5" w:val="clear"/>
            <w:tcMar>
              <w:top w:type="dxa" w:w="100"/>
              <w:left w:type="dxa" w:w="120"/>
              <w:bottom w:type="dxa" w:w="100"/>
              <w:right w:type="dxa" w:w="120"/>
            </w:tcMar>
            <w:vAlign w:val="center"/>
          </w:tcPr>
          <w:p>
            <w:r>
              <w:rPr>
                <w:color w:val="222222"/>
                <w:sz w:val="21"/>
                <w:szCs w:val="21"/>
              </w:rPr>
              <w:t xml:space="preserve">~12.4% (Aug 17–29)</w:t>
            </w:r>
          </w:p>
        </w:tc>
      </w:tr>
      <w:tr>
        <w:tc>
          <w:tcPr>
            <w:tcW w:type="dxa" w:w="4200"/>
            <w:tcMar>
              <w:top w:type="dxa" w:w="100"/>
              <w:left w:type="dxa" w:w="120"/>
              <w:bottom w:type="dxa" w:w="100"/>
              <w:right w:type="dxa" w:w="120"/>
            </w:tcMar>
            <w:vAlign w:val="center"/>
          </w:tcPr>
          <w:p>
            <w:r>
              <w:rPr>
                <w:color w:val="222222"/>
                <w:sz w:val="21"/>
                <w:szCs w:val="21"/>
              </w:rPr>
              <w:t xml:space="preserve">Tracked organic posts</w:t>
            </w:r>
          </w:p>
        </w:tc>
        <w:tc>
          <w:tcPr>
            <w:tcW w:type="dxa" w:w="3200"/>
            <w:tcMar>
              <w:top w:type="dxa" w:w="100"/>
              <w:left w:type="dxa" w:w="120"/>
              <w:bottom w:type="dxa" w:w="100"/>
              <w:right w:type="dxa" w:w="120"/>
            </w:tcMar>
            <w:vAlign w:val="center"/>
          </w:tcPr>
          <w:p>
            <w:r>
              <w:rPr>
                <w:b/>
                <w:bCs/>
                <w:color w:val="C0392B"/>
                <w:sz w:val="21"/>
                <w:szCs w:val="21"/>
              </w:rPr>
              <w:t xml:space="preserve">1</w:t>
            </w:r>
          </w:p>
        </w:tc>
        <w:tc>
          <w:tcPr>
            <w:tcW w:type="dxa" w:w="3200"/>
            <w:tcMar>
              <w:top w:type="dxa" w:w="100"/>
              <w:left w:type="dxa" w:w="120"/>
              <w:bottom w:type="dxa" w:w="100"/>
              <w:right w:type="dxa" w:w="120"/>
            </w:tcMar>
            <w:vAlign w:val="center"/>
          </w:tcPr>
          <w:p>
            <w:r>
              <w:rPr>
                <w:color w:val="222222"/>
                <w:sz w:val="21"/>
                <w:szCs w:val="21"/>
              </w:rPr>
              <w:t xml:space="preserve">7 (Aug 17–29)</w:t>
            </w:r>
          </w:p>
        </w:tc>
      </w:tr>
    </w:tbl>
    <w:p>
      <w:pPr>
        <w:spacing w:after="160" w:before="100"/>
      </w:pPr>
      <w:r>
        <w:rPr>
          <w:b w:val="false"/>
          <w:bCs w:val="false"/>
          <w:i w:val="false"/>
          <w:iCs w:val="false"/>
          <w:color w:val="222222"/>
          <w:sz w:val="21"/>
          <w:szCs w:val="21"/>
        </w:rPr>
        <w:t xml:space="preserve">Days with zero recorded organic impressions rose to 4 out of 30 in this window, versus scattered zero-days previously — consistent with a near-empty LinkedIn posting calendar for most of September. Recommendation carried forward: resume at least weekly LinkedIn posting, mixing event-roundup content with narrative/brand posts, which drove disproportionately higher engagement in earlier periods.</w:t>
      </w:r>
    </w:p>
    <w:p>
      <w:pPr>
        <w:pStyle w:val="Heading2"/>
        <w:spacing w:after="160" w:before="360"/>
      </w:pPr>
      <w:r>
        <w:rPr>
          <w:b/>
          <w:bCs/>
          <w:color w:val="1E5631"/>
          <w:sz w:val="25"/>
          <w:szCs w:val="25"/>
        </w:rPr>
        <w:t xml:space="preserve">Instagram</w:t>
      </w:r>
    </w:p>
    <w:p>
      <w:pPr>
        <w:spacing w:after="160" w:before="0"/>
      </w:pPr>
      <w:r>
        <w:rPr>
          <w:b w:val="false"/>
          <w:bCs w:val="false"/>
          <w:i w:val="false"/>
          <w:iCs w:val="false"/>
          <w:color w:val="222222"/>
          <w:sz w:val="21"/>
          <w:szCs w:val="21"/>
        </w:rPr>
        <w:t xml:space="preserve">Instagram is the one channel that kept a real posting rhythm through this period, and it shows: 5,503 total views and 317 interactions over the trailing 30 days (Aug 28 – Sep 27), up from 3,217 views and 103 interactions in the prior 14-day window. Non-followers still make up the majority of viewers (63.3%, essentially flat versus 64% last period) — content continues reaching well beyond the existing audience. The top-content list includes wellness-event roundup graphics dated into September (Sep 2 and Sep 13–14 listings), confirming the events-post cadence held here even as it collapsed on LinkedIn.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3200"/>
      </w:tblGrid>
      <w:tr>
        <w:trPr>
          <w:tblHeader/>
        </w:trPr>
        <w:tc>
          <w:tcPr>
            <w:tcW w:type="dxa" w:w="4200"/>
            <w:shd w:fill="1E5631" w:val="clear"/>
            <w:tcMar>
              <w:top w:type="dxa" w:w="100"/>
              <w:left w:type="dxa" w:w="120"/>
              <w:bottom w:type="dxa" w:w="100"/>
              <w:right w:type="dxa" w:w="120"/>
            </w:tcMar>
            <w:vAlign w:val="center"/>
          </w:tcPr>
          <w:p>
            <w:r>
              <w:rPr>
                <w:b/>
                <w:bCs/>
                <w:color w:val="FFFFFF"/>
                <w:sz w:val="20"/>
                <w:szCs w:val="20"/>
              </w:rPr>
              <w:t xml:space="preserve">Metric (30 days, Aug 28–Sep 27)</w:t>
            </w:r>
          </w:p>
        </w:tc>
        <w:tc>
          <w:tcPr>
            <w:tcW w:type="dxa" w:w="3200"/>
            <w:shd w:fill="1E5631" w:val="clear"/>
            <w:tcMar>
              <w:top w:type="dxa" w:w="100"/>
              <w:left w:type="dxa" w:w="120"/>
              <w:bottom w:type="dxa" w:w="100"/>
              <w:right w:type="dxa" w:w="120"/>
            </w:tcMar>
            <w:vAlign w:val="center"/>
          </w:tcPr>
          <w:p>
            <w:r>
              <w:rPr>
                <w:b/>
                <w:bCs/>
                <w:color w:val="FFFFFF"/>
                <w:sz w:val="20"/>
                <w:szCs w:val="20"/>
              </w:rPr>
              <w:t xml:space="preserve">This Period</w:t>
            </w:r>
          </w:p>
        </w:tc>
        <w:tc>
          <w:tcPr>
            <w:tcW w:type="dxa" w:w="3200"/>
            <w:shd w:fill="1E5631" w:val="clear"/>
            <w:tcMar>
              <w:top w:type="dxa" w:w="100"/>
              <w:left w:type="dxa" w:w="120"/>
              <w:bottom w:type="dxa" w:w="100"/>
              <w:right w:type="dxa" w:w="120"/>
            </w:tcMar>
            <w:vAlign w:val="center"/>
          </w:tcPr>
          <w:p>
            <w:r>
              <w:rPr>
                <w:b/>
                <w:bCs/>
                <w:color w:val="FFFFFF"/>
                <w:sz w:val="20"/>
                <w:szCs w:val="20"/>
              </w:rPr>
              <w:t xml:space="preserve">Prior Period</w:t>
            </w:r>
          </w:p>
        </w:tc>
      </w:tr>
      <w:tr>
        <w:tc>
          <w:tcPr>
            <w:tcW w:type="dxa" w:w="4200"/>
            <w:tcMar>
              <w:top w:type="dxa" w:w="100"/>
              <w:left w:type="dxa" w:w="120"/>
              <w:bottom w:type="dxa" w:w="100"/>
              <w:right w:type="dxa" w:w="120"/>
            </w:tcMar>
            <w:vAlign w:val="center"/>
          </w:tcPr>
          <w:p>
            <w:r>
              <w:rPr>
                <w:color w:val="222222"/>
                <w:sz w:val="21"/>
                <w:szCs w:val="21"/>
              </w:rPr>
              <w:t xml:space="preserve">Views (all content)</w:t>
            </w:r>
          </w:p>
        </w:tc>
        <w:tc>
          <w:tcPr>
            <w:tcW w:type="dxa" w:w="3200"/>
            <w:tcMar>
              <w:top w:type="dxa" w:w="100"/>
              <w:left w:type="dxa" w:w="120"/>
              <w:bottom w:type="dxa" w:w="100"/>
              <w:right w:type="dxa" w:w="120"/>
            </w:tcMar>
            <w:vAlign w:val="center"/>
          </w:tcPr>
          <w:p>
            <w:r>
              <w:rPr>
                <w:color w:val="222222"/>
                <w:sz w:val="21"/>
                <w:szCs w:val="21"/>
              </w:rPr>
              <w:t xml:space="preserve">5,503</w:t>
            </w:r>
          </w:p>
        </w:tc>
        <w:tc>
          <w:tcPr>
            <w:tcW w:type="dxa" w:w="3200"/>
            <w:tcMar>
              <w:top w:type="dxa" w:w="100"/>
              <w:left w:type="dxa" w:w="120"/>
              <w:bottom w:type="dxa" w:w="100"/>
              <w:right w:type="dxa" w:w="120"/>
            </w:tcMar>
            <w:vAlign w:val="center"/>
          </w:tcPr>
          <w:p>
            <w:r>
              <w:rPr>
                <w:color w:val="222222"/>
                <w:sz w:val="21"/>
                <w:szCs w:val="21"/>
              </w:rPr>
              <w:t xml:space="preserve">3,217 (Aug 17–31, 14d)</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Viewers</w:t>
            </w:r>
          </w:p>
        </w:tc>
        <w:tc>
          <w:tcPr>
            <w:tcW w:type="dxa" w:w="3200"/>
            <w:shd w:fill="F5F7F5" w:val="clear"/>
            <w:tcMar>
              <w:top w:type="dxa" w:w="100"/>
              <w:left w:type="dxa" w:w="120"/>
              <w:bottom w:type="dxa" w:w="100"/>
              <w:right w:type="dxa" w:w="120"/>
            </w:tcMar>
            <w:vAlign w:val="center"/>
          </w:tcPr>
          <w:p>
            <w:r>
              <w:rPr>
                <w:color w:val="222222"/>
                <w:sz w:val="21"/>
                <w:szCs w:val="21"/>
              </w:rPr>
              <w:t xml:space="preserve">1,926</w:t>
            </w:r>
          </w:p>
        </w:tc>
        <w:tc>
          <w:tcPr>
            <w:tcW w:type="dxa" w:w="3200"/>
            <w:shd w:fill="F5F7F5" w:val="clear"/>
            <w:tcMar>
              <w:top w:type="dxa" w:w="100"/>
              <w:left w:type="dxa" w:w="120"/>
              <w:bottom w:type="dxa" w:w="100"/>
              <w:right w:type="dxa" w:w="120"/>
            </w:tcMar>
            <w:vAlign w:val="center"/>
          </w:tcPr>
          <w:p>
            <w:r>
              <w:rPr>
                <w:color w:val="222222"/>
                <w:sz w:val="21"/>
                <w:szCs w:val="21"/>
              </w:rPr>
              <w:t xml:space="preserve">1,311</w:t>
            </w:r>
          </w:p>
        </w:tc>
      </w:tr>
      <w:tr>
        <w:tc>
          <w:tcPr>
            <w:tcW w:type="dxa" w:w="4200"/>
            <w:tcMar>
              <w:top w:type="dxa" w:w="100"/>
              <w:left w:type="dxa" w:w="120"/>
              <w:bottom w:type="dxa" w:w="100"/>
              <w:right w:type="dxa" w:w="120"/>
            </w:tcMar>
            <w:vAlign w:val="center"/>
          </w:tcPr>
          <w:p>
            <w:r>
              <w:rPr>
                <w:color w:val="222222"/>
                <w:sz w:val="21"/>
                <w:szCs w:val="21"/>
              </w:rPr>
              <w:t xml:space="preserve">Interactions</w:t>
            </w:r>
          </w:p>
        </w:tc>
        <w:tc>
          <w:tcPr>
            <w:tcW w:type="dxa" w:w="3200"/>
            <w:tcMar>
              <w:top w:type="dxa" w:w="100"/>
              <w:left w:type="dxa" w:w="120"/>
              <w:bottom w:type="dxa" w:w="100"/>
              <w:right w:type="dxa" w:w="120"/>
            </w:tcMar>
            <w:vAlign w:val="center"/>
          </w:tcPr>
          <w:p>
            <w:r>
              <w:rPr>
                <w:color w:val="222222"/>
                <w:sz w:val="21"/>
                <w:szCs w:val="21"/>
              </w:rPr>
              <w:t xml:space="preserve">317</w:t>
            </w:r>
          </w:p>
        </w:tc>
        <w:tc>
          <w:tcPr>
            <w:tcW w:type="dxa" w:w="3200"/>
            <w:tcMar>
              <w:top w:type="dxa" w:w="100"/>
              <w:left w:type="dxa" w:w="120"/>
              <w:bottom w:type="dxa" w:w="100"/>
              <w:right w:type="dxa" w:w="120"/>
            </w:tcMar>
            <w:vAlign w:val="center"/>
          </w:tcPr>
          <w:p>
            <w:r>
              <w:rPr>
                <w:color w:val="222222"/>
                <w:sz w:val="21"/>
                <w:szCs w:val="21"/>
              </w:rPr>
              <w:t xml:space="preserve">103</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Profile visits</w:t>
            </w:r>
          </w:p>
        </w:tc>
        <w:tc>
          <w:tcPr>
            <w:tcW w:type="dxa" w:w="3200"/>
            <w:shd w:fill="F5F7F5" w:val="clear"/>
            <w:tcMar>
              <w:top w:type="dxa" w:w="100"/>
              <w:left w:type="dxa" w:w="120"/>
              <w:bottom w:type="dxa" w:w="100"/>
              <w:right w:type="dxa" w:w="120"/>
            </w:tcMar>
            <w:vAlign w:val="center"/>
          </w:tcPr>
          <w:p>
            <w:r>
              <w:rPr>
                <w:color w:val="222222"/>
                <w:sz w:val="21"/>
                <w:szCs w:val="21"/>
              </w:rPr>
              <w:t xml:space="preserve">150</w:t>
            </w:r>
          </w:p>
        </w:tc>
        <w:tc>
          <w:tcPr>
            <w:tcW w:type="dxa" w:w="3200"/>
            <w:shd w:fill="F5F7F5" w:val="clear"/>
            <w:tcMar>
              <w:top w:type="dxa" w:w="100"/>
              <w:left w:type="dxa" w:w="120"/>
              <w:bottom w:type="dxa" w:w="100"/>
              <w:right w:type="dxa" w:w="120"/>
            </w:tcMar>
            <w:vAlign w:val="center"/>
          </w:tcPr>
          <w:p>
            <w:r>
              <w:rPr>
                <w:color w:val="222222"/>
                <w:sz w:val="21"/>
                <w:szCs w:val="21"/>
              </w:rPr>
              <w:t xml:space="preserve">67</w:t>
            </w:r>
          </w:p>
        </w:tc>
      </w:tr>
      <w:tr>
        <w:tc>
          <w:tcPr>
            <w:tcW w:type="dxa" w:w="4200"/>
            <w:tcMar>
              <w:top w:type="dxa" w:w="100"/>
              <w:left w:type="dxa" w:w="120"/>
              <w:bottom w:type="dxa" w:w="100"/>
              <w:right w:type="dxa" w:w="120"/>
            </w:tcMar>
            <w:vAlign w:val="center"/>
          </w:tcPr>
          <w:p>
            <w:r>
              <w:rPr>
                <w:color w:val="222222"/>
                <w:sz w:val="21"/>
                <w:szCs w:val="21"/>
              </w:rPr>
              <w:t xml:space="preserve">Bio link taps</w:t>
            </w:r>
          </w:p>
        </w:tc>
        <w:tc>
          <w:tcPr>
            <w:tcW w:type="dxa" w:w="3200"/>
            <w:tcMar>
              <w:top w:type="dxa" w:w="100"/>
              <w:left w:type="dxa" w:w="120"/>
              <w:bottom w:type="dxa" w:w="100"/>
              <w:right w:type="dxa" w:w="120"/>
            </w:tcMar>
            <w:vAlign w:val="center"/>
          </w:tcPr>
          <w:p>
            <w:r>
              <w:rPr>
                <w:color w:val="222222"/>
                <w:sz w:val="21"/>
                <w:szCs w:val="21"/>
              </w:rPr>
              <w:t xml:space="preserve">4</w:t>
            </w:r>
          </w:p>
        </w:tc>
        <w:tc>
          <w:tcPr>
            <w:tcW w:type="dxa" w:w="3200"/>
            <w:tcMar>
              <w:top w:type="dxa" w:w="100"/>
              <w:left w:type="dxa" w:w="120"/>
              <w:bottom w:type="dxa" w:w="100"/>
              <w:right w:type="dxa" w:w="120"/>
            </w:tcMar>
            <w:vAlign w:val="center"/>
          </w:tcPr>
          <w:p>
            <w:r>
              <w:rPr>
                <w:color w:val="222222"/>
                <w:sz w:val="21"/>
                <w:szCs w:val="21"/>
              </w:rPr>
              <w:t xml:space="preserve">2</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Non-follower share</w:t>
            </w:r>
          </w:p>
        </w:tc>
        <w:tc>
          <w:tcPr>
            <w:tcW w:type="dxa" w:w="3200"/>
            <w:shd w:fill="F5F7F5" w:val="clear"/>
            <w:tcMar>
              <w:top w:type="dxa" w:w="100"/>
              <w:left w:type="dxa" w:w="120"/>
              <w:bottom w:type="dxa" w:w="100"/>
              <w:right w:type="dxa" w:w="120"/>
            </w:tcMar>
            <w:vAlign w:val="center"/>
          </w:tcPr>
          <w:p>
            <w:r>
              <w:rPr>
                <w:color w:val="222222"/>
                <w:sz w:val="21"/>
                <w:szCs w:val="21"/>
              </w:rPr>
              <w:t xml:space="preserve">63.3%</w:t>
            </w:r>
          </w:p>
        </w:tc>
        <w:tc>
          <w:tcPr>
            <w:tcW w:type="dxa" w:w="3200"/>
            <w:shd w:fill="F5F7F5" w:val="clear"/>
            <w:tcMar>
              <w:top w:type="dxa" w:w="100"/>
              <w:left w:type="dxa" w:w="120"/>
              <w:bottom w:type="dxa" w:w="100"/>
              <w:right w:type="dxa" w:w="120"/>
            </w:tcMar>
            <w:vAlign w:val="center"/>
          </w:tcPr>
          <w:p>
            <w:r>
              <w:rPr>
                <w:color w:val="222222"/>
                <w:sz w:val="21"/>
                <w:szCs w:val="21"/>
              </w:rPr>
              <w:t xml:space="preserve">64%</w:t>
            </w:r>
          </w:p>
        </w:tc>
      </w:tr>
    </w:tbl>
    <w:p>
      <w:pPr>
        <w:pStyle w:val="Heading3"/>
        <w:spacing w:after="100" w:before="200"/>
      </w:pPr>
      <w:r>
        <w:rPr>
          <w:b/>
          <w:bCs/>
          <w:color w:val="1E5631"/>
          <w:sz w:val="22"/>
          <w:szCs w:val="22"/>
        </w:rPr>
        <w:t xml:space="preserve">Views &amp; interactions by content type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3200"/>
      </w:tblGrid>
      <w:tr>
        <w:trPr>
          <w:tblHeader/>
        </w:trPr>
        <w:tc>
          <w:tcPr>
            <w:tcW w:type="dxa" w:w="4200"/>
            <w:shd w:fill="1E5631" w:val="clear"/>
            <w:tcMar>
              <w:top w:type="dxa" w:w="100"/>
              <w:left w:type="dxa" w:w="120"/>
              <w:bottom w:type="dxa" w:w="100"/>
              <w:right w:type="dxa" w:w="120"/>
            </w:tcMar>
            <w:vAlign w:val="center"/>
          </w:tcPr>
          <w:p>
            <w:r>
              <w:rPr>
                <w:b/>
                <w:bCs/>
                <w:color w:val="FFFFFF"/>
                <w:sz w:val="20"/>
                <w:szCs w:val="20"/>
              </w:rPr>
              <w:t xml:space="preserve">Content Type</w:t>
            </w:r>
          </w:p>
        </w:tc>
        <w:tc>
          <w:tcPr>
            <w:tcW w:type="dxa" w:w="3200"/>
            <w:shd w:fill="1E5631" w:val="clear"/>
            <w:tcMar>
              <w:top w:type="dxa" w:w="100"/>
              <w:left w:type="dxa" w:w="120"/>
              <w:bottom w:type="dxa" w:w="100"/>
              <w:right w:type="dxa" w:w="120"/>
            </w:tcMar>
            <w:vAlign w:val="center"/>
          </w:tcPr>
          <w:p>
            <w:r>
              <w:rPr>
                <w:b/>
                <w:bCs/>
                <w:color w:val="FFFFFF"/>
                <w:sz w:val="20"/>
                <w:szCs w:val="20"/>
              </w:rPr>
              <w:t xml:space="preserve">Views</w:t>
            </w:r>
          </w:p>
        </w:tc>
        <w:tc>
          <w:tcPr>
            <w:tcW w:type="dxa" w:w="3200"/>
            <w:shd w:fill="1E5631" w:val="clear"/>
            <w:tcMar>
              <w:top w:type="dxa" w:w="100"/>
              <w:left w:type="dxa" w:w="120"/>
              <w:bottom w:type="dxa" w:w="100"/>
              <w:right w:type="dxa" w:w="120"/>
            </w:tcMar>
            <w:vAlign w:val="center"/>
          </w:tcPr>
          <w:p>
            <w:r>
              <w:rPr>
                <w:b/>
                <w:bCs/>
                <w:color w:val="FFFFFF"/>
                <w:sz w:val="20"/>
                <w:szCs w:val="20"/>
              </w:rPr>
              <w:t xml:space="preserve">Interactions</w:t>
            </w:r>
          </w:p>
        </w:tc>
      </w:tr>
      <w:tr>
        <w:tc>
          <w:tcPr>
            <w:tcW w:type="dxa" w:w="4200"/>
            <w:tcMar>
              <w:top w:type="dxa" w:w="100"/>
              <w:left w:type="dxa" w:w="120"/>
              <w:bottom w:type="dxa" w:w="100"/>
              <w:right w:type="dxa" w:w="120"/>
            </w:tcMar>
            <w:vAlign w:val="center"/>
          </w:tcPr>
          <w:p>
            <w:r>
              <w:rPr>
                <w:color w:val="222222"/>
                <w:sz w:val="21"/>
                <w:szCs w:val="21"/>
              </w:rPr>
              <w:t xml:space="preserve">Posts</w:t>
            </w:r>
          </w:p>
        </w:tc>
        <w:tc>
          <w:tcPr>
            <w:tcW w:type="dxa" w:w="3200"/>
            <w:tcMar>
              <w:top w:type="dxa" w:w="100"/>
              <w:left w:type="dxa" w:w="120"/>
              <w:bottom w:type="dxa" w:w="100"/>
              <w:right w:type="dxa" w:w="120"/>
            </w:tcMar>
            <w:vAlign w:val="center"/>
          </w:tcPr>
          <w:p>
            <w:r>
              <w:rPr>
                <w:color w:val="222222"/>
                <w:sz w:val="21"/>
                <w:szCs w:val="21"/>
              </w:rPr>
              <w:t xml:space="preserve">2.6K</w:t>
            </w:r>
          </w:p>
        </w:tc>
        <w:tc>
          <w:tcPr>
            <w:tcW w:type="dxa" w:w="3200"/>
            <w:tcMar>
              <w:top w:type="dxa" w:w="100"/>
              <w:left w:type="dxa" w:w="120"/>
              <w:bottom w:type="dxa" w:w="100"/>
              <w:right w:type="dxa" w:w="120"/>
            </w:tcMar>
            <w:vAlign w:val="center"/>
          </w:tcPr>
          <w:p>
            <w:r>
              <w:rPr>
                <w:color w:val="222222"/>
                <w:sz w:val="21"/>
                <w:szCs w:val="21"/>
              </w:rPr>
              <w:t xml:space="preserve">89</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Reels</w:t>
            </w:r>
          </w:p>
        </w:tc>
        <w:tc>
          <w:tcPr>
            <w:tcW w:type="dxa" w:w="3200"/>
            <w:shd w:fill="F5F7F5" w:val="clear"/>
            <w:tcMar>
              <w:top w:type="dxa" w:w="100"/>
              <w:left w:type="dxa" w:w="120"/>
              <w:bottom w:type="dxa" w:w="100"/>
              <w:right w:type="dxa" w:w="120"/>
            </w:tcMar>
            <w:vAlign w:val="center"/>
          </w:tcPr>
          <w:p>
            <w:r>
              <w:rPr>
                <w:color w:val="222222"/>
                <w:sz w:val="21"/>
                <w:szCs w:val="21"/>
              </w:rPr>
              <w:t xml:space="preserve">2.5K</w:t>
            </w:r>
          </w:p>
        </w:tc>
        <w:tc>
          <w:tcPr>
            <w:tcW w:type="dxa" w:w="3200"/>
            <w:shd w:fill="F5F7F5" w:val="clear"/>
            <w:tcMar>
              <w:top w:type="dxa" w:w="100"/>
              <w:left w:type="dxa" w:w="120"/>
              <w:bottom w:type="dxa" w:w="100"/>
              <w:right w:type="dxa" w:w="120"/>
            </w:tcMar>
            <w:vAlign w:val="center"/>
          </w:tcPr>
          <w:p>
            <w:r>
              <w:rPr>
                <w:b/>
                <w:bCs/>
                <w:color w:val="1E5631"/>
                <w:sz w:val="21"/>
                <w:szCs w:val="21"/>
              </w:rPr>
              <w:t xml:space="preserve">197</w:t>
            </w:r>
          </w:p>
        </w:tc>
      </w:tr>
      <w:tr>
        <w:tc>
          <w:tcPr>
            <w:tcW w:type="dxa" w:w="4200"/>
            <w:tcMar>
              <w:top w:type="dxa" w:w="100"/>
              <w:left w:type="dxa" w:w="120"/>
              <w:bottom w:type="dxa" w:w="100"/>
              <w:right w:type="dxa" w:w="120"/>
            </w:tcMar>
            <w:vAlign w:val="center"/>
          </w:tcPr>
          <w:p>
            <w:r>
              <w:rPr>
                <w:color w:val="222222"/>
                <w:sz w:val="21"/>
                <w:szCs w:val="21"/>
              </w:rPr>
              <w:t xml:space="preserve">Stories</w:t>
            </w:r>
          </w:p>
        </w:tc>
        <w:tc>
          <w:tcPr>
            <w:tcW w:type="dxa" w:w="3200"/>
            <w:tcMar>
              <w:top w:type="dxa" w:w="100"/>
              <w:left w:type="dxa" w:w="120"/>
              <w:bottom w:type="dxa" w:w="100"/>
              <w:right w:type="dxa" w:w="120"/>
            </w:tcMar>
            <w:vAlign w:val="center"/>
          </w:tcPr>
          <w:p>
            <w:r>
              <w:rPr>
                <w:color w:val="222222"/>
                <w:sz w:val="21"/>
                <w:szCs w:val="21"/>
              </w:rPr>
              <w:t xml:space="preserve">451</w:t>
            </w:r>
          </w:p>
        </w:tc>
        <w:tc>
          <w:tcPr>
            <w:tcW w:type="dxa" w:w="3200"/>
            <w:tcMar>
              <w:top w:type="dxa" w:w="100"/>
              <w:left w:type="dxa" w:w="120"/>
              <w:bottom w:type="dxa" w:w="100"/>
              <w:right w:type="dxa" w:w="120"/>
            </w:tcMar>
            <w:vAlign w:val="center"/>
          </w:tcPr>
          <w:p>
            <w:r>
              <w:rPr>
                <w:color w:val="222222"/>
                <w:sz w:val="21"/>
                <w:szCs w:val="21"/>
              </w:rPr>
              <w:t xml:space="preserve">31</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Live videos</w:t>
            </w:r>
          </w:p>
        </w:tc>
        <w:tc>
          <w:tcPr>
            <w:tcW w:type="dxa" w:w="3200"/>
            <w:shd w:fill="F5F7F5" w:val="clear"/>
            <w:tcMar>
              <w:top w:type="dxa" w:w="100"/>
              <w:left w:type="dxa" w:w="120"/>
              <w:bottom w:type="dxa" w:w="100"/>
              <w:right w:type="dxa" w:w="120"/>
            </w:tcMar>
            <w:vAlign w:val="center"/>
          </w:tcPr>
          <w:p>
            <w:r>
              <w:rPr>
                <w:color w:val="222222"/>
                <w:sz w:val="21"/>
                <w:szCs w:val="21"/>
              </w:rPr>
              <w:t xml:space="preserve">0</w:t>
            </w:r>
          </w:p>
        </w:tc>
        <w:tc>
          <w:tcPr>
            <w:tcW w:type="dxa" w:w="3200"/>
            <w:shd w:fill="F5F7F5" w:val="clear"/>
            <w:tcMar>
              <w:top w:type="dxa" w:w="100"/>
              <w:left w:type="dxa" w:w="120"/>
              <w:bottom w:type="dxa" w:w="100"/>
              <w:right w:type="dxa" w:w="120"/>
            </w:tcMar>
            <w:vAlign w:val="center"/>
          </w:tcPr>
          <w:p>
            <w:r>
              <w:rPr>
                <w:color w:val="222222"/>
                <w:sz w:val="21"/>
                <w:szCs w:val="21"/>
              </w:rPr>
              <w:t xml:space="preserve">0</w:t>
            </w:r>
          </w:p>
        </w:tc>
      </w:tr>
    </w:tbl>
    <w:p>
      <w:pPr>
        <w:spacing w:after="160" w:before="100"/>
      </w:pPr>
      <w:r>
        <w:rPr>
          <w:b w:val="false"/>
          <w:bCs w:val="false"/>
          <w:i w:val="false"/>
          <w:iCs w:val="false"/>
          <w:color w:val="222222"/>
          <w:sz w:val="21"/>
          <w:szCs w:val="21"/>
        </w:rPr>
        <w:t xml:space="preserve">Reels have flipped the interaction pattern from last report: they now drive the most interactions by a wide margin (197, more than double Posts' 89) despite similar view counts — previously Posts and Reels were roughly tied on interactions (44 vs. 42). Top individual content by views: two street/run reels (1.3K and 1.1K) and two wellness-events roundup graphics (910 and 242). Bio link conversion is still low — only 4 taps from 150 profile visits (2.7%) — the same “book now” CTA gap flagged last report remains unaddressed.</w:t>
      </w:r>
    </w:p>
    <w:p>
      <w:pPr>
        <w:pStyle w:val="Heading2"/>
        <w:spacing w:after="160" w:before="360"/>
      </w:pPr>
      <w:r>
        <w:rPr>
          <w:b/>
          <w:bCs/>
          <w:color w:val="1E5631"/>
          <w:sz w:val="25"/>
          <w:szCs w:val="25"/>
        </w:rPr>
        <w:t xml:space="preserve">TikTok</w:t>
      </w:r>
    </w:p>
    <w:p>
      <w:pPr>
        <w:spacing w:after="160" w:before="0"/>
      </w:pPr>
      <w:r>
        <w:rPr>
          <w:b w:val="false"/>
          <w:bCs w:val="false"/>
          <w:i w:val="false"/>
          <w:iCs w:val="false"/>
          <w:color w:val="222222"/>
          <w:sz w:val="21"/>
          <w:szCs w:val="21"/>
        </w:rPr>
        <w:t xml:space="preserve">TikTok delivered the strongest growth of any channel this period: 6.5K post views over the trailing 28 days (Aug 29 – Sep 25), up +166% from 2.6K the period before, alongside sharp gains in every engagement metric. Net new followers hit 28 this period (+250%), pushing the account's all-time total to 38 — meaning most of the account's followers to date joined in just the last 28 days.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3200"/>
      </w:tblGrid>
      <w:tr>
        <w:trPr>
          <w:tblHeader/>
        </w:trPr>
        <w:tc>
          <w:tcPr>
            <w:tcW w:type="dxa" w:w="4200"/>
            <w:shd w:fill="1E5631" w:val="clear"/>
            <w:tcMar>
              <w:top w:type="dxa" w:w="100"/>
              <w:left w:type="dxa" w:w="120"/>
              <w:bottom w:type="dxa" w:w="100"/>
              <w:right w:type="dxa" w:w="120"/>
            </w:tcMar>
            <w:vAlign w:val="center"/>
          </w:tcPr>
          <w:p>
            <w:r>
              <w:rPr>
                <w:b/>
                <w:bCs/>
                <w:color w:val="FFFFFF"/>
                <w:sz w:val="20"/>
                <w:szCs w:val="20"/>
              </w:rPr>
              <w:t xml:space="preserve">Metric (28 days, Aug 29–Sep 25)</w:t>
            </w:r>
          </w:p>
        </w:tc>
        <w:tc>
          <w:tcPr>
            <w:tcW w:type="dxa" w:w="3200"/>
            <w:shd w:fill="1E5631" w:val="clear"/>
            <w:tcMar>
              <w:top w:type="dxa" w:w="100"/>
              <w:left w:type="dxa" w:w="120"/>
              <w:bottom w:type="dxa" w:w="100"/>
              <w:right w:type="dxa" w:w="120"/>
            </w:tcMar>
            <w:vAlign w:val="center"/>
          </w:tcPr>
          <w:p>
            <w:r>
              <w:rPr>
                <w:b/>
                <w:bCs/>
                <w:color w:val="FFFFFF"/>
                <w:sz w:val="20"/>
                <w:szCs w:val="20"/>
              </w:rPr>
              <w:t xml:space="preserve">This Period</w:t>
            </w:r>
          </w:p>
        </w:tc>
        <w:tc>
          <w:tcPr>
            <w:tcW w:type="dxa" w:w="3200"/>
            <w:shd w:fill="1E5631" w:val="clear"/>
            <w:tcMar>
              <w:top w:type="dxa" w:w="100"/>
              <w:left w:type="dxa" w:w="120"/>
              <w:bottom w:type="dxa" w:w="100"/>
              <w:right w:type="dxa" w:w="120"/>
            </w:tcMar>
            <w:vAlign w:val="center"/>
          </w:tcPr>
          <w:p>
            <w:r>
              <w:rPr>
                <w:b/>
                <w:bCs/>
                <w:color w:val="FFFFFF"/>
                <w:sz w:val="20"/>
                <w:szCs w:val="20"/>
              </w:rPr>
              <w:t xml:space="preserve">Prior Period (28d)</w:t>
            </w:r>
          </w:p>
        </w:tc>
      </w:tr>
      <w:tr>
        <w:tc>
          <w:tcPr>
            <w:tcW w:type="dxa" w:w="4200"/>
            <w:tcMar>
              <w:top w:type="dxa" w:w="100"/>
              <w:left w:type="dxa" w:w="120"/>
              <w:bottom w:type="dxa" w:w="100"/>
              <w:right w:type="dxa" w:w="120"/>
            </w:tcMar>
            <w:vAlign w:val="center"/>
          </w:tcPr>
          <w:p>
            <w:r>
              <w:rPr>
                <w:color w:val="222222"/>
                <w:sz w:val="21"/>
                <w:szCs w:val="21"/>
              </w:rPr>
              <w:t xml:space="preserve">Post views</w:t>
            </w:r>
          </w:p>
        </w:tc>
        <w:tc>
          <w:tcPr>
            <w:tcW w:type="dxa" w:w="3200"/>
            <w:tcMar>
              <w:top w:type="dxa" w:w="100"/>
              <w:left w:type="dxa" w:w="120"/>
              <w:bottom w:type="dxa" w:w="100"/>
              <w:right w:type="dxa" w:w="120"/>
            </w:tcMar>
            <w:vAlign w:val="center"/>
          </w:tcPr>
          <w:p>
            <w:r>
              <w:rPr>
                <w:color w:val="222222"/>
                <w:sz w:val="21"/>
                <w:szCs w:val="21"/>
              </w:rPr>
              <w:t xml:space="preserve">6.5K</w:t>
            </w:r>
          </w:p>
        </w:tc>
        <w:tc>
          <w:tcPr>
            <w:tcW w:type="dxa" w:w="3200"/>
            <w:tcMar>
              <w:top w:type="dxa" w:w="100"/>
              <w:left w:type="dxa" w:w="120"/>
              <w:bottom w:type="dxa" w:w="100"/>
              <w:right w:type="dxa" w:w="120"/>
            </w:tcMar>
            <w:vAlign w:val="center"/>
          </w:tcPr>
          <w:p>
            <w:r>
              <w:rPr>
                <w:color w:val="222222"/>
                <w:sz w:val="21"/>
                <w:szCs w:val="21"/>
              </w:rPr>
              <w:t xml:space="preserve">2.6K</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Profile views</w:t>
            </w:r>
          </w:p>
        </w:tc>
        <w:tc>
          <w:tcPr>
            <w:tcW w:type="dxa" w:w="3200"/>
            <w:shd w:fill="F5F7F5" w:val="clear"/>
            <w:tcMar>
              <w:top w:type="dxa" w:w="100"/>
              <w:left w:type="dxa" w:w="120"/>
              <w:bottom w:type="dxa" w:w="100"/>
              <w:right w:type="dxa" w:w="120"/>
            </w:tcMar>
            <w:vAlign w:val="center"/>
          </w:tcPr>
          <w:p>
            <w:r>
              <w:rPr>
                <w:color w:val="222222"/>
                <w:sz w:val="21"/>
                <w:szCs w:val="21"/>
              </w:rPr>
              <w:t xml:space="preserve">90</w:t>
            </w:r>
          </w:p>
        </w:tc>
        <w:tc>
          <w:tcPr>
            <w:tcW w:type="dxa" w:w="3200"/>
            <w:shd w:fill="F5F7F5" w:val="clear"/>
            <w:tcMar>
              <w:top w:type="dxa" w:w="100"/>
              <w:left w:type="dxa" w:w="120"/>
              <w:bottom w:type="dxa" w:w="100"/>
              <w:right w:type="dxa" w:w="120"/>
            </w:tcMar>
            <w:vAlign w:val="center"/>
          </w:tcPr>
          <w:p>
            <w:r>
              <w:rPr>
                <w:color w:val="222222"/>
                <w:sz w:val="21"/>
                <w:szCs w:val="21"/>
              </w:rPr>
              <w:t xml:space="preserve">23</w:t>
            </w:r>
          </w:p>
        </w:tc>
      </w:tr>
      <w:tr>
        <w:tc>
          <w:tcPr>
            <w:tcW w:type="dxa" w:w="4200"/>
            <w:tcMar>
              <w:top w:type="dxa" w:w="100"/>
              <w:left w:type="dxa" w:w="120"/>
              <w:bottom w:type="dxa" w:w="100"/>
              <w:right w:type="dxa" w:w="120"/>
            </w:tcMar>
            <w:vAlign w:val="center"/>
          </w:tcPr>
          <w:p>
            <w:r>
              <w:rPr>
                <w:color w:val="222222"/>
                <w:sz w:val="21"/>
                <w:szCs w:val="21"/>
              </w:rPr>
              <w:t xml:space="preserve">Likes</w:t>
            </w:r>
          </w:p>
        </w:tc>
        <w:tc>
          <w:tcPr>
            <w:tcW w:type="dxa" w:w="3200"/>
            <w:tcMar>
              <w:top w:type="dxa" w:w="100"/>
              <w:left w:type="dxa" w:w="120"/>
              <w:bottom w:type="dxa" w:w="100"/>
              <w:right w:type="dxa" w:w="120"/>
            </w:tcMar>
            <w:vAlign w:val="center"/>
          </w:tcPr>
          <w:p>
            <w:r>
              <w:rPr>
                <w:color w:val="222222"/>
                <w:sz w:val="21"/>
                <w:szCs w:val="21"/>
              </w:rPr>
              <w:t xml:space="preserve">180</w:t>
            </w:r>
          </w:p>
        </w:tc>
        <w:tc>
          <w:tcPr>
            <w:tcW w:type="dxa" w:w="3200"/>
            <w:tcMar>
              <w:top w:type="dxa" w:w="100"/>
              <w:left w:type="dxa" w:w="120"/>
              <w:bottom w:type="dxa" w:w="100"/>
              <w:right w:type="dxa" w:w="120"/>
            </w:tcMar>
            <w:vAlign w:val="center"/>
          </w:tcPr>
          <w:p>
            <w:r>
              <w:rPr>
                <w:color w:val="222222"/>
                <w:sz w:val="21"/>
                <w:szCs w:val="21"/>
              </w:rPr>
              <w:t xml:space="preserve">49</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Comments</w:t>
            </w:r>
          </w:p>
        </w:tc>
        <w:tc>
          <w:tcPr>
            <w:tcW w:type="dxa" w:w="3200"/>
            <w:shd w:fill="F5F7F5" w:val="clear"/>
            <w:tcMar>
              <w:top w:type="dxa" w:w="100"/>
              <w:left w:type="dxa" w:w="120"/>
              <w:bottom w:type="dxa" w:w="100"/>
              <w:right w:type="dxa" w:w="120"/>
            </w:tcMar>
            <w:vAlign w:val="center"/>
          </w:tcPr>
          <w:p>
            <w:r>
              <w:rPr>
                <w:color w:val="222222"/>
                <w:sz w:val="21"/>
                <w:szCs w:val="21"/>
              </w:rPr>
              <w:t xml:space="preserve">5</w:t>
            </w:r>
          </w:p>
        </w:tc>
        <w:tc>
          <w:tcPr>
            <w:tcW w:type="dxa" w:w="3200"/>
            <w:shd w:fill="F5F7F5" w:val="clear"/>
            <w:tcMar>
              <w:top w:type="dxa" w:w="100"/>
              <w:left w:type="dxa" w:w="120"/>
              <w:bottom w:type="dxa" w:w="100"/>
              <w:right w:type="dxa" w:w="120"/>
            </w:tcMar>
            <w:vAlign w:val="center"/>
          </w:tcPr>
          <w:p>
            <w:r>
              <w:rPr>
                <w:color w:val="222222"/>
                <w:sz w:val="21"/>
                <w:szCs w:val="21"/>
              </w:rPr>
              <w:t xml:space="preserve">0</w:t>
            </w:r>
          </w:p>
        </w:tc>
      </w:tr>
      <w:tr>
        <w:tc>
          <w:tcPr>
            <w:tcW w:type="dxa" w:w="4200"/>
            <w:tcMar>
              <w:top w:type="dxa" w:w="100"/>
              <w:left w:type="dxa" w:w="120"/>
              <w:bottom w:type="dxa" w:w="100"/>
              <w:right w:type="dxa" w:w="120"/>
            </w:tcMar>
            <w:vAlign w:val="center"/>
          </w:tcPr>
          <w:p>
            <w:r>
              <w:rPr>
                <w:color w:val="222222"/>
                <w:sz w:val="21"/>
                <w:szCs w:val="21"/>
              </w:rPr>
              <w:t xml:space="preserve">Shares</w:t>
            </w:r>
          </w:p>
        </w:tc>
        <w:tc>
          <w:tcPr>
            <w:tcW w:type="dxa" w:w="3200"/>
            <w:tcMar>
              <w:top w:type="dxa" w:w="100"/>
              <w:left w:type="dxa" w:w="120"/>
              <w:bottom w:type="dxa" w:w="100"/>
              <w:right w:type="dxa" w:w="120"/>
            </w:tcMar>
            <w:vAlign w:val="center"/>
          </w:tcPr>
          <w:p>
            <w:r>
              <w:rPr>
                <w:b/>
                <w:bCs/>
                <w:color w:val="1E5631"/>
                <w:sz w:val="21"/>
                <w:szCs w:val="21"/>
              </w:rPr>
              <w:t xml:space="preserve">98</w:t>
            </w:r>
          </w:p>
        </w:tc>
        <w:tc>
          <w:tcPr>
            <w:tcW w:type="dxa" w:w="3200"/>
            <w:tcMar>
              <w:top w:type="dxa" w:w="100"/>
              <w:left w:type="dxa" w:w="120"/>
              <w:bottom w:type="dxa" w:w="100"/>
              <w:right w:type="dxa" w:w="120"/>
            </w:tcMar>
            <w:vAlign w:val="center"/>
          </w:tcPr>
          <w:p>
            <w:r>
              <w:rPr>
                <w:color w:val="222222"/>
                <w:sz w:val="21"/>
                <w:szCs w:val="21"/>
              </w:rPr>
              <w:t xml:space="preserve">6</w:t>
            </w:r>
          </w:p>
        </w:tc>
      </w:tr>
      <w:tr>
        <w:tc>
          <w:tcPr>
            <w:tcW w:type="dxa" w:w="4200"/>
            <w:shd w:fill="F5F7F5" w:val="clear"/>
            <w:tcMar>
              <w:top w:type="dxa" w:w="100"/>
              <w:left w:type="dxa" w:w="120"/>
              <w:bottom w:type="dxa" w:w="100"/>
              <w:right w:type="dxa" w:w="120"/>
            </w:tcMar>
            <w:vAlign w:val="center"/>
          </w:tcPr>
          <w:p>
            <w:r>
              <w:rPr>
                <w:color w:val="222222"/>
                <w:sz w:val="21"/>
                <w:szCs w:val="21"/>
              </w:rPr>
              <w:t xml:space="preserve">Total viewers</w:t>
            </w:r>
          </w:p>
        </w:tc>
        <w:tc>
          <w:tcPr>
            <w:tcW w:type="dxa" w:w="3200"/>
            <w:shd w:fill="F5F7F5" w:val="clear"/>
            <w:tcMar>
              <w:top w:type="dxa" w:w="100"/>
              <w:left w:type="dxa" w:w="120"/>
              <w:bottom w:type="dxa" w:w="100"/>
              <w:right w:type="dxa" w:w="120"/>
            </w:tcMar>
            <w:vAlign w:val="center"/>
          </w:tcPr>
          <w:p>
            <w:r>
              <w:rPr>
                <w:color w:val="222222"/>
                <w:sz w:val="21"/>
                <w:szCs w:val="21"/>
              </w:rPr>
              <w:t xml:space="preserve">4.5K</w:t>
            </w:r>
          </w:p>
        </w:tc>
        <w:tc>
          <w:tcPr>
            <w:tcW w:type="dxa" w:w="3200"/>
            <w:shd w:fill="F5F7F5" w:val="clear"/>
            <w:tcMar>
              <w:top w:type="dxa" w:w="100"/>
              <w:left w:type="dxa" w:w="120"/>
              <w:bottom w:type="dxa" w:w="100"/>
              <w:right w:type="dxa" w:w="120"/>
            </w:tcMar>
            <w:vAlign w:val="center"/>
          </w:tcPr>
          <w:p>
            <w:r>
              <w:rPr>
                <w:color w:val="222222"/>
                <w:sz w:val="21"/>
                <w:szCs w:val="21"/>
              </w:rPr>
              <w:t xml:space="preserve">—</w:t>
            </w:r>
          </w:p>
        </w:tc>
      </w:tr>
      <w:tr>
        <w:tc>
          <w:tcPr>
            <w:tcW w:type="dxa" w:w="4200"/>
            <w:tcMar>
              <w:top w:type="dxa" w:w="100"/>
              <w:left w:type="dxa" w:w="120"/>
              <w:bottom w:type="dxa" w:w="100"/>
              <w:right w:type="dxa" w:w="120"/>
            </w:tcMar>
            <w:vAlign w:val="center"/>
          </w:tcPr>
          <w:p>
            <w:r>
              <w:rPr>
                <w:color w:val="222222"/>
                <w:sz w:val="21"/>
                <w:szCs w:val="21"/>
              </w:rPr>
              <w:t xml:space="preserve">Net new followers</w:t>
            </w:r>
          </w:p>
        </w:tc>
        <w:tc>
          <w:tcPr>
            <w:tcW w:type="dxa" w:w="3200"/>
            <w:tcMar>
              <w:top w:type="dxa" w:w="100"/>
              <w:left w:type="dxa" w:w="120"/>
              <w:bottom w:type="dxa" w:w="100"/>
              <w:right w:type="dxa" w:w="120"/>
            </w:tcMar>
            <w:vAlign w:val="center"/>
          </w:tcPr>
          <w:p>
            <w:r>
              <w:rPr>
                <w:b/>
                <w:bCs/>
                <w:color w:val="1E5631"/>
                <w:sz w:val="21"/>
                <w:szCs w:val="21"/>
              </w:rPr>
              <w:t xml:space="preserve">28 (+250%)</w:t>
            </w:r>
          </w:p>
        </w:tc>
        <w:tc>
          <w:tcPr>
            <w:tcW w:type="dxa" w:w="3200"/>
            <w:tcMar>
              <w:top w:type="dxa" w:w="100"/>
              <w:left w:type="dxa" w:w="120"/>
              <w:bottom w:type="dxa" w:w="100"/>
              <w:right w:type="dxa" w:w="120"/>
            </w:tcMar>
            <w:vAlign w:val="center"/>
          </w:tcPr>
          <w:p>
            <w:r>
              <w:rPr>
                <w:color w:val="222222"/>
                <w:sz w:val="21"/>
                <w:szCs w:val="21"/>
              </w:rPr>
              <w:t xml:space="preserve">—</w:t>
            </w:r>
          </w:p>
        </w:tc>
      </w:tr>
    </w:tbl>
    <w:p>
      <w:pPr>
        <w:spacing w:after="160" w:before="100"/>
      </w:pPr>
      <w:r>
        <w:rPr>
          <w:b w:val="false"/>
          <w:bCs w:val="false"/>
          <w:i w:val="false"/>
          <w:iCs w:val="false"/>
          <w:color w:val="222222"/>
          <w:sz w:val="21"/>
          <w:szCs w:val="21"/>
        </w:rPr>
        <w:t xml:space="preserve">Traffic remains almost entirely algorithm-driven — 88.1% from the For You feed, 7.2% personal profile, 4.2% search — consistent with the prior period's pattern, though the top search queries this period are far more scattered (five different queries tied at 0.4% each, spanning general Addis Ababa/fitness terms) versus last period's clear concentration around “vahe zumba addis ababa” (14.8%) and the brand name itself. This suggests broader, more organic discovery, though at these low percentages it's directional rather than conclusive.</w:t>
      </w:r>
    </w:p>
    <w:p>
      <w:pPr>
        <w:spacing w:after="160" w:before="100"/>
      </w:pPr>
      <w:r>
        <w:rPr>
          <w:b w:val="false"/>
          <w:bCs w:val="false"/>
          <w:i w:val="false"/>
          <w:iCs w:val="false"/>
          <w:color w:val="222222"/>
          <w:sz w:val="21"/>
          <w:szCs w:val="21"/>
        </w:rPr>
        <w:t xml:space="preserve">Top content by views: the two Bertusew/Satenaw running-club reels (1,100 and 924 views, 900 and 884 new viewers respectively) continue to lead, with wellness-events roundup graphics following behind (456 and 429 views). Viewer base skews female (60% vs. 40% male), and the audience is most active late Saturday night (12–1am) — worth timing posts around. No revenue signal yet (est. rewards $0.00), which is expected at this scale.</w:t>
      </w:r>
    </w:p>
    <w:p>
      <w:pPr>
        <w:pBdr>
          <w:bottom w:val="single" w:color="CCCCCC" w:sz="6" w:space="1"/>
        </w:pBdr>
        <w:spacing w:after="200" w:before="200"/>
      </w:pPr>
    </w:p>
    <w:p>
      <w:pPr>
        <w:pStyle w:val="Heading1"/>
        <w:spacing w:after="160" w:before="360"/>
      </w:pPr>
      <w:r>
        <w:rPr>
          <w:b/>
          <w:bCs/>
          <w:color w:val="1E5631"/>
          <w:sz w:val="30"/>
          <w:szCs w:val="30"/>
        </w:rPr>
        <w:t xml:space="preserve">7. Immediate Action Items &amp; Executive Support Required</w:t>
      </w:r>
    </w:p>
    <w:p>
      <w:pPr>
        <w:pStyle w:val="ListParagraph"/>
        <w:numPr>
          <w:ilvl w:val="0"/>
          <w:numId w:val="1"/>
        </w:numPr>
        <w:spacing w:after="90"/>
      </w:pPr>
      <w:r>
        <w:rPr>
          <w:b/>
          <w:bCs/>
          <w:color w:val="222222"/>
          <w:sz w:val="21"/>
          <w:szCs w:val="21"/>
        </w:rPr>
        <w:t xml:space="preserve">Well Circle Team: </w:t>
      </w:r>
      <w:r>
        <w:rPr>
          <w:color w:val="222222"/>
          <w:sz w:val="21"/>
          <w:szCs w:val="21"/>
        </w:rPr>
        <w:t xml:space="preserve">Escalate the 0% check-in completion bug as the top engineering priority — it has not fired in production in 90+ days and blocks the entire reward flywheel.</w:t>
      </w:r>
    </w:p>
    <w:p>
      <w:pPr>
        <w:pStyle w:val="ListParagraph"/>
        <w:numPr>
          <w:ilvl w:val="0"/>
          <w:numId w:val="1"/>
        </w:numPr>
        <w:spacing w:after="90"/>
      </w:pPr>
      <w:r>
        <w:rPr>
          <w:b/>
          <w:bCs/>
          <w:color w:val="222222"/>
          <w:sz w:val="21"/>
          <w:szCs w:val="21"/>
        </w:rPr>
        <w:t xml:space="preserve">Aman (IT): </w:t>
      </w:r>
      <w:r>
        <w:rPr>
          <w:color w:val="222222"/>
          <w:sz w:val="21"/>
          <w:szCs w:val="21"/>
        </w:rPr>
        <w:t xml:space="preserve">Confirm a date for the IDS Team follow-up meeting with Anteneh and Sosina — this is now the blocking item on the PMS integration timeline.</w:t>
      </w:r>
    </w:p>
    <w:p>
      <w:pPr>
        <w:pStyle w:val="ListParagraph"/>
        <w:numPr>
          <w:ilvl w:val="0"/>
          <w:numId w:val="1"/>
        </w:numPr>
        <w:spacing w:after="90"/>
      </w:pPr>
      <w:r>
        <w:rPr>
          <w:b/>
          <w:bCs/>
          <w:color w:val="222222"/>
          <w:sz w:val="21"/>
          <w:szCs w:val="21"/>
        </w:rPr>
        <w:t xml:space="preserve">Sosina (Marketing): </w:t>
      </w:r>
      <w:r>
        <w:rPr>
          <w:color w:val="222222"/>
          <w:sz w:val="21"/>
          <w:szCs w:val="21"/>
        </w:rPr>
        <w:t xml:space="preserve">Provide the finalized wellness-service and pricing list to unblock point-value calibration.</w:t>
      </w:r>
    </w:p>
    <w:p>
      <w:pPr>
        <w:pStyle w:val="ListParagraph"/>
        <w:numPr>
          <w:ilvl w:val="0"/>
          <w:numId w:val="1"/>
        </w:numPr>
        <w:spacing w:after="90"/>
      </w:pPr>
      <w:r>
        <w:rPr>
          <w:b/>
          <w:bCs/>
          <w:color w:val="222222"/>
          <w:sz w:val="21"/>
          <w:szCs w:val="21"/>
        </w:rPr>
        <w:t xml:space="preserve">Mahlet &amp; Sosina: </w:t>
      </w:r>
      <w:r>
        <w:rPr>
          <w:color w:val="222222"/>
          <w:sz w:val="21"/>
          <w:szCs w:val="21"/>
        </w:rPr>
        <w:t xml:space="preserve">Review the suggested post about Well Circle's story at Kuriftu African Village before it goes out.</w:t>
      </w:r>
    </w:p>
    <w:p>
      <w:pPr>
        <w:pStyle w:val="ListParagraph"/>
        <w:numPr>
          <w:ilvl w:val="0"/>
          <w:numId w:val="1"/>
        </w:numPr>
        <w:spacing w:after="90"/>
      </w:pPr>
      <w:r>
        <w:rPr>
          <w:b/>
          <w:bCs/>
          <w:color w:val="222222"/>
          <w:sz w:val="21"/>
          <w:szCs w:val="21"/>
        </w:rPr>
        <w:t xml:space="preserve">Kuriftu Team: </w:t>
      </w:r>
      <w:r>
        <w:rPr>
          <w:color w:val="222222"/>
          <w:sz w:val="21"/>
          <w:szCs w:val="21"/>
        </w:rPr>
        <w:t xml:space="preserve">Introduce Well Circle to Hamrawit (Afro Heat), Kidist (Yene Health), and Dehorah (Wevasphere) to help move those partner conversations forward.</w:t>
      </w:r>
    </w:p>
    <w:p>
      <w:pPr>
        <w:pStyle w:val="ListParagraph"/>
        <w:numPr>
          <w:ilvl w:val="0"/>
          <w:numId w:val="1"/>
        </w:numPr>
        <w:spacing w:after="90"/>
      </w:pPr>
      <w:r>
        <w:rPr>
          <w:b/>
          <w:bCs/>
          <w:color w:val="222222"/>
          <w:sz w:val="21"/>
          <w:szCs w:val="21"/>
        </w:rPr>
        <w:t xml:space="preserve">Mahlet (Executive Leadership): </w:t>
      </w:r>
      <w:r>
        <w:rPr>
          <w:color w:val="222222"/>
          <w:sz w:val="21"/>
          <w:szCs w:val="21"/>
        </w:rPr>
        <w:t xml:space="preserve">Confirm placement locations for additional physical QR code materials at the resort, building on the Boston Day Spa stand's continued traction.</w:t>
      </w:r>
    </w:p>
    <w:p>
      <w:pPr>
        <w:pStyle w:val="ListParagraph"/>
        <w:numPr>
          <w:ilvl w:val="0"/>
          <w:numId w:val="1"/>
        </w:numPr>
        <w:spacing w:after="90"/>
      </w:pPr>
      <w:r>
        <w:rPr>
          <w:b/>
          <w:bCs/>
          <w:color w:val="222222"/>
          <w:sz w:val="21"/>
          <w:szCs w:val="21"/>
        </w:rPr>
        <w:t xml:space="preserve">Well Circle Team: </w:t>
      </w:r>
      <w:r>
        <w:rPr>
          <w:color w:val="222222"/>
          <w:sz w:val="21"/>
          <w:szCs w:val="21"/>
        </w:rPr>
        <w:t xml:space="preserve">Add a Day-0 → Day-1 re-engagement trigger (push or Telegram message) to build on the momentum from last week's bot-funnel push.</w:t>
      </w:r>
    </w:p>
    <w:p>
      <w:pPr>
        <w:pBdr>
          <w:bottom w:val="single" w:color="CCCCCC" w:sz="6" w:space="1"/>
        </w:pBdr>
        <w:spacing w:after="200" w:before="200"/>
      </w:pPr>
    </w:p>
    <w:p>
      <w:pPr>
        <w:pStyle w:val="Heading1"/>
        <w:spacing w:after="160" w:before="360"/>
      </w:pPr>
      <w:r>
        <w:rPr>
          <w:b/>
          <w:bCs/>
          <w:color w:val="1E5631"/>
          <w:sz w:val="30"/>
          <w:szCs w:val="30"/>
        </w:rPr>
        <w:t xml:space="preserve">Appendix: Reference Documents</w:t>
      </w:r>
    </w:p>
    <w:p>
      <w:pPr>
        <w:pStyle w:val="ListParagraph"/>
        <w:numPr>
          <w:ilvl w:val="0"/>
          <w:numId w:val="1"/>
        </w:numPr>
        <w:spacing w:after="90"/>
      </w:pPr>
      <w:hyperlink w:history="1" r:id="rIdmjmi4m6pba0voovsitw0z">
        <w:r>
          <w:rPr>
            <w:rStyle w:val="Hyperlink"/>
            <w:sz w:val="21"/>
            <w:szCs w:val="21"/>
          </w:rPr>
          <w:t xml:space="preserve">Wellcircle Progress Report [Aug 17–31]</w:t>
        </w:r>
      </w:hyperlink>
    </w:p>
    <w:p>
      <w:pPr>
        <w:pStyle w:val="ListParagraph"/>
        <w:numPr>
          <w:ilvl w:val="0"/>
          <w:numId w:val="1"/>
        </w:numPr>
        <w:spacing w:after="90"/>
      </w:pPr>
      <w:hyperlink w:history="1" r:id="rIdim6y7ysp_7kzw1b5qtrs4">
        <w:r>
          <w:rPr>
            <w:rStyle w:val="Hyperlink"/>
            <w:sz w:val="21"/>
            <w:szCs w:val="21"/>
          </w:rPr>
          <w:t xml:space="preserve">Marketing Team Notes</w:t>
        </w:r>
      </w:hyperlink>
    </w:p>
    <w:p>
      <w:pPr>
        <w:pStyle w:val="ListParagraph"/>
        <w:numPr>
          <w:ilvl w:val="0"/>
          <w:numId w:val="1"/>
        </w:numPr>
        <w:spacing w:after="90"/>
      </w:pPr>
      <w:hyperlink w:history="1" r:id="rIdvrjvjglqnv2knlwzmpldy">
        <w:r>
          <w:rPr>
            <w:rStyle w:val="Hyperlink"/>
            <w:sz w:val="21"/>
            <w:szCs w:val="21"/>
          </w:rPr>
          <w:t xml:space="preserve">IDS_Integration_Meeting_Notes</w:t>
        </w:r>
      </w:hyperlink>
    </w:p>
    <w:p>
      <w:pPr>
        <w:pStyle w:val="ListParagraph"/>
        <w:numPr>
          <w:ilvl w:val="0"/>
          <w:numId w:val="1"/>
        </w:numPr>
        <w:spacing w:after="90"/>
      </w:pPr>
      <w:hyperlink w:history="1" r:id="rIdzg00mw9moeufnqcgizpio">
        <w:r>
          <w:rPr>
            <w:rStyle w:val="Hyperlink"/>
            <w:sz w:val="21"/>
            <w:szCs w:val="21"/>
          </w:rPr>
          <w:t xml:space="preserve">Well Circle &amp; Kuriftu Pilot Partnership Agreement</w:t>
        </w:r>
      </w:hyperlink>
    </w:p>
    <w:p>
      <w:pPr>
        <w:pStyle w:val="ListParagraph"/>
        <w:numPr>
          <w:ilvl w:val="0"/>
          <w:numId w:val="1"/>
        </w:numPr>
        <w:spacing w:after="90"/>
      </w:pPr>
      <w:hyperlink w:history="1" r:id="rIdhinmowup3zmksirsftnjv">
        <w:r>
          <w:rPr>
            <w:rStyle w:val="Hyperlink"/>
            <w:sz w:val="21"/>
            <w:szCs w:val="21"/>
          </w:rPr>
          <w:t xml:space="preserve">Meeting with Sosina (Aug 30)</w:t>
        </w:r>
      </w:hyperlink>
    </w:p>
    <w:p>
      <w:pPr>
        <w:spacing w:after="160" w:before="200"/>
      </w:pPr>
      <w:r>
        <w:rPr>
          <w:b w:val="false"/>
          <w:bCs w:val="false"/>
          <w:i/>
          <w:iCs/>
          <w:color w:val="6B6B6B"/>
          <w:sz w:val="21"/>
          <w:szCs w:val="21"/>
        </w:rPr>
        <w:t xml:space="preserve">Product Analytics: PostHog AI pilot-effectiveness report and identity/habit-loop dashboard, Aug 28 – Sep 27,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jmi4m6pba0voovsitw0z" Type="http://schemas.openxmlformats.org/officeDocument/2006/relationships/hyperlink" Target="https://docs.google.com/document/d/1CLBB7Vf2ls1DSZ2WLO5BwfGj83IDyykJ010lg0NNDHg/edit?usp=sharing" TargetMode="External"/><Relationship Id="rIdim6y7ysp_7kzw1b5qtrs4" Type="http://schemas.openxmlformats.org/officeDocument/2006/relationships/hyperlink" Target="https://docs.google.com/document/u/0/d/1hf_m9mDtwnd5qCLOOWOE_oDyA8qoF8Ih7qvg4IRrqko/edit" TargetMode="External"/><Relationship Id="rIdvrjvjglqnv2knlwzmpldy" Type="http://schemas.openxmlformats.org/officeDocument/2006/relationships/hyperlink" Target="https://docs.google.com/document/u/0/d/1w3eBgl42b5QHRD-gN23K7fICZta4ksrWJpTIZE2YM0U/edit" TargetMode="External"/><Relationship Id="rIdzg00mw9moeufnqcgizpio" Type="http://schemas.openxmlformats.org/officeDocument/2006/relationships/hyperlink" Target="https://docs.google.com/document/u/0/d/1j1G97wNXxD703auspKYf37Wdh_RjC4TwsjKNuBAMW-4/edit" TargetMode="External"/><Relationship Id="rIdhinmowup3zmksirsftnjv" Type="http://schemas.openxmlformats.org/officeDocument/2006/relationships/hyperlink" Target="https://docs.google.com/document/d/11XCIYXdR5OFpulrALwxKfKlH0EVl4rWUcYQkYPIg0UI/edit?usp=sharing" TargetMode="External"/><Relationship Id="rId7" Type="http://schemas.openxmlformats.org/officeDocument/2006/relationships/image" Target="media/4764df222648a7f0654e60706b68616552619328.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2026-09-29T03:30:23.821Z</dcterms:created>
  <dcterms:modified xsi:type="dcterms:W3CDTF">2026-09-29T03:30:23.831Z</dcterms:modified>
</cp:coreProperties>
</file>

<file path=docProps/custom.xml><?xml version="1.0" encoding="utf-8"?>
<Properties xmlns="http://schemas.openxmlformats.org/officeDocument/2006/custom-properties" xmlns:vt="http://schemas.openxmlformats.org/officeDocument/2006/docPropsVTypes"/>
</file>