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Calling the user is painful 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 through the app (telebirr)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integration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tips (inside provider profile)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Ahun (similar community app):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Simplify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Fyp of the current event, services, provider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Have a webapp option (QR)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How effective is the current marketing (40$ per campaign: traffic to website, engagement, form based) - Instagram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Mostly social media campaign, influencer, TV broadcast (Partner)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customers (loyalty):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are the demographics of typical kuriftu service users (family, diaspora, locals,age…)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Diaspora, upper middle class (35-45), younger (for services &lt;15$)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Wellness specific (</w:t>
      </w:r>
      <w:commentRangeStart w:id="0"/>
      <w:r w:rsidDel="00000000" w:rsidR="00000000" w:rsidRPr="00000000">
        <w:rPr>
          <w:rtl w:val="0"/>
        </w:rPr>
        <w:t xml:space="preserve">Women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): spa, morocco, massage (men).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How long does a typical campaign last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days (to avoid AD fatigue)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do you attract new users &amp; the effectiveness of these methods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current boxing match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 run events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Themed events: for providers to bring in their audience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How can wellcircle use this and add more value to existing customer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banners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Promotional discount alerts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 gifts/day passes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eneh Yimmam" w:id="0" w:date="2026-08-07T04:52:49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pink theme too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