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Well Circle Usability and Pilot Implementation Plan</w:t>
      </w:r>
    </w:p>
    <w:p>
      <w:pPr>
        <w:pStyle w:val="Subtitle"/>
      </w:pPr>
      <w:r>
        <w:t>Six week delivery and evaluation plan</w:t>
        <w:br/>
        <w:t>Prepared 29 September 2026 for the Well Circle and Kuriftu pilot teams</w:t>
      </w:r>
    </w:p>
    <w:p>
      <w:pPr>
        <w:pStyle w:val="Heading2"/>
      </w:pPr>
      <w:r>
        <w:t>Implementation objective</w:t>
      </w:r>
    </w:p>
    <w:p>
      <w:r>
        <w:t>Restore a measurable first visit to repeat use journey: enter from a social link or resort QR code, join a relevant community, complete a check-in, return the next day, and request a service that staff can confirm and fulfill. Start with check-in reliability and measurement, then release provider booking and rewards only when operational dependencies are ready.</w:t>
      </w:r>
    </w:p>
    <w:p>
      <w:r>
        <w:t>Week 1 starts when the team assigns owners and approves the delivery scope. The plan uses relative weeks because the report leaves integration, review, and executive decision dates unresolved. Proposed targets below are delivery and evaluation criteria to ratify with Kuriftu; they are not established partnership commitments.</w:t>
      </w:r>
    </w:p>
    <w:p>
      <w:pPr>
        <w:pStyle w:val="Heading2"/>
      </w:pPr>
      <w:r>
        <w:t>Reported baseline and delivery implications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79"/>
        <w:gridCol w:w="5587"/>
      </w:tblGrid>
      <w:tr>
        <w:trPr>
          <w:cantSplit/>
          <w:tblHeader/>
        </w:trPr>
        <w:tc>
          <w:tcPr>
            <w:tcW w:type="dxa" w:w="4579"/>
            <w:vAlign w:val="center"/>
            <w:tcMar>
              <w:top w:w="85" w:type="dxa"/>
              <w:bottom w:w="85" w:type="dxa"/>
              <w:left w:w="110" w:type="dxa"/>
              <w:right w:w="110" w:type="dxa"/>
            </w:tcMar>
            <w:shd w:fill="243746"/>
          </w:tcPr>
          <w:p>
            <w:pPr>
              <w:spacing w:after="0" w:line="247" w:lineRule="auto"/>
            </w:pPr>
            <w:r>
              <w:rPr>
                <w:b/>
                <w:color w:val="FFFFFF"/>
                <w:sz w:val="18"/>
              </w:rPr>
              <w:t>Evidence from the report</w:t>
            </w:r>
          </w:p>
        </w:tc>
        <w:tc>
          <w:tcPr>
            <w:tcW w:type="dxa" w:w="5587"/>
            <w:vAlign w:val="center"/>
            <w:tcMar>
              <w:top w:w="85" w:type="dxa"/>
              <w:bottom w:w="85" w:type="dxa"/>
              <w:left w:w="110" w:type="dxa"/>
              <w:right w:w="110" w:type="dxa"/>
            </w:tcMar>
            <w:shd w:fill="243746"/>
          </w:tcPr>
          <w:p>
            <w:pPr>
              <w:spacing w:after="0" w:line="247" w:lineRule="auto"/>
            </w:pPr>
            <w:r>
              <w:rPr>
                <w:b/>
                <w:color w:val="FFFFFF"/>
                <w:sz w:val="18"/>
              </w:rPr>
              <w:t>Implementation implication</w:t>
            </w:r>
          </w:p>
        </w:tc>
      </w:tr>
      <w:tr>
        <w:trPr>
          <w:cantSplit/>
        </w:trPr>
        <w:tc>
          <w:tcPr>
            <w:tcW w:type="dxa" w:w="4579"/>
            <w:vAlign w:val="center"/>
            <w:tcMar>
              <w:top w:w="85" w:type="dxa"/>
              <w:bottom w:w="85" w:type="dxa"/>
              <w:left w:w="110" w:type="dxa"/>
              <w:right w:w="110" w:type="dxa"/>
            </w:tcMar>
            <w:shd w:fill="FFFFFF"/>
          </w:tcPr>
          <w:p>
            <w:pPr>
              <w:spacing w:after="0" w:line="247" w:lineRule="auto"/>
            </w:pPr>
            <w:r>
              <w:rPr>
                <w:b w:val="0"/>
                <w:color w:val="000000"/>
                <w:sz w:val="18"/>
              </w:rPr>
              <w:t>15 app openers; 12 explorers; 6 booking starters; 0 confirmations</w:t>
            </w:r>
          </w:p>
        </w:tc>
        <w:tc>
          <w:tcPr>
            <w:tcW w:type="dxa" w:w="5587"/>
            <w:vAlign w:val="center"/>
            <w:tcMar>
              <w:top w:w="85" w:type="dxa"/>
              <w:bottom w:w="85" w:type="dxa"/>
              <w:left w:w="110" w:type="dxa"/>
              <w:right w:w="110" w:type="dxa"/>
            </w:tcMar>
            <w:shd w:fill="FFFFFF"/>
          </w:tcPr>
          <w:p>
            <w:pPr>
              <w:spacing w:after="0" w:line="247" w:lineRule="auto"/>
            </w:pPr>
            <w:r>
              <w:rPr>
                <w:b w:val="0"/>
                <w:color w:val="000000"/>
                <w:sz w:val="18"/>
              </w:rPr>
              <w:t>Preserve discovery, enable a staffed booking pathway, and distinguish a submitted request from an accepted booking.</w:t>
            </w:r>
          </w:p>
        </w:tc>
      </w:tr>
      <w:tr>
        <w:trPr>
          <w:cantSplit/>
        </w:trPr>
        <w:tc>
          <w:tcPr>
            <w:tcW w:type="dxa" w:w="4579"/>
            <w:vAlign w:val="center"/>
            <w:tcMar>
              <w:top w:w="85" w:type="dxa"/>
              <w:bottom w:w="85" w:type="dxa"/>
              <w:left w:w="110" w:type="dxa"/>
              <w:right w:w="110" w:type="dxa"/>
            </w:tcMar>
            <w:shd w:fill="F1F4F6"/>
          </w:tcPr>
          <w:p>
            <w:pPr>
              <w:spacing w:after="0" w:line="247" w:lineRule="auto"/>
            </w:pPr>
            <w:r>
              <w:rPr>
                <w:b w:val="0"/>
                <w:color w:val="000000"/>
                <w:sz w:val="18"/>
              </w:rPr>
              <w:t>5 check-in prompt viewers; 4 clickers; 0 completions</w:t>
            </w:r>
          </w:p>
        </w:tc>
        <w:tc>
          <w:tcPr>
            <w:tcW w:type="dxa" w:w="5587"/>
            <w:vAlign w:val="center"/>
            <w:tcMar>
              <w:top w:w="85" w:type="dxa"/>
              <w:bottom w:w="85" w:type="dxa"/>
              <w:left w:w="110" w:type="dxa"/>
              <w:right w:w="110" w:type="dxa"/>
            </w:tcMar>
            <w:shd w:fill="F1F4F6"/>
          </w:tcPr>
          <w:p>
            <w:pPr>
              <w:spacing w:after="0" w:line="247" w:lineRule="auto"/>
            </w:pPr>
            <w:r>
              <w:rPr>
                <w:b w:val="0"/>
                <w:color w:val="000000"/>
                <w:sz w:val="18"/>
              </w:rPr>
              <w:t>P0: trace the full check-in transaction and analytics delivery before increasing acquisition.</w:t>
            </w:r>
          </w:p>
        </w:tc>
      </w:tr>
      <w:tr>
        <w:trPr>
          <w:cantSplit/>
        </w:trPr>
        <w:tc>
          <w:tcPr>
            <w:tcW w:type="dxa" w:w="4579"/>
            <w:vAlign w:val="center"/>
            <w:tcMar>
              <w:top w:w="85" w:type="dxa"/>
              <w:bottom w:w="85" w:type="dxa"/>
              <w:left w:w="110" w:type="dxa"/>
              <w:right w:w="110" w:type="dxa"/>
            </w:tcMar>
            <w:shd w:fill="FFFFFF"/>
          </w:tcPr>
          <w:p>
            <w:pPr>
              <w:spacing w:after="0" w:line="247" w:lineRule="auto"/>
            </w:pPr>
            <w:r>
              <w:rPr>
                <w:b w:val="0"/>
                <w:color w:val="000000"/>
                <w:sz w:val="18"/>
              </w:rPr>
              <w:t>Peak daily active testers 6; best Day 1 retention 66.7%, then 16.7% on Days 2 to 3</w:t>
            </w:r>
          </w:p>
        </w:tc>
        <w:tc>
          <w:tcPr>
            <w:tcW w:type="dxa" w:w="5587"/>
            <w:vAlign w:val="center"/>
            <w:tcMar>
              <w:top w:w="85" w:type="dxa"/>
              <w:bottom w:w="85" w:type="dxa"/>
              <w:left w:w="110" w:type="dxa"/>
              <w:right w:w="110" w:type="dxa"/>
            </w:tcMar>
            <w:shd w:fill="FFFFFF"/>
          </w:tcPr>
          <w:p>
            <w:pPr>
              <w:spacing w:after="0" w:line="247" w:lineRule="auto"/>
            </w:pPr>
            <w:r>
              <w:rPr>
                <w:b w:val="0"/>
                <w:color w:val="000000"/>
                <w:sz w:val="18"/>
              </w:rPr>
              <w:t>Add a Day 1 return journey and evaluate mature cohorts with counts and denominators.</w:t>
            </w:r>
          </w:p>
        </w:tc>
      </w:tr>
      <w:tr>
        <w:trPr>
          <w:cantSplit/>
        </w:trPr>
        <w:tc>
          <w:tcPr>
            <w:tcW w:type="dxa" w:w="4579"/>
            <w:vAlign w:val="center"/>
            <w:tcMar>
              <w:top w:w="85" w:type="dxa"/>
              <w:bottom w:w="85" w:type="dxa"/>
              <w:left w:w="110" w:type="dxa"/>
              <w:right w:w="110" w:type="dxa"/>
            </w:tcMar>
            <w:shd w:fill="F1F4F6"/>
          </w:tcPr>
          <w:p>
            <w:pPr>
              <w:spacing w:after="0" w:line="247" w:lineRule="auto"/>
            </w:pPr>
            <w:r>
              <w:rPr>
                <w:b w:val="0"/>
                <w:color w:val="000000"/>
                <w:sz w:val="18"/>
              </w:rPr>
              <w:t>0 circle creations; 12 joins; 1 invite; 0 joins after 5 onboarding completions</w:t>
            </w:r>
          </w:p>
        </w:tc>
        <w:tc>
          <w:tcPr>
            <w:tcW w:type="dxa" w:w="5587"/>
            <w:vAlign w:val="center"/>
            <w:tcMar>
              <w:top w:w="85" w:type="dxa"/>
              <w:bottom w:w="85" w:type="dxa"/>
              <w:left w:w="110" w:type="dxa"/>
              <w:right w:w="110" w:type="dxa"/>
            </w:tcMar>
            <w:shd w:fill="F1F4F6"/>
          </w:tcPr>
          <w:p>
            <w:pPr>
              <w:spacing w:after="0" w:line="247" w:lineRule="auto"/>
            </w:pPr>
            <w:r>
              <w:rPr>
                <w:b w:val="0"/>
                <w:color w:val="000000"/>
                <w:sz w:val="18"/>
              </w:rPr>
              <w:t>Make membership and first activity clear; validate discovery, creation, and event invitations.</w:t>
            </w:r>
          </w:p>
        </w:tc>
      </w:tr>
      <w:tr>
        <w:trPr>
          <w:cantSplit/>
        </w:trPr>
        <w:tc>
          <w:tcPr>
            <w:tcW w:type="dxa" w:w="4579"/>
            <w:vAlign w:val="center"/>
            <w:tcMar>
              <w:top w:w="85" w:type="dxa"/>
              <w:bottom w:w="85" w:type="dxa"/>
              <w:left w:w="110" w:type="dxa"/>
              <w:right w:w="110" w:type="dxa"/>
            </w:tcMar>
            <w:shd w:fill="FFFFFF"/>
          </w:tcPr>
          <w:p>
            <w:pPr>
              <w:spacing w:after="0" w:line="247" w:lineRule="auto"/>
            </w:pPr>
            <w:r>
              <w:rPr>
                <w:b w:val="0"/>
                <w:color w:val="000000"/>
                <w:sz w:val="18"/>
              </w:rPr>
              <w:t>185 of 251 explore events untagged; 48 share downloads versus 11 shows</w:t>
            </w:r>
          </w:p>
        </w:tc>
        <w:tc>
          <w:tcPr>
            <w:tcW w:type="dxa" w:w="5587"/>
            <w:vAlign w:val="center"/>
            <w:tcMar>
              <w:top w:w="85" w:type="dxa"/>
              <w:bottom w:w="85" w:type="dxa"/>
              <w:left w:w="110" w:type="dxa"/>
              <w:right w:w="110" w:type="dxa"/>
            </w:tcMar>
            <w:shd w:fill="FFFFFF"/>
          </w:tcPr>
          <w:p>
            <w:pPr>
              <w:spacing w:after="0" w:line="247" w:lineRule="auto"/>
            </w:pPr>
            <w:r>
              <w:rPr>
                <w:b w:val="0"/>
                <w:color w:val="000000"/>
                <w:sz w:val="18"/>
              </w:rPr>
              <w:t>Repair event definitions, coverage, identity, and duplication before using these metrics for decisions.</w:t>
            </w:r>
          </w:p>
        </w:tc>
      </w:tr>
      <w:tr>
        <w:trPr>
          <w:cantSplit/>
        </w:trPr>
        <w:tc>
          <w:tcPr>
            <w:tcW w:type="dxa" w:w="4579"/>
            <w:vAlign w:val="center"/>
            <w:tcMar>
              <w:top w:w="85" w:type="dxa"/>
              <w:bottom w:w="85" w:type="dxa"/>
              <w:left w:w="110" w:type="dxa"/>
              <w:right w:w="110" w:type="dxa"/>
            </w:tcMar>
            <w:shd w:fill="F1F4F6"/>
          </w:tcPr>
          <w:p>
            <w:pPr>
              <w:spacing w:after="0" w:line="247" w:lineRule="auto"/>
            </w:pPr>
            <w:r>
              <w:rPr>
                <w:b w:val="0"/>
                <w:color w:val="000000"/>
                <w:sz w:val="18"/>
              </w:rPr>
              <w:t>IDS follow-up, service pricing, and agreement pending; no live booking provider</w:t>
            </w:r>
          </w:p>
        </w:tc>
        <w:tc>
          <w:tcPr>
            <w:tcW w:type="dxa" w:w="5587"/>
            <w:vAlign w:val="center"/>
            <w:tcMar>
              <w:top w:w="85" w:type="dxa"/>
              <w:bottom w:w="85" w:type="dxa"/>
              <w:left w:w="110" w:type="dxa"/>
              <w:right w:w="110" w:type="dxa"/>
            </w:tcMar>
            <w:shd w:fill="F1F4F6"/>
          </w:tcPr>
          <w:p>
            <w:pPr>
              <w:spacing w:after="0" w:line="247" w:lineRule="auto"/>
            </w:pPr>
            <w:r>
              <w:rPr>
                <w:b w:val="0"/>
                <w:color w:val="000000"/>
                <w:sz w:val="18"/>
              </w:rPr>
              <w:t>Run provider readiness and stakeholder coordination alongside engineering.</w:t>
            </w:r>
          </w:p>
        </w:tc>
      </w:tr>
    </w:tbl>
    <w:p>
      <w:pPr>
        <w:spacing w:after="0"/>
      </w:pPr>
    </w:p>
    <w:p>
      <w:pPr>
        <w:pStyle w:val="Heading2"/>
      </w:pPr>
      <w:r>
        <w:t>Sequence and accountable leads</w:t>
      </w:r>
    </w:p>
    <w:p>
      <w:r>
        <w:t>Weeks 1 to 2: engineering restores check-in and validates data; product runs usability sessions. Weeks 3 to 4: release community activation, Day 1 reminders, and one provider booking pathway. Weeks 5 to 6: observe repeat use and fulfilled services, reconcile pilot results, and hold a joint review. Anteneh coordinates delivery; engineering and QA owners are assigned at kickoff. Aman, Sosina, and Mahlet retain the stakeholder actions identified in the report.</w:t>
      </w:r>
    </w:p>
    <w:p>
      <w:r>
        <w:t>Primary evidence: Wellcircle_Progress_Report Aug17-Sep27.docx, Sections 3 to 7. Product analytics cover Aug 28 to Sep 27, 2026. Social reporting windows differ by channel; compare future results using equal windows.</w:t>
      </w:r>
    </w:p>
    <w:p>
      <w:r>
        <w:br w:type="page"/>
      </w:r>
    </w:p>
    <w:p>
      <w:pPr>
        <w:pStyle w:val="Heading1"/>
      </w:pPr>
      <w:r>
        <w:t>1 Pilot scorecard and target definitions</w:t>
      </w:r>
    </w:p>
    <w:p>
      <w:r>
        <w:t>Ratify this scorecard in Week 1. Report actual counts beside percentages. Historical volumes are small, so meeting a threshold supports a limited pilot decision rather than proving sustained growth.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95"/>
        <w:gridCol w:w="3341"/>
        <w:gridCol w:w="3830"/>
      </w:tblGrid>
      <w:tr>
        <w:trPr>
          <w:cantSplit/>
          <w:tblHeader/>
        </w:trPr>
        <w:tc>
          <w:tcPr>
            <w:tcW w:type="dxa" w:w="2995"/>
            <w:vAlign w:val="center"/>
            <w:tcMar>
              <w:top w:w="85" w:type="dxa"/>
              <w:bottom w:w="85" w:type="dxa"/>
              <w:left w:w="110" w:type="dxa"/>
              <w:right w:w="110" w:type="dxa"/>
            </w:tcMar>
            <w:shd w:fill="243746"/>
          </w:tcPr>
          <w:p>
            <w:pPr>
              <w:spacing w:after="0" w:line="247" w:lineRule="auto"/>
            </w:pPr>
            <w:r>
              <w:rPr>
                <w:b/>
                <w:color w:val="FFFFFF"/>
                <w:sz w:val="18"/>
              </w:rPr>
              <w:t>Measure and reported baseline</w:t>
            </w:r>
          </w:p>
        </w:tc>
        <w:tc>
          <w:tcPr>
            <w:tcW w:type="dxa" w:w="3341"/>
            <w:vAlign w:val="center"/>
            <w:tcMar>
              <w:top w:w="85" w:type="dxa"/>
              <w:bottom w:w="85" w:type="dxa"/>
              <w:left w:w="110" w:type="dxa"/>
              <w:right w:w="110" w:type="dxa"/>
            </w:tcMar>
            <w:shd w:fill="243746"/>
          </w:tcPr>
          <w:p>
            <w:pPr>
              <w:spacing w:after="0" w:line="247" w:lineRule="auto"/>
            </w:pPr>
            <w:r>
              <w:rPr>
                <w:b/>
                <w:color w:val="FFFFFF"/>
                <w:sz w:val="18"/>
              </w:rPr>
              <w:t>Proposed six week target</w:t>
            </w:r>
          </w:p>
        </w:tc>
        <w:tc>
          <w:tcPr>
            <w:tcW w:type="dxa" w:w="3830"/>
            <w:vAlign w:val="center"/>
            <w:tcMar>
              <w:top w:w="85" w:type="dxa"/>
              <w:bottom w:w="85" w:type="dxa"/>
              <w:left w:w="110" w:type="dxa"/>
              <w:right w:w="110" w:type="dxa"/>
            </w:tcMar>
            <w:shd w:fill="243746"/>
          </w:tcPr>
          <w:p>
            <w:pPr>
              <w:spacing w:after="0" w:line="247" w:lineRule="auto"/>
            </w:pPr>
            <w:r>
              <w:rPr>
                <w:b/>
                <w:color w:val="FFFFFF"/>
                <w:sz w:val="18"/>
              </w:rPr>
              <w:t>Definition and owner</w:t>
            </w:r>
          </w:p>
        </w:tc>
      </w:tr>
      <w:tr>
        <w:trPr>
          <w:cantSplit/>
        </w:trPr>
        <w:tc>
          <w:tcPr>
            <w:tcW w:type="dxa" w:w="2995"/>
            <w:vAlign w:val="center"/>
            <w:tcMar>
              <w:top w:w="85" w:type="dxa"/>
              <w:bottom w:w="85" w:type="dxa"/>
              <w:left w:w="110" w:type="dxa"/>
              <w:right w:w="110" w:type="dxa"/>
            </w:tcMar>
            <w:shd w:fill="FFFFFF"/>
          </w:tcPr>
          <w:p>
            <w:pPr>
              <w:spacing w:after="0" w:line="247" w:lineRule="auto"/>
            </w:pPr>
            <w:r>
              <w:rPr>
                <w:b w:val="0"/>
                <w:color w:val="000000"/>
                <w:sz w:val="18"/>
              </w:rPr>
              <w:t>Check-in: 0 of 4 prompt clickers completed</w:t>
            </w:r>
          </w:p>
        </w:tc>
        <w:tc>
          <w:tcPr>
            <w:tcW w:type="dxa" w:w="3341"/>
            <w:vAlign w:val="center"/>
            <w:tcMar>
              <w:top w:w="85" w:type="dxa"/>
              <w:bottom w:w="85" w:type="dxa"/>
              <w:left w:w="110" w:type="dxa"/>
              <w:right w:w="110" w:type="dxa"/>
            </w:tcMar>
            <w:shd w:fill="FFFFFF"/>
          </w:tcPr>
          <w:p>
            <w:pPr>
              <w:spacing w:after="0" w:line="247" w:lineRule="auto"/>
            </w:pPr>
            <w:r>
              <w:rPr>
                <w:b w:val="0"/>
                <w:color w:val="000000"/>
                <w:sz w:val="18"/>
              </w:rPr>
              <w:t>At least 80% completion with 20 eligible distinct clickers; no duplicate awards</w:t>
            </w:r>
          </w:p>
        </w:tc>
        <w:tc>
          <w:tcPr>
            <w:tcW w:type="dxa" w:w="3830"/>
            <w:vAlign w:val="center"/>
            <w:tcMar>
              <w:top w:w="85" w:type="dxa"/>
              <w:bottom w:w="85" w:type="dxa"/>
              <w:left w:w="110" w:type="dxa"/>
              <w:right w:w="110" w:type="dxa"/>
            </w:tcMar>
            <w:shd w:fill="FFFFFF"/>
          </w:tcPr>
          <w:p>
            <w:pPr>
              <w:spacing w:after="0" w:line="247" w:lineRule="auto"/>
            </w:pPr>
            <w:r>
              <w:rPr>
                <w:b w:val="0"/>
                <w:color w:val="000000"/>
                <w:sz w:val="18"/>
              </w:rPr>
              <w:t>Distinct eligible users with a persisted check-in within 10 minutes of a prompt click / eligible distinct clickers. Engineering and QA.</w:t>
            </w:r>
          </w:p>
        </w:tc>
      </w:tr>
      <w:tr>
        <w:trPr>
          <w:cantSplit/>
        </w:trPr>
        <w:tc>
          <w:tcPr>
            <w:tcW w:type="dxa" w:w="2995"/>
            <w:vAlign w:val="center"/>
            <w:tcMar>
              <w:top w:w="85" w:type="dxa"/>
              <w:bottom w:w="85" w:type="dxa"/>
              <w:left w:w="110" w:type="dxa"/>
              <w:right w:w="110" w:type="dxa"/>
            </w:tcMar>
            <w:shd w:fill="F1F4F6"/>
          </w:tcPr>
          <w:p>
            <w:pPr>
              <w:spacing w:after="0" w:line="247" w:lineRule="auto"/>
            </w:pPr>
            <w:r>
              <w:rPr>
                <w:b w:val="0"/>
                <w:color w:val="000000"/>
                <w:sz w:val="18"/>
              </w:rPr>
              <w:t>Onboarding to circle: 0 of 5</w:t>
            </w:r>
          </w:p>
        </w:tc>
        <w:tc>
          <w:tcPr>
            <w:tcW w:type="dxa" w:w="3341"/>
            <w:vAlign w:val="center"/>
            <w:tcMar>
              <w:top w:w="85" w:type="dxa"/>
              <w:bottom w:w="85" w:type="dxa"/>
              <w:left w:w="110" w:type="dxa"/>
              <w:right w:w="110" w:type="dxa"/>
            </w:tcMar>
            <w:shd w:fill="F1F4F6"/>
          </w:tcPr>
          <w:p>
            <w:pPr>
              <w:spacing w:after="0" w:line="247" w:lineRule="auto"/>
            </w:pPr>
            <w:r>
              <w:rPr>
                <w:b w:val="0"/>
                <w:color w:val="000000"/>
                <w:sz w:val="18"/>
              </w:rPr>
              <w:t>At least 50% join within 24 hours, with 20 completed onboardings</w:t>
            </w:r>
          </w:p>
        </w:tc>
        <w:tc>
          <w:tcPr>
            <w:tcW w:type="dxa" w:w="3830"/>
            <w:vAlign w:val="center"/>
            <w:tcMar>
              <w:top w:w="85" w:type="dxa"/>
              <w:bottom w:w="85" w:type="dxa"/>
              <w:left w:w="110" w:type="dxa"/>
              <w:right w:w="110" w:type="dxa"/>
            </w:tcMar>
            <w:shd w:fill="F1F4F6"/>
          </w:tcPr>
          <w:p>
            <w:pPr>
              <w:spacing w:after="0" w:line="247" w:lineRule="auto"/>
            </w:pPr>
            <w:r>
              <w:rPr>
                <w:b w:val="0"/>
                <w:color w:val="000000"/>
                <w:sz w:val="18"/>
              </w:rPr>
              <w:t>Confirmed circle membership / new onboarded users, excluding prior members. Product and analytics.</w:t>
            </w:r>
          </w:p>
        </w:tc>
      </w:tr>
      <w:tr>
        <w:trPr>
          <w:cantSplit/>
        </w:trPr>
        <w:tc>
          <w:tcPr>
            <w:tcW w:type="dxa" w:w="2995"/>
            <w:vAlign w:val="center"/>
            <w:tcMar>
              <w:top w:w="85" w:type="dxa"/>
              <w:bottom w:w="85" w:type="dxa"/>
              <w:left w:w="110" w:type="dxa"/>
              <w:right w:w="110" w:type="dxa"/>
            </w:tcMar>
            <w:shd w:fill="FFFFFF"/>
          </w:tcPr>
          <w:p>
            <w:pPr>
              <w:spacing w:after="0" w:line="247" w:lineRule="auto"/>
            </w:pPr>
            <w:r>
              <w:rPr>
                <w:b w:val="0"/>
                <w:color w:val="000000"/>
                <w:sz w:val="18"/>
              </w:rPr>
              <w:t>Circle creation 0; joins 12; invites 1</w:t>
            </w:r>
          </w:p>
        </w:tc>
        <w:tc>
          <w:tcPr>
            <w:tcW w:type="dxa" w:w="3341"/>
            <w:vAlign w:val="center"/>
            <w:tcMar>
              <w:top w:w="85" w:type="dxa"/>
              <w:bottom w:w="85" w:type="dxa"/>
              <w:left w:w="110" w:type="dxa"/>
              <w:right w:w="110" w:type="dxa"/>
            </w:tcMar>
            <w:shd w:fill="FFFFFF"/>
          </w:tcPr>
          <w:p>
            <w:pPr>
              <w:spacing w:after="0" w:line="247" w:lineRule="auto"/>
            </w:pPr>
            <w:r>
              <w:rPr>
                <w:b w:val="0"/>
                <w:color w:val="000000"/>
                <w:sz w:val="18"/>
              </w:rPr>
              <w:t>3 active pilot circles; 10 additional distinct joiners; 5 distinct inviters</w:t>
            </w:r>
          </w:p>
        </w:tc>
        <w:tc>
          <w:tcPr>
            <w:tcW w:type="dxa" w:w="3830"/>
            <w:vAlign w:val="center"/>
            <w:tcMar>
              <w:top w:w="85" w:type="dxa"/>
              <w:bottom w:w="85" w:type="dxa"/>
              <w:left w:w="110" w:type="dxa"/>
              <w:right w:w="110" w:type="dxa"/>
            </w:tcMar>
            <w:shd w:fill="FFFFFF"/>
          </w:tcPr>
          <w:p>
            <w:pPr>
              <w:spacing w:after="0" w:line="247" w:lineRule="auto"/>
            </w:pPr>
            <w:r>
              <w:rPr>
                <w:b w:val="0"/>
                <w:color w:val="000000"/>
                <w:sz w:val="18"/>
              </w:rPr>
              <w:t>Active circle has at least 5 members and 3 distinct participants in 7 days. Count provider communities separately. Community lead.</w:t>
            </w:r>
          </w:p>
        </w:tc>
      </w:tr>
      <w:tr>
        <w:trPr>
          <w:cantSplit/>
        </w:trPr>
        <w:tc>
          <w:tcPr>
            <w:tcW w:type="dxa" w:w="2995"/>
            <w:vAlign w:val="center"/>
            <w:tcMar>
              <w:top w:w="85" w:type="dxa"/>
              <w:bottom w:w="85" w:type="dxa"/>
              <w:left w:w="110" w:type="dxa"/>
              <w:right w:w="110" w:type="dxa"/>
            </w:tcMar>
            <w:shd w:fill="F1F4F6"/>
          </w:tcPr>
          <w:p>
            <w:pPr>
              <w:spacing w:after="0" w:line="247" w:lineRule="auto"/>
            </w:pPr>
            <w:r>
              <w:rPr>
                <w:b w:val="0"/>
                <w:color w:val="000000"/>
                <w:sz w:val="18"/>
              </w:rPr>
              <w:t>Peak daily active testers 6</w:t>
            </w:r>
          </w:p>
        </w:tc>
        <w:tc>
          <w:tcPr>
            <w:tcW w:type="dxa" w:w="3341"/>
            <w:vAlign w:val="center"/>
            <w:tcMar>
              <w:top w:w="85" w:type="dxa"/>
              <w:bottom w:w="85" w:type="dxa"/>
              <w:left w:w="110" w:type="dxa"/>
              <w:right w:w="110" w:type="dxa"/>
            </w:tcMar>
            <w:shd w:fill="F1F4F6"/>
          </w:tcPr>
          <w:p>
            <w:pPr>
              <w:spacing w:after="0" w:line="247" w:lineRule="auto"/>
            </w:pPr>
            <w:r>
              <w:rPr>
                <w:b w:val="0"/>
                <w:color w:val="000000"/>
                <w:sz w:val="18"/>
              </w:rPr>
              <w:t>20 to 30 weekly active pilot testers; 10 daily actives on 3 days</w:t>
            </w:r>
          </w:p>
        </w:tc>
        <w:tc>
          <w:tcPr>
            <w:tcW w:type="dxa" w:w="3830"/>
            <w:vAlign w:val="center"/>
            <w:tcMar>
              <w:top w:w="85" w:type="dxa"/>
              <w:bottom w:w="85" w:type="dxa"/>
              <w:left w:w="110" w:type="dxa"/>
              <w:right w:w="110" w:type="dxa"/>
            </w:tcMar>
            <w:shd w:fill="F1F4F6"/>
          </w:tcPr>
          <w:p>
            <w:pPr>
              <w:spacing w:after="0" w:line="247" w:lineRule="auto"/>
            </w:pPr>
            <w:r>
              <w:rPr>
                <w:b w:val="0"/>
                <w:color w:val="000000"/>
                <w:sz w:val="18"/>
              </w:rPr>
              <w:t>A weekly active tester completes a check-in, join, or booking request in 7 days. Count unique pilot users. Product.</w:t>
            </w:r>
          </w:p>
        </w:tc>
      </w:tr>
      <w:tr>
        <w:trPr>
          <w:cantSplit/>
        </w:trPr>
        <w:tc>
          <w:tcPr>
            <w:tcW w:type="dxa" w:w="2995"/>
            <w:vAlign w:val="center"/>
            <w:tcMar>
              <w:top w:w="85" w:type="dxa"/>
              <w:bottom w:w="85" w:type="dxa"/>
              <w:left w:w="110" w:type="dxa"/>
              <w:right w:w="110" w:type="dxa"/>
            </w:tcMar>
            <w:shd w:fill="FFFFFF"/>
          </w:tcPr>
          <w:p>
            <w:pPr>
              <w:spacing w:after="0" w:line="247" w:lineRule="auto"/>
            </w:pPr>
            <w:r>
              <w:rPr>
                <w:b w:val="0"/>
                <w:color w:val="000000"/>
                <w:sz w:val="18"/>
              </w:rPr>
              <w:t>Day 1 best cohort 66.7%; Day 2 to 3 16.7%; broad retention weak</w:t>
            </w:r>
          </w:p>
        </w:tc>
        <w:tc>
          <w:tcPr>
            <w:tcW w:type="dxa" w:w="3341"/>
            <w:vAlign w:val="center"/>
            <w:tcMar>
              <w:top w:w="85" w:type="dxa"/>
              <w:bottom w:w="85" w:type="dxa"/>
              <w:left w:w="110" w:type="dxa"/>
              <w:right w:w="110" w:type="dxa"/>
            </w:tcMar>
            <w:shd w:fill="FFFFFF"/>
          </w:tcPr>
          <w:p>
            <w:pPr>
              <w:spacing w:after="0" w:line="247" w:lineRule="auto"/>
            </w:pPr>
            <w:r>
              <w:rPr>
                <w:b w:val="0"/>
                <w:color w:val="000000"/>
                <w:sz w:val="18"/>
              </w:rPr>
              <w:t>Day 1 at least 40%; Day 7 at least 20%; each with 20 mature users</w:t>
            </w:r>
          </w:p>
        </w:tc>
        <w:tc>
          <w:tcPr>
            <w:tcW w:type="dxa" w:w="3830"/>
            <w:vAlign w:val="center"/>
            <w:tcMar>
              <w:top w:w="85" w:type="dxa"/>
              <w:bottom w:w="85" w:type="dxa"/>
              <w:left w:w="110" w:type="dxa"/>
              <w:right w:w="110" w:type="dxa"/>
            </w:tcMar>
            <w:shd w:fill="FFFFFF"/>
          </w:tcPr>
          <w:p>
            <w:pPr>
              <w:spacing w:after="0" w:line="247" w:lineRule="auto"/>
            </w:pPr>
            <w:r>
              <w:rPr>
                <w:b w:val="0"/>
                <w:color w:val="000000"/>
                <w:sz w:val="18"/>
              </w:rPr>
              <w:t>Return with a meaningful action on local calendar Day 1 or Day 7 after first activation. Also retain app-open retention for historical comparison. Analytics.</w:t>
            </w:r>
          </w:p>
        </w:tc>
      </w:tr>
      <w:tr>
        <w:trPr>
          <w:cantSplit/>
        </w:trPr>
        <w:tc>
          <w:tcPr>
            <w:tcW w:type="dxa" w:w="2995"/>
            <w:vAlign w:val="center"/>
            <w:tcMar>
              <w:top w:w="85" w:type="dxa"/>
              <w:bottom w:w="85" w:type="dxa"/>
              <w:left w:w="110" w:type="dxa"/>
              <w:right w:w="110" w:type="dxa"/>
            </w:tcMar>
            <w:shd w:fill="F1F4F6"/>
          </w:tcPr>
          <w:p>
            <w:pPr>
              <w:spacing w:after="0" w:line="247" w:lineRule="auto"/>
            </w:pPr>
            <w:r>
              <w:rPr>
                <w:b w:val="0"/>
                <w:color w:val="000000"/>
                <w:sz w:val="18"/>
              </w:rPr>
              <w:t>Booking: 6 starts; 0 confirmed; pathway not live</w:t>
            </w:r>
          </w:p>
        </w:tc>
        <w:tc>
          <w:tcPr>
            <w:tcW w:type="dxa" w:w="3341"/>
            <w:vAlign w:val="center"/>
            <w:tcMar>
              <w:top w:w="85" w:type="dxa"/>
              <w:bottom w:w="85" w:type="dxa"/>
              <w:left w:w="110" w:type="dxa"/>
              <w:right w:w="110" w:type="dxa"/>
            </w:tcMar>
            <w:shd w:fill="F1F4F6"/>
          </w:tcPr>
          <w:p>
            <w:pPr>
              <w:spacing w:after="0" w:line="247" w:lineRule="auto"/>
            </w:pPr>
            <w:r>
              <w:rPr>
                <w:b w:val="0"/>
                <w:color w:val="000000"/>
                <w:sz w:val="18"/>
              </w:rPr>
              <w:t>1 live provider; 10 eligible requesters; at least 60% accepted within 1 business day; 5 fulfilled bookings</w:t>
            </w:r>
          </w:p>
        </w:tc>
        <w:tc>
          <w:tcPr>
            <w:tcW w:type="dxa" w:w="3830"/>
            <w:vAlign w:val="center"/>
            <w:tcMar>
              <w:top w:w="85" w:type="dxa"/>
              <w:bottom w:w="85" w:type="dxa"/>
              <w:left w:w="110" w:type="dxa"/>
              <w:right w:w="110" w:type="dxa"/>
            </w:tcMar>
            <w:shd w:fill="F1F4F6"/>
          </w:tcPr>
          <w:p>
            <w:pPr>
              <w:spacing w:after="0" w:line="247" w:lineRule="auto"/>
            </w:pPr>
            <w:r>
              <w:rPr>
                <w:b w:val="0"/>
                <w:color w:val="000000"/>
                <w:sz w:val="18"/>
              </w:rPr>
              <w:t>Eligible means live service and offered slot. Acceptance is staff confirmation; fulfillment is verified attendance. Operations and engineering.</w:t>
            </w:r>
          </w:p>
        </w:tc>
      </w:tr>
      <w:tr>
        <w:trPr>
          <w:cantSplit/>
        </w:trPr>
        <w:tc>
          <w:tcPr>
            <w:tcW w:type="dxa" w:w="2995"/>
            <w:vAlign w:val="center"/>
            <w:tcMar>
              <w:top w:w="85" w:type="dxa"/>
              <w:bottom w:w="85" w:type="dxa"/>
              <w:left w:w="110" w:type="dxa"/>
              <w:right w:w="110" w:type="dxa"/>
            </w:tcMar>
            <w:shd w:fill="FFFFFF"/>
          </w:tcPr>
          <w:p>
            <w:pPr>
              <w:spacing w:after="0" w:line="247" w:lineRule="auto"/>
            </w:pPr>
            <w:r>
              <w:rPr>
                <w:b w:val="0"/>
                <w:color w:val="000000"/>
                <w:sz w:val="18"/>
              </w:rPr>
              <w:t>Reward redemption starts 2 events</w:t>
            </w:r>
          </w:p>
        </w:tc>
        <w:tc>
          <w:tcPr>
            <w:tcW w:type="dxa" w:w="3341"/>
            <w:vAlign w:val="center"/>
            <w:tcMar>
              <w:top w:w="85" w:type="dxa"/>
              <w:bottom w:w="85" w:type="dxa"/>
              <w:left w:w="110" w:type="dxa"/>
              <w:right w:w="110" w:type="dxa"/>
            </w:tcMar>
            <w:shd w:fill="FFFFFF"/>
          </w:tcPr>
          <w:p>
            <w:pPr>
              <w:spacing w:after="0" w:line="247" w:lineRule="auto"/>
            </w:pPr>
            <w:r>
              <w:rPr>
                <w:b w:val="0"/>
                <w:color w:val="000000"/>
                <w:sz w:val="18"/>
              </w:rPr>
              <w:t>3 verified redemptions from 3 users; no duplicate debit or over-redemption</w:t>
            </w:r>
          </w:p>
        </w:tc>
        <w:tc>
          <w:tcPr>
            <w:tcW w:type="dxa" w:w="3830"/>
            <w:vAlign w:val="center"/>
            <w:tcMar>
              <w:top w:w="85" w:type="dxa"/>
              <w:bottom w:w="85" w:type="dxa"/>
              <w:left w:w="110" w:type="dxa"/>
              <w:right w:w="110" w:type="dxa"/>
            </w:tcMar>
            <w:shd w:fill="FFFFFF"/>
          </w:tcPr>
          <w:p>
            <w:pPr>
              <w:spacing w:after="0" w:line="247" w:lineRule="auto"/>
            </w:pPr>
            <w:r>
              <w:rPr>
                <w:b w:val="0"/>
                <w:color w:val="000000"/>
                <w:sz w:val="18"/>
              </w:rPr>
              <w:t>Issued, redeemed, and fulfilled states reconciled to inventory and points ledger. Provider operations.</w:t>
            </w:r>
          </w:p>
        </w:tc>
      </w:tr>
      <w:tr>
        <w:trPr>
          <w:cantSplit/>
        </w:trPr>
        <w:tc>
          <w:tcPr>
            <w:tcW w:type="dxa" w:w="2995"/>
            <w:vAlign w:val="center"/>
            <w:tcMar>
              <w:top w:w="85" w:type="dxa"/>
              <w:bottom w:w="85" w:type="dxa"/>
              <w:left w:w="110" w:type="dxa"/>
              <w:right w:w="110" w:type="dxa"/>
            </w:tcMar>
            <w:shd w:fill="F1F4F6"/>
          </w:tcPr>
          <w:p>
            <w:pPr>
              <w:spacing w:after="0" w:line="247" w:lineRule="auto"/>
            </w:pPr>
            <w:r>
              <w:rPr>
                <w:b w:val="0"/>
                <w:color w:val="000000"/>
                <w:sz w:val="18"/>
              </w:rPr>
              <w:t>Explore category coverage 66 of 251, or 26.3%; share events inconsistent</w:t>
            </w:r>
          </w:p>
        </w:tc>
        <w:tc>
          <w:tcPr>
            <w:tcW w:type="dxa" w:w="3341"/>
            <w:vAlign w:val="center"/>
            <w:tcMar>
              <w:top w:w="85" w:type="dxa"/>
              <w:bottom w:w="85" w:type="dxa"/>
              <w:left w:w="110" w:type="dxa"/>
              <w:right w:w="110" w:type="dxa"/>
            </w:tcMar>
            <w:shd w:fill="F1F4F6"/>
          </w:tcPr>
          <w:p>
            <w:pPr>
              <w:spacing w:after="0" w:line="247" w:lineRule="auto"/>
            </w:pPr>
            <w:r>
              <w:rPr>
                <w:b w:val="0"/>
                <w:color w:val="000000"/>
                <w:sz w:val="18"/>
              </w:rPr>
              <w:t>At least 95% valid category coverage; at least 95% download sessions with a preceding show</w:t>
            </w:r>
          </w:p>
        </w:tc>
        <w:tc>
          <w:tcPr>
            <w:tcW w:type="dxa" w:w="3830"/>
            <w:vAlign w:val="center"/>
            <w:tcMar>
              <w:top w:w="85" w:type="dxa"/>
              <w:bottom w:w="85" w:type="dxa"/>
              <w:left w:w="110" w:type="dxa"/>
              <w:right w:w="110" w:type="dxa"/>
            </w:tcMar>
            <w:shd w:fill="F1F4F6"/>
          </w:tcPr>
          <w:p>
            <w:pPr>
              <w:spacing w:after="0" w:line="247" w:lineRule="auto"/>
            </w:pPr>
            <w:r>
              <w:rPr>
                <w:b w:val="0"/>
                <w:color w:val="000000"/>
                <w:sz w:val="18"/>
              </w:rPr>
              <w:t>Use normalized categories including explicit all; link card events by card instance and session. Analytics.</w:t>
            </w:r>
          </w:p>
        </w:tc>
      </w:tr>
      <w:tr>
        <w:trPr>
          <w:cantSplit/>
        </w:trPr>
        <w:tc>
          <w:tcPr>
            <w:tcW w:type="dxa" w:w="2995"/>
            <w:vAlign w:val="center"/>
            <w:tcMar>
              <w:top w:w="85" w:type="dxa"/>
              <w:bottom w:w="85" w:type="dxa"/>
              <w:left w:w="110" w:type="dxa"/>
              <w:right w:w="110" w:type="dxa"/>
            </w:tcMar>
            <w:shd w:fill="FFFFFF"/>
          </w:tcPr>
          <w:p>
            <w:pPr>
              <w:spacing w:after="0" w:line="247" w:lineRule="auto"/>
            </w:pPr>
            <w:r>
              <w:rPr>
                <w:b w:val="0"/>
                <w:color w:val="000000"/>
                <w:sz w:val="18"/>
              </w:rPr>
              <w:t>Instagram bio link taps 4 / 150 profile visits, or 2.7%</w:t>
            </w:r>
          </w:p>
        </w:tc>
        <w:tc>
          <w:tcPr>
            <w:tcW w:type="dxa" w:w="3341"/>
            <w:vAlign w:val="center"/>
            <w:tcMar>
              <w:top w:w="85" w:type="dxa"/>
              <w:bottom w:w="85" w:type="dxa"/>
              <w:left w:w="110" w:type="dxa"/>
              <w:right w:w="110" w:type="dxa"/>
            </w:tcMar>
            <w:shd w:fill="FFFFFF"/>
          </w:tcPr>
          <w:p>
            <w:pPr>
              <w:spacing w:after="0" w:line="247" w:lineRule="auto"/>
            </w:pPr>
            <w:r>
              <w:rPr>
                <w:b w:val="0"/>
                <w:color w:val="000000"/>
                <w:sz w:val="18"/>
              </w:rPr>
              <w:t>At least 5% taps / profile visits over an equal 30 day window; all campaign links tagged</w:t>
            </w:r>
          </w:p>
        </w:tc>
        <w:tc>
          <w:tcPr>
            <w:tcW w:type="dxa" w:w="3830"/>
            <w:vAlign w:val="center"/>
            <w:tcMar>
              <w:top w:w="85" w:type="dxa"/>
              <w:bottom w:w="85" w:type="dxa"/>
              <w:left w:w="110" w:type="dxa"/>
              <w:right w:w="110" w:type="dxa"/>
            </w:tcMar>
            <w:shd w:fill="FFFFFF"/>
          </w:tcPr>
          <w:p>
            <w:pPr>
              <w:spacing w:after="0" w:line="247" w:lineRule="auto"/>
            </w:pPr>
            <w:r>
              <w:rPr>
                <w:b w:val="0"/>
                <w:color w:val="000000"/>
                <w:sz w:val="18"/>
              </w:rPr>
              <w:t>Supporting acquisition metric. Track link visits to first meaningful action separately. Marketing.</w:t>
            </w:r>
          </w:p>
        </w:tc>
      </w:tr>
    </w:tbl>
    <w:p>
      <w:pPr>
        <w:spacing w:after="0"/>
      </w:pPr>
    </w:p>
    <w:p>
      <w:r>
        <w:t>Minimum denominators are evidence gates, not statistical guarantees. Show “insufficient evidence” if a cohort is too small or not old enough. Retention targets use the new action-based definition; rebaseline it before comparing with the report. Weekly activity is more useful than a single peak DAU.</w:t>
      </w:r>
    </w:p>
    <w:p>
      <w:r>
        <w:br w:type="page"/>
      </w:r>
    </w:p>
    <w:p>
      <w:pPr>
        <w:pStyle w:val="Heading1"/>
      </w:pPr>
      <w:r>
        <w:t>2 Restore check in and simplify daily use</w:t>
      </w:r>
    </w:p>
    <w:p>
      <w:pPr>
        <w:pStyle w:val="Heading2"/>
      </w:pPr>
      <w:r>
        <w:t>P0 Trace the failure before choosing the fix</w:t>
      </w:r>
    </w:p>
    <w:p>
      <w:r>
        <w:t>Engineering and QA reproduce prompt to completion on the deployed Telegram Mini App and standalone web app. Match each attempt to authentication, community membership, POST /communities/{id}/checkin, database state, the API response, UI state, and the PostHog event. Capture the deployed build and configuration so a local implementation is not mistaken for production behavior.</w:t>
      </w:r>
    </w:p>
    <w:p>
      <w:r>
        <w:t>The repository already includes useCheckin.js, CheckinCard.jsx, an analytics queue, and backend check-in logic. A missing analytics event alone cannot establish whether the transaction failed. If database check-ins exist, repair tracking and validate streak behavior. If writes fail, repair the API, eligibility, or authentication path. If users cannot reach a check-in community, fix that membership journey first.</w:t>
      </w:r>
    </w:p>
    <w:p>
      <w:pPr>
        <w:pStyle w:val="Heading2"/>
      </w:pPr>
      <w:r>
        <w:t>Daily journey and feedback</w:t>
      </w:r>
    </w:p>
    <w:p>
      <w:pPr>
        <w:pStyle w:val="ListBullet"/>
      </w:pPr>
      <w:r>
        <w:t>Show one clear home action: “Check in today” for an eligible community. For a user with no check-in community, offer “Join a community to check in” and explain the next step. A social circle membership must not imply check-in eligibility unless the backend supports it.</w:t>
      </w:r>
    </w:p>
    <w:p>
      <w:pPr>
        <w:pStyle w:val="ListBullet"/>
      </w:pPr>
      <w:r>
        <w:t>Keep the button visible and labeled; show progress during submission, a persisted success state, the next check-in time, and a clear recovery option on failure. Preserve the user’s place after a retry or reopening the app.</w:t>
      </w:r>
    </w:p>
    <w:p>
      <w:pPr>
        <w:pStyle w:val="ListBullet"/>
      </w:pPr>
      <w:r>
        <w:t>Explain streaks and actual rewards in plain language. Current backend daily check-ins are streak-only and award zero routine points; challenge and other awards have separate rules. Align success copy and reminders with the approved points economy.</w:t>
      </w:r>
    </w:p>
    <w:p>
      <w:pPr>
        <w:pStyle w:val="ListBullet"/>
      </w:pPr>
      <w:r>
        <w:t>Define daily boundaries once across API, UI, and reminders. Proposed pilot timezone is Africa/Addis_Ababa; reconcile the current UTC-based behavior before changing it. Test midnight, missed days, comeback bonuses, and streak freezes.</w:t>
      </w:r>
    </w:p>
    <w:p>
      <w:pPr>
        <w:pStyle w:val="Heading2"/>
      </w:pPr>
      <w:r>
        <w:t>Technical acceptance and release evidence</w:t>
      </w:r>
    </w:p>
    <w:p>
      <w:r>
        <w:t>Run at least 10 controlled production attempts across 5 pilot test accounts and both app surfaces. Each eligible attempt must produce the expected persisted state and observable event; a double tap, retry, or repeat same-day attempt must not increment the same streak or award twice. Verify refresh, slow connection, expired session, membership changes, and analytics blocked by the browser. A tracking failure must not prevent a valid check-in.</w:t>
      </w:r>
    </w:p>
    <w:p>
      <w:r>
        <w:t>Exercise milestone, personal best, and comeback cases in staging with controlled dates, and retain results from backend engagement tests. In production, observe legitimate milestones as users become eligible; do not manufacture pilot activity. Link analytics success to a transaction identifier, with retries deduplicated. QA records expected and actual outcomes and approves the release.</w:t>
      </w:r>
    </w:p>
    <w:p>
      <w:pPr>
        <w:pStyle w:val="Heading2"/>
      </w:pPr>
      <w:r>
        <w:t>Usability verification</w:t>
      </w:r>
    </w:p>
    <w:p>
      <w:r>
        <w:t>Product tests five tasks with 8 participants across Telegram and web, including English and Amharic users and at least 3 unfamiliar with the app: enter from a QR link, join a community, check in, find a relevant service, and submit a request once a provider is live. Proposed acceptance: at least 7 of 8 complete join and check-in without coaching; median first check-in within 2 minutes of authenticated entry; no blocking navigation or eligibility confusion.</w:t>
      </w:r>
    </w:p>
    <w:p>
      <w:r>
        <w:t>Check text at larger font sizes, keyboard and screen reader labels, small screens, Android and iOS Telegram views, back navigation, and slow connections. Record task failures and fix the largest repeated obstacles before expanding the cohort.</w:t>
      </w:r>
    </w:p>
    <w:p>
      <w:r>
        <w:br w:type="page"/>
      </w:r>
    </w:p>
    <w:p>
      <w:pPr>
        <w:pStyle w:val="Heading1"/>
      </w:pPr>
      <w:r>
        <w:t>3 Activate communities and support repeat use</w:t>
      </w:r>
    </w:p>
    <w:p>
      <w:pPr>
        <w:pStyle w:val="Heading2"/>
      </w:pPr>
      <w:r>
        <w:t>P1 Make onboarding lead to a first action</w:t>
      </w:r>
    </w:p>
    <w:p>
      <w:r>
        <w:t>Show up to two relevant, joinable groups with their purpose, next activity, member count, and a clear Join button. Keep optional profile details skippable and preserve progress. After a successful join, confirm membership and offer the first activity. A skip remains available, with a visible community recommendation on the home screen.</w:t>
      </w:r>
    </w:p>
    <w:p>
      <w:r>
        <w:t>Current onboarding mixes user-created circles with provider communities backed by different APIs; some community suggestions use mock catalog data. Product and engineering must define which membership the pilot needs and load production records with valid identifiers. Emit circle_joined or community_joined only after the corresponding server membership exists. A selected recommendation is not a completed join.</w:t>
      </w:r>
    </w:p>
    <w:p>
      <w:pPr>
        <w:pStyle w:val="Heading2"/>
      </w:pPr>
      <w:r>
        <w:t>P1 Create circles through existing events</w:t>
      </w:r>
    </w:p>
    <w:p>
      <w:r>
        <w:t>Community operations identifies three hosts from existing running, gym, or yoga groups, then helps each create a circle with a name, purpose, cover image, next activity, and tagged invitation. After an event, offer a direct link to its circle and one useful follow-up action. Validate creation permissions, empty states, validation errors, and successful persistence before treating zero creations as a usability failure.</w:t>
      </w:r>
    </w:p>
    <w:p>
      <w:r>
        <w:t>Gym and yoga represent 71% of the 66 categorized explore events, so use them as initial discovery candidates. The 74% untagged share limits this signal. Recheck category preferences after tagging is repaired and keep resort services visible according to actual availability.</w:t>
      </w:r>
    </w:p>
    <w:p>
      <w:pPr>
        <w:pStyle w:val="Heading2"/>
      </w:pPr>
      <w:r>
        <w:t>P1 Add a Day 1 return path</w:t>
      </w:r>
    </w:p>
    <w:p>
      <w:r>
        <w:t>Add a scheduled reminder roughly 24 hours after first activation for users who have not returned. Telegram delivery requires a reachable bot chat and the user’s notification preference; offer an in-app return prompt for users without a bot channel. Link directly to the next eligible activity. Show the community’s upcoming session or actual streak state so the message has a specific purpose.</w:t>
      </w:r>
    </w:p>
    <w:p>
      <w:pPr>
        <w:pStyle w:val="ListBullet"/>
      </w:pPr>
      <w:r>
        <w:t>Engineering stores eligibility and send status, runs the job on a reliable worker, and prevents duplicate sends. Coordinate with existing streak, engagement, weekly, and seven-day inactivity jobs; proposed cap is one proactive pilot reminder per user per day.</w:t>
      </w:r>
    </w:p>
    <w:p>
      <w:pPr>
        <w:pStyle w:val="ListBullet"/>
      </w:pPr>
      <w:r>
        <w:t>Suppress reminders after completion, booking cancellation where relevant, opt-out, blocked bot delivery, or loss of membership. Log sent, failed, reentry_open, and the subsequent action; Telegram delivery does not prove the message was read.</w:t>
      </w:r>
    </w:p>
    <w:p>
      <w:pPr>
        <w:pStyle w:val="ListBullet"/>
      </w:pPr>
      <w:r>
        <w:t>Measure eligible recipients who reopen within 24 hours and complete an action. With this cohort size, release sequentially and use interviews and observed counts; avoid claiming a statistically proven reminder effect.</w:t>
      </w:r>
    </w:p>
    <w:p>
      <w:pPr>
        <w:pStyle w:val="Heading2"/>
      </w:pPr>
      <w:r>
        <w:t>Acceptance and ownership</w:t>
      </w:r>
    </w:p>
    <w:p>
      <w:r>
        <w:t>Product owns recommendation copy and the first-action journey; engineering owns API state and notification scheduling; the community lead owns host recruitment and weekly activity. QA proves create, join, invitation, skipped onboarding, failed join, and return flows on both surfaces. Pass when real memberships survive refresh, all three circles have a named host and next activity, and reminder deduplication and opt-out tests pass.</w:t>
      </w:r>
    </w:p>
    <w:p>
      <w:r>
        <w:t>Track circles and provider communities separately, plus a combined “joined a group” activation measure if stakeholders need one. Use server identifiers to prevent double counting the same membership or invite.</w:t>
      </w:r>
    </w:p>
    <w:p>
      <w:r>
        <w:br w:type="page"/>
      </w:r>
    </w:p>
    <w:p>
      <w:pPr>
        <w:pStyle w:val="Heading1"/>
      </w:pPr>
      <w:r>
        <w:t>4 Enable booking fulfillment and usable rewards</w:t>
      </w:r>
    </w:p>
    <w:p>
      <w:pPr>
        <w:pStyle w:val="Heading2"/>
      </w:pPr>
      <w:r>
        <w:t>P0 Provider readiness and staff workflow</w:t>
      </w:r>
    </w:p>
    <w:p>
      <w:r>
        <w:t>Anteneh and provider operations select one pilot provider. Sosina supplies the approved service list, pricing, and reward terms; the provider supplies offered slots, a staff confirmation owner, a response window, cancellation rules, and fulfillment capacity. Mahlet coordinates agreement completion with the relevant signatories. Keep service cards honest about readiness and offer an explicit contact or interest action while booking is unavailable.</w:t>
      </w:r>
    </w:p>
    <w:p>
      <w:r>
        <w:t>Release a request flow showing service, location, date and local time, final ETB price, phone requirements, and “Pay on site” terms before submission. The initial success state must say “Request received” when staff acceptance is pending. Provide a persistent booking summary, request status, support contact, and cancellation route.</w:t>
      </w:r>
    </w:p>
    <w:p>
      <w:pPr>
        <w:pStyle w:val="Heading2"/>
      </w:pPr>
      <w:r>
        <w:t>P1 Separate request from confirmation and attendance</w:t>
      </w:r>
    </w:p>
    <w:p>
      <w:r>
        <w:t>Current BookingFlow.jsx fires booking_confirmed immediately after creating a pending request. Introduce booking_requested for successful creation, booking_accepted for staff acceptance, and booking_fulfilled for verified attendance. Record booking_rejected and booking_cancelled to explain losses. Version the dashboard definition and preserve the historical event rather than silently comparing incompatible periods.</w:t>
      </w:r>
    </w:p>
    <w:p>
      <w:r>
        <w:t>Provider staff use the portal or a reconciled export queue to accept or reject requests within one business day. Availability and price are validated on the server. Retries cannot create duplicate bookings. A request is not fulfilled until staff record attendance; collected payment is separate from projected booking value.</w:t>
      </w:r>
    </w:p>
    <w:p>
      <w:pPr>
        <w:pStyle w:val="Heading2"/>
      </w:pPr>
      <w:r>
        <w:t>P0 Resolve the IDS dependency with a fallback</w:t>
      </w:r>
    </w:p>
    <w:p>
      <w:r>
        <w:t>Aman arranges the IDS follow-up in Week 1 with Anteneh and Sosina. The meeting must establish the supported interface, required fields, credentials or sandbox access, local-time handling, status mapping, retry behavior, and a named support contact. Treat engineering readiness as reported status; complete an end-to-end acceptance test before calling integration operational.</w:t>
      </w:r>
    </w:p>
    <w:p>
      <w:r>
        <w:t>Follow the report’s sequence: Option A uses Revenue &amp; Distribution Connect; Option B uses a vendor-approved CSV/XML scheduled drop into FortuneNext Front Office. If neither interface is available by the end of Week 2, use the existing booking export with named staff reconciliation and daily exception review. A bounded staffed pilot may continue only when Kuriftu accepts this workflow. Keep automated PMS readiness as a separate open gate. Marketplace integration remains a later expansion item.</w:t>
      </w:r>
    </w:p>
    <w:p>
      <w:pPr>
        <w:pStyle w:val="Heading2"/>
      </w:pPr>
      <w:r>
        <w:t>P1 Publish rewards users can actually redeem</w:t>
      </w:r>
    </w:p>
    <w:p>
      <w:r>
        <w:t>After pricing and fulfillment approval, expose only funded rewards with clear eligibility, points cost, validity, inventory, location, and redemption instructions. Show progress toward one reachable reward without implying daily check-ins earn points. Implement an issued code, provider validation, a single ledger debit, fulfillment status, and reversal rules for failed redemption.</w:t>
      </w:r>
    </w:p>
    <w:p>
      <w:r>
        <w:t>Acceptance: staff complete 3 controlled booking cases in staging, including rejection or cancellation and retry; approve one real service for live requests; complete 5 real pilot bookings and 3 verified redemptions before the expansion review. Test timezone display, inventory exhaustion, concurrent redemption, and export/PMS reconciliation. Operations retains a request-to-attendance record for every pilot booking.</w:t>
      </w:r>
    </w:p>
    <w:p>
      <w:r>
        <w:br w:type="page"/>
      </w:r>
    </w:p>
    <w:p>
      <w:pPr>
        <w:pStyle w:val="Heading1"/>
      </w:pPr>
      <w:r>
        <w:t>5 Repair measurement and attribute acquisition</w:t>
      </w:r>
    </w:p>
    <w:p>
      <w:pPr>
        <w:pStyle w:val="Heading2"/>
      </w:pPr>
      <w:r>
        <w:t>P0 Establish consistent identities and events</w:t>
      </w:r>
    </w:p>
    <w:p>
      <w:r>
        <w:t>Analytics owns a versioned event dictionary and dashboards. Use the canonical backend user ID after authentication, a session ID for pre-login activity, and explicit aliasing when supported. Validate identity continuity across QR landing, Telegram, and web; report unmatched anonymous visits separately. Include surface, build version, event version, source, and timestamp where applicable. Avoid sending signed Telegram payloads or unnecessary personal data.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86"/>
        <w:gridCol w:w="4320"/>
        <w:gridCol w:w="4061"/>
      </w:tblGrid>
      <w:tr>
        <w:trPr>
          <w:cantSplit/>
          <w:tblHeader/>
        </w:trPr>
        <w:tc>
          <w:tcPr>
            <w:tcW w:type="dxa" w:w="1786"/>
            <w:vAlign w:val="center"/>
            <w:tcMar>
              <w:top w:w="85" w:type="dxa"/>
              <w:bottom w:w="85" w:type="dxa"/>
              <w:left w:w="110" w:type="dxa"/>
              <w:right w:w="110" w:type="dxa"/>
            </w:tcMar>
            <w:shd w:fill="243746"/>
          </w:tcPr>
          <w:p>
            <w:pPr>
              <w:spacing w:after="0" w:line="247" w:lineRule="auto"/>
            </w:pPr>
            <w:r>
              <w:rPr>
                <w:b/>
                <w:color w:val="FFFFFF"/>
                <w:sz w:val="18"/>
              </w:rPr>
              <w:t>Journey</w:t>
            </w:r>
          </w:p>
        </w:tc>
        <w:tc>
          <w:tcPr>
            <w:tcW w:type="dxa" w:w="4320"/>
            <w:vAlign w:val="center"/>
            <w:tcMar>
              <w:top w:w="85" w:type="dxa"/>
              <w:bottom w:w="85" w:type="dxa"/>
              <w:left w:w="110" w:type="dxa"/>
              <w:right w:w="110" w:type="dxa"/>
            </w:tcMar>
            <w:shd w:fill="243746"/>
          </w:tcPr>
          <w:p>
            <w:pPr>
              <w:spacing w:after="0" w:line="247" w:lineRule="auto"/>
            </w:pPr>
            <w:r>
              <w:rPr>
                <w:b/>
                <w:color w:val="FFFFFF"/>
                <w:sz w:val="18"/>
              </w:rPr>
              <w:t>Required measurement</w:t>
            </w:r>
          </w:p>
        </w:tc>
        <w:tc>
          <w:tcPr>
            <w:tcW w:type="dxa" w:w="4061"/>
            <w:vAlign w:val="center"/>
            <w:tcMar>
              <w:top w:w="85" w:type="dxa"/>
              <w:bottom w:w="85" w:type="dxa"/>
              <w:left w:w="110" w:type="dxa"/>
              <w:right w:w="110" w:type="dxa"/>
            </w:tcMar>
            <w:shd w:fill="243746"/>
          </w:tcPr>
          <w:p>
            <w:pPr>
              <w:spacing w:after="0" w:line="247" w:lineRule="auto"/>
            </w:pPr>
            <w:r>
              <w:rPr>
                <w:b/>
                <w:color w:val="FFFFFF"/>
                <w:sz w:val="18"/>
              </w:rPr>
              <w:t>Validation</w:t>
            </w:r>
          </w:p>
        </w:tc>
      </w:tr>
      <w:tr>
        <w:trPr>
          <w:cantSplit/>
        </w:trPr>
        <w:tc>
          <w:tcPr>
            <w:tcW w:type="dxa" w:w="1786"/>
            <w:vAlign w:val="center"/>
            <w:tcMar>
              <w:top w:w="85" w:type="dxa"/>
              <w:bottom w:w="85" w:type="dxa"/>
              <w:left w:w="110" w:type="dxa"/>
              <w:right w:w="110" w:type="dxa"/>
            </w:tcMar>
            <w:shd w:fill="FFFFFF"/>
          </w:tcPr>
          <w:p>
            <w:pPr>
              <w:spacing w:after="0" w:line="247" w:lineRule="auto"/>
            </w:pPr>
            <w:r>
              <w:rPr>
                <w:b w:val="0"/>
                <w:color w:val="000000"/>
                <w:sz w:val="18"/>
              </w:rPr>
              <w:t>Acquisition and activation</w:t>
            </w:r>
          </w:p>
        </w:tc>
        <w:tc>
          <w:tcPr>
            <w:tcW w:type="dxa" w:w="4320"/>
            <w:vAlign w:val="center"/>
            <w:tcMar>
              <w:top w:w="85" w:type="dxa"/>
              <w:bottom w:w="85" w:type="dxa"/>
              <w:left w:w="110" w:type="dxa"/>
              <w:right w:w="110" w:type="dxa"/>
            </w:tcMar>
            <w:shd w:fill="FFFFFF"/>
          </w:tcPr>
          <w:p>
            <w:pPr>
              <w:spacing w:after="0" w:line="247" w:lineRule="auto"/>
            </w:pPr>
            <w:r>
              <w:rPr>
                <w:b w:val="0"/>
                <w:color w:val="000000"/>
                <w:sz w:val="18"/>
              </w:rPr>
              <w:t>visit_page_viewed, visit_choice_telegram or visit_choice_web, app_open, onboarding_completed, first persisted action</w:t>
            </w:r>
          </w:p>
        </w:tc>
        <w:tc>
          <w:tcPr>
            <w:tcW w:type="dxa" w:w="4061"/>
            <w:vAlign w:val="center"/>
            <w:tcMar>
              <w:top w:w="85" w:type="dxa"/>
              <w:bottom w:w="85" w:type="dxa"/>
              <w:left w:w="110" w:type="dxa"/>
              <w:right w:w="110" w:type="dxa"/>
            </w:tcMar>
            <w:shd w:fill="FFFFFF"/>
          </w:tcPr>
          <w:p>
            <w:pPr>
              <w:spacing w:after="0" w:line="247" w:lineRule="auto"/>
            </w:pPr>
            <w:r>
              <w:rPr>
                <w:b w:val="0"/>
                <w:color w:val="000000"/>
                <w:sz w:val="18"/>
              </w:rPr>
              <w:t>Preserve src or campaign tags through redirects and authentication. Test Boston Day Spa and each new campaign on real devices.</w:t>
            </w:r>
          </w:p>
        </w:tc>
      </w:tr>
      <w:tr>
        <w:trPr>
          <w:cantSplit/>
        </w:trPr>
        <w:tc>
          <w:tcPr>
            <w:tcW w:type="dxa" w:w="1786"/>
            <w:vAlign w:val="center"/>
            <w:tcMar>
              <w:top w:w="85" w:type="dxa"/>
              <w:bottom w:w="85" w:type="dxa"/>
              <w:left w:w="110" w:type="dxa"/>
              <w:right w:w="110" w:type="dxa"/>
            </w:tcMar>
            <w:shd w:fill="F1F4F6"/>
          </w:tcPr>
          <w:p>
            <w:pPr>
              <w:spacing w:after="0" w:line="247" w:lineRule="auto"/>
            </w:pPr>
            <w:r>
              <w:rPr>
                <w:b w:val="0"/>
                <w:color w:val="000000"/>
                <w:sz w:val="18"/>
              </w:rPr>
              <w:t>Check-in</w:t>
            </w:r>
          </w:p>
        </w:tc>
        <w:tc>
          <w:tcPr>
            <w:tcW w:type="dxa" w:w="4320"/>
            <w:vAlign w:val="center"/>
            <w:tcMar>
              <w:top w:w="85" w:type="dxa"/>
              <w:bottom w:w="85" w:type="dxa"/>
              <w:left w:w="110" w:type="dxa"/>
              <w:right w:w="110" w:type="dxa"/>
            </w:tcMar>
            <w:shd w:fill="F1F4F6"/>
          </w:tcPr>
          <w:p>
            <w:pPr>
              <w:spacing w:after="0" w:line="247" w:lineRule="auto"/>
            </w:pPr>
            <w:r>
              <w:rPr>
                <w:b w:val="0"/>
                <w:color w:val="000000"/>
                <w:sz w:val="18"/>
              </w:rPr>
              <w:t>prompt view, prompt click, attempt result, checkin, applicable milestone events</w:t>
            </w:r>
          </w:p>
        </w:tc>
        <w:tc>
          <w:tcPr>
            <w:tcW w:type="dxa" w:w="4061"/>
            <w:vAlign w:val="center"/>
            <w:tcMar>
              <w:top w:w="85" w:type="dxa"/>
              <w:bottom w:w="85" w:type="dxa"/>
              <w:left w:w="110" w:type="dxa"/>
              <w:right w:w="110" w:type="dxa"/>
            </w:tcMar>
            <w:shd w:fill="F1F4F6"/>
          </w:tcPr>
          <w:p>
            <w:pPr>
              <w:spacing w:after="0" w:line="247" w:lineRule="auto"/>
            </w:pPr>
            <w:r>
              <w:rPr>
                <w:b w:val="0"/>
                <w:color w:val="000000"/>
                <w:sz w:val="18"/>
              </w:rPr>
              <w:t>Success corresponds to persisted state. Add failure reason codes and a transaction ID; deduplicate retries.</w:t>
            </w:r>
          </w:p>
        </w:tc>
      </w:tr>
      <w:tr>
        <w:trPr>
          <w:cantSplit/>
        </w:trPr>
        <w:tc>
          <w:tcPr>
            <w:tcW w:type="dxa" w:w="1786"/>
            <w:vAlign w:val="center"/>
            <w:tcMar>
              <w:top w:w="85" w:type="dxa"/>
              <w:bottom w:w="85" w:type="dxa"/>
              <w:left w:w="110" w:type="dxa"/>
              <w:right w:w="110" w:type="dxa"/>
            </w:tcMar>
            <w:shd w:fill="FFFFFF"/>
          </w:tcPr>
          <w:p>
            <w:pPr>
              <w:spacing w:after="0" w:line="247" w:lineRule="auto"/>
            </w:pPr>
            <w:r>
              <w:rPr>
                <w:b w:val="0"/>
                <w:color w:val="000000"/>
                <w:sz w:val="18"/>
              </w:rPr>
              <w:t>Community</w:t>
            </w:r>
          </w:p>
        </w:tc>
        <w:tc>
          <w:tcPr>
            <w:tcW w:type="dxa" w:w="4320"/>
            <w:vAlign w:val="center"/>
            <w:tcMar>
              <w:top w:w="85" w:type="dxa"/>
              <w:bottom w:w="85" w:type="dxa"/>
              <w:left w:w="110" w:type="dxa"/>
              <w:right w:w="110" w:type="dxa"/>
            </w:tcMar>
            <w:shd w:fill="FFFFFF"/>
          </w:tcPr>
          <w:p>
            <w:pPr>
              <w:spacing w:after="0" w:line="247" w:lineRule="auto"/>
            </w:pPr>
            <w:r>
              <w:rPr>
                <w:b w:val="0"/>
                <w:color w:val="000000"/>
                <w:sz w:val="18"/>
              </w:rPr>
              <w:t>circle_created, circle_joined, community_joined, invite shared and invite accepted</w:t>
            </w:r>
          </w:p>
        </w:tc>
        <w:tc>
          <w:tcPr>
            <w:tcW w:type="dxa" w:w="4061"/>
            <w:vAlign w:val="center"/>
            <w:tcMar>
              <w:top w:w="85" w:type="dxa"/>
              <w:bottom w:w="85" w:type="dxa"/>
              <w:left w:w="110" w:type="dxa"/>
              <w:right w:w="110" w:type="dxa"/>
            </w:tcMar>
            <w:shd w:fill="FFFFFF"/>
          </w:tcPr>
          <w:p>
            <w:pPr>
              <w:spacing w:after="0" w:line="247" w:lineRule="auto"/>
            </w:pPr>
            <w:r>
              <w:rPr>
                <w:b w:val="0"/>
                <w:color w:val="000000"/>
                <w:sz w:val="18"/>
              </w:rPr>
              <w:t>Use group type, ID, source, and server membership. Distinguish onboarding, discovery, and invite paths.</w:t>
            </w:r>
          </w:p>
        </w:tc>
      </w:tr>
      <w:tr>
        <w:trPr>
          <w:cantSplit/>
        </w:trPr>
        <w:tc>
          <w:tcPr>
            <w:tcW w:type="dxa" w:w="1786"/>
            <w:vAlign w:val="center"/>
            <w:tcMar>
              <w:top w:w="85" w:type="dxa"/>
              <w:bottom w:w="85" w:type="dxa"/>
              <w:left w:w="110" w:type="dxa"/>
              <w:right w:w="110" w:type="dxa"/>
            </w:tcMar>
            <w:shd w:fill="F1F4F6"/>
          </w:tcPr>
          <w:p>
            <w:pPr>
              <w:spacing w:after="0" w:line="247" w:lineRule="auto"/>
            </w:pPr>
            <w:r>
              <w:rPr>
                <w:b w:val="0"/>
                <w:color w:val="000000"/>
                <w:sz w:val="18"/>
              </w:rPr>
              <w:t>Discovery</w:t>
            </w:r>
          </w:p>
        </w:tc>
        <w:tc>
          <w:tcPr>
            <w:tcW w:type="dxa" w:w="4320"/>
            <w:vAlign w:val="center"/>
            <w:tcMar>
              <w:top w:w="85" w:type="dxa"/>
              <w:bottom w:w="85" w:type="dxa"/>
              <w:left w:w="110" w:type="dxa"/>
              <w:right w:w="110" w:type="dxa"/>
            </w:tcMar>
            <w:shd w:fill="F1F4F6"/>
          </w:tcPr>
          <w:p>
            <w:pPr>
              <w:spacing w:after="0" w:line="247" w:lineRule="auto"/>
            </w:pPr>
            <w:r>
              <w:rPr>
                <w:b w:val="0"/>
                <w:color w:val="000000"/>
                <w:sz w:val="18"/>
              </w:rPr>
              <w:t>explore_view with normalized category, view, and surface</w:t>
            </w:r>
          </w:p>
        </w:tc>
        <w:tc>
          <w:tcPr>
            <w:tcW w:type="dxa" w:w="4061"/>
            <w:vAlign w:val="center"/>
            <w:tcMar>
              <w:top w:w="85" w:type="dxa"/>
              <w:bottom w:w="85" w:type="dxa"/>
              <w:left w:w="110" w:type="dxa"/>
              <w:right w:w="110" w:type="dxa"/>
            </w:tcMar>
            <w:shd w:fill="F1F4F6"/>
          </w:tcPr>
          <w:p>
            <w:pPr>
              <w:spacing w:after="0" w:line="247" w:lineRule="auto"/>
            </w:pPr>
            <w:r>
              <w:rPr>
                <w:b w:val="0"/>
                <w:color w:val="000000"/>
                <w:sz w:val="18"/>
              </w:rPr>
              <w:t>Require explicit all for unfiltered views. Distinguish missing tags from all; category interest excludes all.</w:t>
            </w:r>
          </w:p>
        </w:tc>
      </w:tr>
      <w:tr>
        <w:trPr>
          <w:cantSplit/>
        </w:trPr>
        <w:tc>
          <w:tcPr>
            <w:tcW w:type="dxa" w:w="1786"/>
            <w:vAlign w:val="center"/>
            <w:tcMar>
              <w:top w:w="85" w:type="dxa"/>
              <w:bottom w:w="85" w:type="dxa"/>
              <w:left w:w="110" w:type="dxa"/>
              <w:right w:w="110" w:type="dxa"/>
            </w:tcMar>
            <w:shd w:fill="FFFFFF"/>
          </w:tcPr>
          <w:p>
            <w:pPr>
              <w:spacing w:after="0" w:line="247" w:lineRule="auto"/>
            </w:pPr>
            <w:r>
              <w:rPr>
                <w:b w:val="0"/>
                <w:color w:val="000000"/>
                <w:sz w:val="18"/>
              </w:rPr>
              <w:t>Sharing</w:t>
            </w:r>
          </w:p>
        </w:tc>
        <w:tc>
          <w:tcPr>
            <w:tcW w:type="dxa" w:w="4320"/>
            <w:vAlign w:val="center"/>
            <w:tcMar>
              <w:top w:w="85" w:type="dxa"/>
              <w:bottom w:w="85" w:type="dxa"/>
              <w:left w:w="110" w:type="dxa"/>
              <w:right w:w="110" w:type="dxa"/>
            </w:tcMar>
            <w:shd w:fill="FFFFFF"/>
          </w:tcPr>
          <w:p>
            <w:pPr>
              <w:spacing w:after="0" w:line="247" w:lineRule="auto"/>
            </w:pPr>
            <w:r>
              <w:rPr>
                <w:b w:val="0"/>
                <w:color w:val="000000"/>
                <w:sz w:val="18"/>
              </w:rPr>
              <w:t>share_card_shown, share_card_downloaded, share_card_shared</w:t>
            </w:r>
          </w:p>
        </w:tc>
        <w:tc>
          <w:tcPr>
            <w:tcW w:type="dxa" w:w="4061"/>
            <w:vAlign w:val="center"/>
            <w:tcMar>
              <w:top w:w="85" w:type="dxa"/>
              <w:bottom w:w="85" w:type="dxa"/>
              <w:left w:w="110" w:type="dxa"/>
              <w:right w:w="110" w:type="dxa"/>
            </w:tcMar>
            <w:shd w:fill="FFFFFF"/>
          </w:tcPr>
          <w:p>
            <w:pPr>
              <w:spacing w:after="0" w:line="247" w:lineRule="auto"/>
            </w:pPr>
            <w:r>
              <w:rPr>
                <w:b w:val="0"/>
                <w:color w:val="000000"/>
                <w:sz w:val="18"/>
              </w:rPr>
              <w:t>Join by card instance and session. Record repeated downloads separately; compare unique downloading sessions with shown sessions.</w:t>
            </w:r>
          </w:p>
        </w:tc>
      </w:tr>
      <w:tr>
        <w:trPr>
          <w:cantSplit/>
        </w:trPr>
        <w:tc>
          <w:tcPr>
            <w:tcW w:type="dxa" w:w="1786"/>
            <w:vAlign w:val="center"/>
            <w:tcMar>
              <w:top w:w="85" w:type="dxa"/>
              <w:bottom w:w="85" w:type="dxa"/>
              <w:left w:w="110" w:type="dxa"/>
              <w:right w:w="110" w:type="dxa"/>
            </w:tcMar>
            <w:shd w:fill="F1F4F6"/>
          </w:tcPr>
          <w:p>
            <w:pPr>
              <w:spacing w:after="0" w:line="247" w:lineRule="auto"/>
            </w:pPr>
            <w:r>
              <w:rPr>
                <w:b w:val="0"/>
                <w:color w:val="000000"/>
                <w:sz w:val="18"/>
              </w:rPr>
              <w:t>Booking and rewards</w:t>
            </w:r>
          </w:p>
        </w:tc>
        <w:tc>
          <w:tcPr>
            <w:tcW w:type="dxa" w:w="4320"/>
            <w:vAlign w:val="center"/>
            <w:tcMar>
              <w:top w:w="85" w:type="dxa"/>
              <w:bottom w:w="85" w:type="dxa"/>
              <w:left w:w="110" w:type="dxa"/>
              <w:right w:w="110" w:type="dxa"/>
            </w:tcMar>
            <w:shd w:fill="F1F4F6"/>
          </w:tcPr>
          <w:p>
            <w:pPr>
              <w:spacing w:after="0" w:line="247" w:lineRule="auto"/>
            </w:pPr>
            <w:r>
              <w:rPr>
                <w:b w:val="0"/>
                <w:color w:val="000000"/>
                <w:sz w:val="18"/>
              </w:rPr>
              <w:t>requested, accepted, fulfilled, cancelled; redemption started, issued, fulfilled or reversed</w:t>
            </w:r>
          </w:p>
        </w:tc>
        <w:tc>
          <w:tcPr>
            <w:tcW w:type="dxa" w:w="4061"/>
            <w:vAlign w:val="center"/>
            <w:tcMar>
              <w:top w:w="85" w:type="dxa"/>
              <w:bottom w:w="85" w:type="dxa"/>
              <w:left w:w="110" w:type="dxa"/>
              <w:right w:w="110" w:type="dxa"/>
            </w:tcMar>
            <w:shd w:fill="F1F4F6"/>
          </w:tcPr>
          <w:p>
            <w:pPr>
              <w:spacing w:after="0" w:line="247" w:lineRule="auto"/>
            </w:pPr>
            <w:r>
              <w:rPr>
                <w:b w:val="0"/>
                <w:color w:val="000000"/>
                <w:sz w:val="18"/>
              </w:rPr>
              <w:t>Reconcile booking IDs, provider states, inventory, and points ledger. Exclude unavailable providers from conversion denominators.</w:t>
            </w:r>
          </w:p>
        </w:tc>
      </w:tr>
    </w:tbl>
    <w:p>
      <w:pPr>
        <w:spacing w:after="0"/>
      </w:pPr>
    </w:p>
    <w:p>
      <w:pPr>
        <w:pStyle w:val="Heading2"/>
      </w:pPr>
      <w:r>
        <w:t>Interpret the historical discrepancies correctly</w:t>
      </w:r>
    </w:p>
    <w:p>
      <w:r>
        <w:t>The source counts imply 80% app-open to explore, 50% explore to booking-start (6/12), and 40% app-open to booking-start (6/15). Rebuild step conversion and overall conversion separately. The absence of live providers makes the historical booking-confirmation rate unsuitable as a failure benchmark.</w:t>
      </w:r>
    </w:p>
    <w:p>
      <w:r>
        <w:t>The report cites both “since Aug 2” and “90+ days” for absent check-ins; Aug 2 to Sep 27 is about 56 days. Validate the last real transaction and last captured event independently. The 202 streak-risk events are event counts, not 202 users or proof of valid streaks. Resolve their mismatch with zero tracked check-ins against database state.</w:t>
      </w:r>
    </w:p>
    <w:p>
      <w:r>
        <w:t>48 downloads from 11 card shows can include repeat downloads, event loss, identity problems, or differing event definitions. Check session-level paths before declaring the counts impossible. The report also says an event-to-circle workflow shipped while creation totals remain zero; verify deployed use and event coverage.</w:t>
      </w:r>
    </w:p>
    <w:p>
      <w:pPr>
        <w:pStyle w:val="Heading2"/>
      </w:pPr>
      <w:r>
        <w:t>Dashboard release gate</w:t>
      </w:r>
    </w:p>
    <w:p>
      <w:r>
        <w:t>Publish daily funnels, weekly activation and retention, provider fulfillment, and data-quality panels. Exclude staff, synthetic QA activity, and duplicate users from outcome metrics. Reconcile 20 controlled journeys against application records before sign-off; document lost events and unmatched identities. Annotate release dates and the Sep 21 funnel-launch date; do not attribute historical retention changes to a feature without supporting evidence.</w:t>
      </w:r>
    </w:p>
    <w:p>
      <w:r>
        <w:br w:type="page"/>
      </w:r>
    </w:p>
    <w:p>
      <w:pPr>
        <w:pStyle w:val="Heading1"/>
      </w:pPr>
      <w:r>
        <w:t>6 Delivery backlog and six week schedule</w:t>
      </w:r>
    </w:p>
    <w:p>
      <w:r>
        <w:t>This sequence assumes two engineers, part-time product/analytics and QA support, and named marketing and provider operations leads. These are capacity assumptions to confirm at kickoff. Estimates are combined engineering effort, not elapsed time; external meetings and partner approval have separate lead times.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63"/>
        <w:gridCol w:w="2419"/>
        <w:gridCol w:w="3384"/>
      </w:tblGrid>
      <w:tr>
        <w:trPr>
          <w:cantSplit/>
          <w:tblHeader/>
        </w:trPr>
        <w:tc>
          <w:tcPr>
            <w:tcW w:type="dxa" w:w="4363"/>
            <w:vAlign w:val="center"/>
            <w:tcMar>
              <w:top w:w="85" w:type="dxa"/>
              <w:bottom w:w="85" w:type="dxa"/>
              <w:left w:w="110" w:type="dxa"/>
              <w:right w:w="110" w:type="dxa"/>
            </w:tcMar>
            <w:shd w:fill="243746"/>
          </w:tcPr>
          <w:p>
            <w:pPr>
              <w:spacing w:after="0" w:line="247" w:lineRule="auto"/>
            </w:pPr>
            <w:r>
              <w:rPr>
                <w:b/>
                <w:color w:val="FFFFFF"/>
                <w:sz w:val="18"/>
              </w:rPr>
              <w:t>Work item and priority</w:t>
            </w:r>
          </w:p>
        </w:tc>
        <w:tc>
          <w:tcPr>
            <w:tcW w:type="dxa" w:w="2419"/>
            <w:vAlign w:val="center"/>
            <w:tcMar>
              <w:top w:w="85" w:type="dxa"/>
              <w:bottom w:w="85" w:type="dxa"/>
              <w:left w:w="110" w:type="dxa"/>
              <w:right w:w="110" w:type="dxa"/>
            </w:tcMar>
            <w:shd w:fill="243746"/>
          </w:tcPr>
          <w:p>
            <w:pPr>
              <w:spacing w:after="0" w:line="247" w:lineRule="auto"/>
            </w:pPr>
            <w:r>
              <w:rPr>
                <w:b/>
                <w:color w:val="FFFFFF"/>
                <w:sz w:val="18"/>
              </w:rPr>
              <w:t>Window and effort</w:t>
            </w:r>
          </w:p>
        </w:tc>
        <w:tc>
          <w:tcPr>
            <w:tcW w:type="dxa" w:w="3384"/>
            <w:vAlign w:val="center"/>
            <w:tcMar>
              <w:top w:w="85" w:type="dxa"/>
              <w:bottom w:w="85" w:type="dxa"/>
              <w:left w:w="110" w:type="dxa"/>
              <w:right w:w="110" w:type="dxa"/>
            </w:tcMar>
            <w:shd w:fill="243746"/>
          </w:tcPr>
          <w:p>
            <w:pPr>
              <w:spacing w:after="0" w:line="247" w:lineRule="auto"/>
            </w:pPr>
            <w:r>
              <w:rPr>
                <w:b/>
                <w:color w:val="FFFFFF"/>
                <w:sz w:val="18"/>
              </w:rPr>
              <w:t>Lead and dependency</w:t>
            </w:r>
          </w:p>
        </w:tc>
      </w:tr>
      <w:tr>
        <w:trPr>
          <w:cantSplit/>
        </w:trPr>
        <w:tc>
          <w:tcPr>
            <w:tcW w:type="dxa" w:w="4363"/>
            <w:vAlign w:val="center"/>
            <w:tcMar>
              <w:top w:w="85" w:type="dxa"/>
              <w:bottom w:w="85" w:type="dxa"/>
              <w:left w:w="110" w:type="dxa"/>
              <w:right w:w="110" w:type="dxa"/>
            </w:tcMar>
            <w:shd w:fill="FFFFFF"/>
          </w:tcPr>
          <w:p>
            <w:pPr>
              <w:spacing w:after="0" w:line="247" w:lineRule="auto"/>
            </w:pPr>
            <w:r>
              <w:rPr>
                <w:b w:val="0"/>
                <w:color w:val="000000"/>
                <w:sz w:val="18"/>
              </w:rPr>
              <w:t>A Check-in transaction and daily UX P0</w:t>
            </w:r>
          </w:p>
        </w:tc>
        <w:tc>
          <w:tcPr>
            <w:tcW w:type="dxa" w:w="2419"/>
            <w:vAlign w:val="center"/>
            <w:tcMar>
              <w:top w:w="85" w:type="dxa"/>
              <w:bottom w:w="85" w:type="dxa"/>
              <w:left w:w="110" w:type="dxa"/>
              <w:right w:w="110" w:type="dxa"/>
            </w:tcMar>
            <w:shd w:fill="FFFFFF"/>
          </w:tcPr>
          <w:p>
            <w:pPr>
              <w:spacing w:after="0" w:line="247" w:lineRule="auto"/>
            </w:pPr>
            <w:r>
              <w:rPr>
                <w:b w:val="0"/>
                <w:color w:val="000000"/>
                <w:sz w:val="18"/>
              </w:rPr>
              <w:t>Weeks 1 to 2</w:t>
              <w:br/>
              <w:t>4 to 6 engineer days</w:t>
            </w:r>
          </w:p>
        </w:tc>
        <w:tc>
          <w:tcPr>
            <w:tcW w:type="dxa" w:w="3384"/>
            <w:vAlign w:val="center"/>
            <w:tcMar>
              <w:top w:w="85" w:type="dxa"/>
              <w:bottom w:w="85" w:type="dxa"/>
              <w:left w:w="110" w:type="dxa"/>
              <w:right w:w="110" w:type="dxa"/>
            </w:tcMar>
            <w:shd w:fill="FFFFFF"/>
          </w:tcPr>
          <w:p>
            <w:pPr>
              <w:spacing w:after="0" w:line="247" w:lineRule="auto"/>
            </w:pPr>
            <w:r>
              <w:rPr>
                <w:b w:val="0"/>
                <w:color w:val="000000"/>
                <w:sz w:val="18"/>
              </w:rPr>
              <w:t>Engineering; production reproduction and community eligibility.</w:t>
            </w:r>
          </w:p>
        </w:tc>
      </w:tr>
      <w:tr>
        <w:trPr>
          <w:cantSplit/>
        </w:trPr>
        <w:tc>
          <w:tcPr>
            <w:tcW w:type="dxa" w:w="4363"/>
            <w:vAlign w:val="center"/>
            <w:tcMar>
              <w:top w:w="85" w:type="dxa"/>
              <w:bottom w:w="85" w:type="dxa"/>
              <w:left w:w="110" w:type="dxa"/>
              <w:right w:w="110" w:type="dxa"/>
            </w:tcMar>
            <w:shd w:fill="F1F4F6"/>
          </w:tcPr>
          <w:p>
            <w:pPr>
              <w:spacing w:after="0" w:line="247" w:lineRule="auto"/>
            </w:pPr>
            <w:r>
              <w:rPr>
                <w:b w:val="0"/>
                <w:color w:val="000000"/>
                <w:sz w:val="18"/>
              </w:rPr>
              <w:t>B Event dictionary and analytics repair P0</w:t>
            </w:r>
          </w:p>
        </w:tc>
        <w:tc>
          <w:tcPr>
            <w:tcW w:type="dxa" w:w="2419"/>
            <w:vAlign w:val="center"/>
            <w:tcMar>
              <w:top w:w="85" w:type="dxa"/>
              <w:bottom w:w="85" w:type="dxa"/>
              <w:left w:w="110" w:type="dxa"/>
              <w:right w:w="110" w:type="dxa"/>
            </w:tcMar>
            <w:shd w:fill="F1F4F6"/>
          </w:tcPr>
          <w:p>
            <w:pPr>
              <w:spacing w:after="0" w:line="247" w:lineRule="auto"/>
            </w:pPr>
            <w:r>
              <w:rPr>
                <w:b w:val="0"/>
                <w:color w:val="000000"/>
                <w:sz w:val="18"/>
              </w:rPr>
              <w:t>Weeks 1 to 2</w:t>
              <w:br/>
              <w:t>3 to 4 days</w:t>
            </w:r>
          </w:p>
        </w:tc>
        <w:tc>
          <w:tcPr>
            <w:tcW w:type="dxa" w:w="3384"/>
            <w:vAlign w:val="center"/>
            <w:tcMar>
              <w:top w:w="85" w:type="dxa"/>
              <w:bottom w:w="85" w:type="dxa"/>
              <w:left w:w="110" w:type="dxa"/>
              <w:right w:w="110" w:type="dxa"/>
            </w:tcMar>
            <w:shd w:fill="F1F4F6"/>
          </w:tcPr>
          <w:p>
            <w:pPr>
              <w:spacing w:after="0" w:line="247" w:lineRule="auto"/>
            </w:pPr>
            <w:r>
              <w:rPr>
                <w:b w:val="0"/>
                <w:color w:val="000000"/>
                <w:sz w:val="18"/>
              </w:rPr>
              <w:t>Analytics and engineering; can start alongside A.</w:t>
            </w:r>
          </w:p>
        </w:tc>
      </w:tr>
      <w:tr>
        <w:trPr>
          <w:cantSplit/>
        </w:trPr>
        <w:tc>
          <w:tcPr>
            <w:tcW w:type="dxa" w:w="4363"/>
            <w:vAlign w:val="center"/>
            <w:tcMar>
              <w:top w:w="85" w:type="dxa"/>
              <w:bottom w:w="85" w:type="dxa"/>
              <w:left w:w="110" w:type="dxa"/>
              <w:right w:w="110" w:type="dxa"/>
            </w:tcMar>
            <w:shd w:fill="FFFFFF"/>
          </w:tcPr>
          <w:p>
            <w:pPr>
              <w:spacing w:after="0" w:line="247" w:lineRule="auto"/>
            </w:pPr>
            <w:r>
              <w:rPr>
                <w:b w:val="0"/>
                <w:color w:val="000000"/>
                <w:sz w:val="18"/>
              </w:rPr>
              <w:t>C Provider and IDS readiness P0</w:t>
            </w:r>
          </w:p>
        </w:tc>
        <w:tc>
          <w:tcPr>
            <w:tcW w:type="dxa" w:w="2419"/>
            <w:vAlign w:val="center"/>
            <w:tcMar>
              <w:top w:w="85" w:type="dxa"/>
              <w:bottom w:w="85" w:type="dxa"/>
              <w:left w:w="110" w:type="dxa"/>
              <w:right w:w="110" w:type="dxa"/>
            </w:tcMar>
            <w:shd w:fill="FFFFFF"/>
          </w:tcPr>
          <w:p>
            <w:pPr>
              <w:spacing w:after="0" w:line="247" w:lineRule="auto"/>
            </w:pPr>
            <w:r>
              <w:rPr>
                <w:b w:val="0"/>
                <w:color w:val="000000"/>
                <w:sz w:val="18"/>
              </w:rPr>
              <w:t>Start Week 1; weekly follow-up</w:t>
              <w:br/>
              <w:t>1 to 2 technical support days</w:t>
            </w:r>
          </w:p>
        </w:tc>
        <w:tc>
          <w:tcPr>
            <w:tcW w:type="dxa" w:w="3384"/>
            <w:vAlign w:val="center"/>
            <w:tcMar>
              <w:top w:w="85" w:type="dxa"/>
              <w:bottom w:w="85" w:type="dxa"/>
              <w:left w:w="110" w:type="dxa"/>
              <w:right w:w="110" w:type="dxa"/>
            </w:tcMar>
            <w:shd w:fill="FFFFFF"/>
          </w:tcPr>
          <w:p>
            <w:pPr>
              <w:spacing w:after="0" w:line="247" w:lineRule="auto"/>
            </w:pPr>
            <w:r>
              <w:rPr>
                <w:b w:val="0"/>
                <w:color w:val="000000"/>
                <w:sz w:val="18"/>
              </w:rPr>
              <w:t>Anteneh, Aman, Sosina and provider operations; agreement and pricing.</w:t>
            </w:r>
          </w:p>
        </w:tc>
      </w:tr>
      <w:tr>
        <w:trPr>
          <w:cantSplit/>
        </w:trPr>
        <w:tc>
          <w:tcPr>
            <w:tcW w:type="dxa" w:w="4363"/>
            <w:vAlign w:val="center"/>
            <w:tcMar>
              <w:top w:w="85" w:type="dxa"/>
              <w:bottom w:w="85" w:type="dxa"/>
              <w:left w:w="110" w:type="dxa"/>
              <w:right w:w="110" w:type="dxa"/>
            </w:tcMar>
            <w:shd w:fill="F1F4F6"/>
          </w:tcPr>
          <w:p>
            <w:pPr>
              <w:spacing w:after="0" w:line="247" w:lineRule="auto"/>
            </w:pPr>
            <w:r>
              <w:rPr>
                <w:b w:val="0"/>
                <w:color w:val="000000"/>
                <w:sz w:val="18"/>
              </w:rPr>
              <w:t>D Membership onboarding and event circles P1</w:t>
            </w:r>
          </w:p>
        </w:tc>
        <w:tc>
          <w:tcPr>
            <w:tcW w:type="dxa" w:w="2419"/>
            <w:vAlign w:val="center"/>
            <w:tcMar>
              <w:top w:w="85" w:type="dxa"/>
              <w:bottom w:w="85" w:type="dxa"/>
              <w:left w:w="110" w:type="dxa"/>
              <w:right w:w="110" w:type="dxa"/>
            </w:tcMar>
            <w:shd w:fill="F1F4F6"/>
          </w:tcPr>
          <w:p>
            <w:pPr>
              <w:spacing w:after="0" w:line="247" w:lineRule="auto"/>
            </w:pPr>
            <w:r>
              <w:rPr>
                <w:b w:val="0"/>
                <w:color w:val="000000"/>
                <w:sz w:val="18"/>
              </w:rPr>
              <w:t>Weeks 2 to 3</w:t>
              <w:br/>
              <w:t>3 to 4 days</w:t>
            </w:r>
          </w:p>
        </w:tc>
        <w:tc>
          <w:tcPr>
            <w:tcW w:type="dxa" w:w="3384"/>
            <w:vAlign w:val="center"/>
            <w:tcMar>
              <w:top w:w="85" w:type="dxa"/>
              <w:bottom w:w="85" w:type="dxa"/>
              <w:left w:w="110" w:type="dxa"/>
              <w:right w:w="110" w:type="dxa"/>
            </w:tcMar>
            <w:shd w:fill="F1F4F6"/>
          </w:tcPr>
          <w:p>
            <w:pPr>
              <w:spacing w:after="0" w:line="247" w:lineRule="auto"/>
            </w:pPr>
            <w:r>
              <w:rPr>
                <w:b w:val="0"/>
                <w:color w:val="000000"/>
                <w:sz w:val="18"/>
              </w:rPr>
              <w:t>Product, engineering and community lead; A eligibility and B definitions.</w:t>
            </w:r>
          </w:p>
        </w:tc>
      </w:tr>
      <w:tr>
        <w:trPr>
          <w:cantSplit/>
        </w:trPr>
        <w:tc>
          <w:tcPr>
            <w:tcW w:type="dxa" w:w="4363"/>
            <w:vAlign w:val="center"/>
            <w:tcMar>
              <w:top w:w="85" w:type="dxa"/>
              <w:bottom w:w="85" w:type="dxa"/>
              <w:left w:w="110" w:type="dxa"/>
              <w:right w:w="110" w:type="dxa"/>
            </w:tcMar>
            <w:shd w:fill="FFFFFF"/>
          </w:tcPr>
          <w:p>
            <w:pPr>
              <w:spacing w:after="0" w:line="247" w:lineRule="auto"/>
            </w:pPr>
            <w:r>
              <w:rPr>
                <w:b w:val="0"/>
                <w:color w:val="000000"/>
                <w:sz w:val="18"/>
              </w:rPr>
              <w:t>E Day 1 reminder and return journey P1</w:t>
            </w:r>
          </w:p>
        </w:tc>
        <w:tc>
          <w:tcPr>
            <w:tcW w:type="dxa" w:w="2419"/>
            <w:vAlign w:val="center"/>
            <w:tcMar>
              <w:top w:w="85" w:type="dxa"/>
              <w:bottom w:w="85" w:type="dxa"/>
              <w:left w:w="110" w:type="dxa"/>
              <w:right w:w="110" w:type="dxa"/>
            </w:tcMar>
            <w:shd w:fill="FFFFFF"/>
          </w:tcPr>
          <w:p>
            <w:pPr>
              <w:spacing w:after="0" w:line="247" w:lineRule="auto"/>
            </w:pPr>
            <w:r>
              <w:rPr>
                <w:b w:val="0"/>
                <w:color w:val="000000"/>
                <w:sz w:val="18"/>
              </w:rPr>
              <w:t>Weeks 3 to 4</w:t>
              <w:br/>
              <w:t>2 to 3 days</w:t>
            </w:r>
          </w:p>
        </w:tc>
        <w:tc>
          <w:tcPr>
            <w:tcW w:type="dxa" w:w="3384"/>
            <w:vAlign w:val="center"/>
            <w:tcMar>
              <w:top w:w="85" w:type="dxa"/>
              <w:bottom w:w="85" w:type="dxa"/>
              <w:left w:w="110" w:type="dxa"/>
              <w:right w:w="110" w:type="dxa"/>
            </w:tcMar>
            <w:shd w:fill="FFFFFF"/>
          </w:tcPr>
          <w:p>
            <w:pPr>
              <w:spacing w:after="0" w:line="247" w:lineRule="auto"/>
            </w:pPr>
            <w:r>
              <w:rPr>
                <w:b w:val="0"/>
                <w:color w:val="000000"/>
                <w:sz w:val="18"/>
              </w:rPr>
              <w:t>Bot/backend engineer; A, B and notification eligibility.</w:t>
            </w:r>
          </w:p>
        </w:tc>
      </w:tr>
      <w:tr>
        <w:trPr>
          <w:cantSplit/>
        </w:trPr>
        <w:tc>
          <w:tcPr>
            <w:tcW w:type="dxa" w:w="4363"/>
            <w:vAlign w:val="center"/>
            <w:tcMar>
              <w:top w:w="85" w:type="dxa"/>
              <w:bottom w:w="85" w:type="dxa"/>
              <w:left w:w="110" w:type="dxa"/>
              <w:right w:w="110" w:type="dxa"/>
            </w:tcMar>
            <w:shd w:fill="F1F4F6"/>
          </w:tcPr>
          <w:p>
            <w:pPr>
              <w:spacing w:after="0" w:line="247" w:lineRule="auto"/>
            </w:pPr>
            <w:r>
              <w:rPr>
                <w:b w:val="0"/>
                <w:color w:val="000000"/>
                <w:sz w:val="18"/>
              </w:rPr>
              <w:t>F Booking status and provider workflow P1</w:t>
            </w:r>
          </w:p>
        </w:tc>
        <w:tc>
          <w:tcPr>
            <w:tcW w:type="dxa" w:w="2419"/>
            <w:vAlign w:val="center"/>
            <w:tcMar>
              <w:top w:w="85" w:type="dxa"/>
              <w:bottom w:w="85" w:type="dxa"/>
              <w:left w:w="110" w:type="dxa"/>
              <w:right w:w="110" w:type="dxa"/>
            </w:tcMar>
            <w:shd w:fill="F1F4F6"/>
          </w:tcPr>
          <w:p>
            <w:pPr>
              <w:spacing w:after="0" w:line="247" w:lineRule="auto"/>
            </w:pPr>
            <w:r>
              <w:rPr>
                <w:b w:val="0"/>
                <w:color w:val="000000"/>
                <w:sz w:val="18"/>
              </w:rPr>
              <w:t>Weeks 3 to 4</w:t>
              <w:br/>
              <w:t>4 to 6 days</w:t>
            </w:r>
          </w:p>
        </w:tc>
        <w:tc>
          <w:tcPr>
            <w:tcW w:type="dxa" w:w="3384"/>
            <w:vAlign w:val="center"/>
            <w:tcMar>
              <w:top w:w="85" w:type="dxa"/>
              <w:bottom w:w="85" w:type="dxa"/>
              <w:left w:w="110" w:type="dxa"/>
              <w:right w:w="110" w:type="dxa"/>
            </w:tcMar>
            <w:shd w:fill="F1F4F6"/>
          </w:tcPr>
          <w:p>
            <w:pPr>
              <w:spacing w:after="0" w:line="247" w:lineRule="auto"/>
            </w:pPr>
            <w:r>
              <w:rPr>
                <w:b w:val="0"/>
                <w:color w:val="000000"/>
                <w:sz w:val="18"/>
              </w:rPr>
              <w:t>Engineering and operations; C readiness. PMS connector separately estimated.</w:t>
            </w:r>
          </w:p>
        </w:tc>
      </w:tr>
      <w:tr>
        <w:trPr>
          <w:cantSplit/>
        </w:trPr>
        <w:tc>
          <w:tcPr>
            <w:tcW w:type="dxa" w:w="4363"/>
            <w:vAlign w:val="center"/>
            <w:tcMar>
              <w:top w:w="85" w:type="dxa"/>
              <w:bottom w:w="85" w:type="dxa"/>
              <w:left w:w="110" w:type="dxa"/>
              <w:right w:w="110" w:type="dxa"/>
            </w:tcMar>
            <w:shd w:fill="FFFFFF"/>
          </w:tcPr>
          <w:p>
            <w:pPr>
              <w:spacing w:after="0" w:line="247" w:lineRule="auto"/>
            </w:pPr>
            <w:r>
              <w:rPr>
                <w:b w:val="0"/>
                <w:color w:val="000000"/>
                <w:sz w:val="18"/>
              </w:rPr>
              <w:t>G Rewards and redemption P1</w:t>
            </w:r>
          </w:p>
        </w:tc>
        <w:tc>
          <w:tcPr>
            <w:tcW w:type="dxa" w:w="2419"/>
            <w:vAlign w:val="center"/>
            <w:tcMar>
              <w:top w:w="85" w:type="dxa"/>
              <w:bottom w:w="85" w:type="dxa"/>
              <w:left w:w="110" w:type="dxa"/>
              <w:right w:w="110" w:type="dxa"/>
            </w:tcMar>
            <w:shd w:fill="FFFFFF"/>
          </w:tcPr>
          <w:p>
            <w:pPr>
              <w:spacing w:after="0" w:line="247" w:lineRule="auto"/>
            </w:pPr>
            <w:r>
              <w:rPr>
                <w:b w:val="0"/>
                <w:color w:val="000000"/>
                <w:sz w:val="18"/>
              </w:rPr>
              <w:t>Weeks 4 to 5</w:t>
              <w:br/>
              <w:t>3 to 4 days</w:t>
            </w:r>
          </w:p>
        </w:tc>
        <w:tc>
          <w:tcPr>
            <w:tcW w:type="dxa" w:w="3384"/>
            <w:vAlign w:val="center"/>
            <w:tcMar>
              <w:top w:w="85" w:type="dxa"/>
              <w:bottom w:w="85" w:type="dxa"/>
              <w:left w:w="110" w:type="dxa"/>
              <w:right w:w="110" w:type="dxa"/>
            </w:tcMar>
            <w:shd w:fill="FFFFFF"/>
          </w:tcPr>
          <w:p>
            <w:pPr>
              <w:spacing w:after="0" w:line="247" w:lineRule="auto"/>
            </w:pPr>
            <w:r>
              <w:rPr>
                <w:b w:val="0"/>
                <w:color w:val="000000"/>
                <w:sz w:val="18"/>
              </w:rPr>
              <w:t>Engineering and operations; approved pricing, ledger rules, inventory.</w:t>
            </w:r>
          </w:p>
        </w:tc>
      </w:tr>
      <w:tr>
        <w:trPr>
          <w:cantSplit/>
        </w:trPr>
        <w:tc>
          <w:tcPr>
            <w:tcW w:type="dxa" w:w="4363"/>
            <w:vAlign w:val="center"/>
            <w:tcMar>
              <w:top w:w="85" w:type="dxa"/>
              <w:bottom w:w="85" w:type="dxa"/>
              <w:left w:w="110" w:type="dxa"/>
              <w:right w:w="110" w:type="dxa"/>
            </w:tcMar>
            <w:shd w:fill="F1F4F6"/>
          </w:tcPr>
          <w:p>
            <w:pPr>
              <w:spacing w:after="0" w:line="247" w:lineRule="auto"/>
            </w:pPr>
            <w:r>
              <w:rPr>
                <w:b w:val="0"/>
                <w:color w:val="000000"/>
                <w:sz w:val="18"/>
              </w:rPr>
              <w:t>H Usability fixes and release hardening P1</w:t>
            </w:r>
          </w:p>
        </w:tc>
        <w:tc>
          <w:tcPr>
            <w:tcW w:type="dxa" w:w="2419"/>
            <w:vAlign w:val="center"/>
            <w:tcMar>
              <w:top w:w="85" w:type="dxa"/>
              <w:bottom w:w="85" w:type="dxa"/>
              <w:left w:w="110" w:type="dxa"/>
              <w:right w:w="110" w:type="dxa"/>
            </w:tcMar>
            <w:shd w:fill="F1F4F6"/>
          </w:tcPr>
          <w:p>
            <w:pPr>
              <w:spacing w:after="0" w:line="247" w:lineRule="auto"/>
            </w:pPr>
            <w:r>
              <w:rPr>
                <w:b w:val="0"/>
                <w:color w:val="000000"/>
                <w:sz w:val="18"/>
              </w:rPr>
              <w:t>Weeks 2 to 5</w:t>
              <w:br/>
              <w:t>3 to 4 days</w:t>
            </w:r>
          </w:p>
        </w:tc>
        <w:tc>
          <w:tcPr>
            <w:tcW w:type="dxa" w:w="3384"/>
            <w:vAlign w:val="center"/>
            <w:tcMar>
              <w:top w:w="85" w:type="dxa"/>
              <w:bottom w:w="85" w:type="dxa"/>
              <w:left w:w="110" w:type="dxa"/>
              <w:right w:w="110" w:type="dxa"/>
            </w:tcMar>
            <w:shd w:fill="F1F4F6"/>
          </w:tcPr>
          <w:p>
            <w:pPr>
              <w:spacing w:after="0" w:line="247" w:lineRule="auto"/>
            </w:pPr>
            <w:r>
              <w:rPr>
                <w:b w:val="0"/>
                <w:color w:val="000000"/>
                <w:sz w:val="18"/>
              </w:rPr>
              <w:t>QA, product and engineering; observed task failures.</w:t>
            </w:r>
          </w:p>
        </w:tc>
      </w:tr>
      <w:tr>
        <w:trPr>
          <w:cantSplit/>
        </w:trPr>
        <w:tc>
          <w:tcPr>
            <w:tcW w:type="dxa" w:w="4363"/>
            <w:vAlign w:val="center"/>
            <w:tcMar>
              <w:top w:w="85" w:type="dxa"/>
              <w:bottom w:w="85" w:type="dxa"/>
              <w:left w:w="110" w:type="dxa"/>
              <w:right w:w="110" w:type="dxa"/>
            </w:tcMar>
            <w:shd w:fill="FFFFFF"/>
          </w:tcPr>
          <w:p>
            <w:pPr>
              <w:spacing w:after="0" w:line="247" w:lineRule="auto"/>
            </w:pPr>
            <w:r>
              <w:rPr>
                <w:b w:val="0"/>
                <w:color w:val="000000"/>
                <w:sz w:val="18"/>
              </w:rPr>
              <w:t>I Cohort evaluation and pilot review</w:t>
            </w:r>
          </w:p>
        </w:tc>
        <w:tc>
          <w:tcPr>
            <w:tcW w:type="dxa" w:w="2419"/>
            <w:vAlign w:val="center"/>
            <w:tcMar>
              <w:top w:w="85" w:type="dxa"/>
              <w:bottom w:w="85" w:type="dxa"/>
              <w:left w:w="110" w:type="dxa"/>
              <w:right w:w="110" w:type="dxa"/>
            </w:tcMar>
            <w:shd w:fill="FFFFFF"/>
          </w:tcPr>
          <w:p>
            <w:pPr>
              <w:spacing w:after="0" w:line="247" w:lineRule="auto"/>
            </w:pPr>
            <w:r>
              <w:rPr>
                <w:b w:val="0"/>
                <w:color w:val="000000"/>
                <w:sz w:val="18"/>
              </w:rPr>
              <w:t>Weeks 5 to 6</w:t>
              <w:br/>
              <w:t>1 to 2 engineering support days</w:t>
            </w:r>
          </w:p>
        </w:tc>
        <w:tc>
          <w:tcPr>
            <w:tcW w:type="dxa" w:w="3384"/>
            <w:vAlign w:val="center"/>
            <w:tcMar>
              <w:top w:w="85" w:type="dxa"/>
              <w:bottom w:w="85" w:type="dxa"/>
              <w:left w:w="110" w:type="dxa"/>
              <w:right w:w="110" w:type="dxa"/>
            </w:tcMar>
            <w:shd w:fill="FFFFFF"/>
          </w:tcPr>
          <w:p>
            <w:pPr>
              <w:spacing w:after="0" w:line="247" w:lineRule="auto"/>
            </w:pPr>
            <w:r>
              <w:rPr>
                <w:b w:val="0"/>
                <w:color w:val="000000"/>
                <w:sz w:val="18"/>
              </w:rPr>
              <w:t>Anteneh and analytics; data quality, mature cohorts and fulfillment.</w:t>
            </w:r>
          </w:p>
        </w:tc>
      </w:tr>
    </w:tbl>
    <w:p>
      <w:pPr>
        <w:spacing w:after="0"/>
      </w:pPr>
    </w:p>
    <w:p>
      <w:r>
        <w:t>Total indicative engineering effort is 24 to 35 engineer days before contingency and any new IDS connector. Add roughly 20% contingency, giving 29 to 42 days. Two engineers provide 60 gross days over six weeks, with less usable capacity after support and meetings. If staffed by one engineer, preserve A, B, C, and the minimal F workflow, then replan the remaining scope.</w:t>
      </w:r>
    </w:p>
    <w:p>
      <w:pPr>
        <w:pStyle w:val="Heading2"/>
      </w:pPr>
      <w:r>
        <w:t>Milestones and exit criteria</w:t>
      </w:r>
    </w:p>
    <w:p>
      <w:pPr>
        <w:pStyle w:val="ListBullet"/>
      </w:pPr>
      <w:r>
        <w:t>Week 1: ratified scorecard and owners; check-in failure classified; event dictionary drafted; IDS meeting requested with a date or escalation owner; pricing and staff readiness checklist opened.</w:t>
      </w:r>
    </w:p>
    <w:p>
      <w:pPr>
        <w:pStyle w:val="ListBullet"/>
      </w:pPr>
      <w:r>
        <w:t>Week 2: persisted check-ins and event delivery pass controlled checks; analytics panel reconciled; initial usability fixes released. Provider/PMS route and manual fallback decision recorded.</w:t>
      </w:r>
    </w:p>
    <w:p>
      <w:pPr>
        <w:pStyle w:val="ListBullet"/>
      </w:pPr>
      <w:r>
        <w:t>Week 3: real membership onboarding and three hosted circles live; recruit toward 20 to 30 weekly active testers; launch one staffed booking pathway only if readiness passes.</w:t>
      </w:r>
    </w:p>
    <w:p>
      <w:pPr>
        <w:pStyle w:val="ListBullet"/>
      </w:pPr>
      <w:r>
        <w:t>Week 4: Day 1 return journey live; booking acceptance and attendance recorded; reward terms and inventory approved. Enroll evaluation cohorts early enough to observe Day 7 by Week 6.</w:t>
      </w:r>
    </w:p>
    <w:p>
      <w:pPr>
        <w:pStyle w:val="ListBullet"/>
      </w:pPr>
      <w:r>
        <w:t>Week 5: fix repeated task failures; complete attendance and redemption cases; collect mature retention results and reconcile operations daily.</w:t>
      </w:r>
    </w:p>
    <w:p>
      <w:pPr>
        <w:pStyle w:val="ListBullet"/>
      </w:pPr>
      <w:r>
        <w:t>Week 6: produce results against the ratified scorecard, state unmet targets and dependencies, and hold the joint feasibility review and expansion decision.</w:t>
      </w:r>
    </w:p>
    <w:p>
      <w:r>
        <w:br w:type="page"/>
      </w:r>
    </w:p>
    <w:p>
      <w:pPr>
        <w:pStyle w:val="Heading1"/>
      </w:pPr>
      <w:r>
        <w:t>7 Pilot operations release gates and review</w:t>
      </w:r>
    </w:p>
    <w:p>
      <w:pPr>
        <w:pStyle w:val="Heading2"/>
      </w:pPr>
      <w:r>
        <w:t>Recruit and support a usable pilot cohort</w:t>
      </w:r>
    </w:p>
    <w:p>
      <w:r>
        <w:t>Product and community operations recruit through Boston Day Spa QR visitors, hosted gym/yoga or running groups, and provider staff introductions. Aim for 20 to 30 weekly active testers by Week 4; record actual channel mix. Keep staff and engineering test accounts separate. Observe both Telegram and standalone web use, and document each participant’s first task and support needs.</w:t>
      </w:r>
    </w:p>
    <w:p>
      <w:r>
        <w:t>Marketing tags each campaign and QR placement and links to an available activity. Instagram recorded 4 bio taps from 150 profile visits; improve its CTA and use reels and event recaps for recruitment. Restore weekly LinkedIn posts and use TikTok reach. Mahlet confirms QR placements; Mahlet and Sosina review Kuriftu story content. Scale promotion after the first-action gate passes.</w:t>
      </w:r>
    </w:p>
    <w:p>
      <w:pPr>
        <w:pStyle w:val="Heading2"/>
      </w:pPr>
      <w:r>
        <w:t>Release and expansion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46"/>
        <w:gridCol w:w="5846"/>
        <w:gridCol w:w="2174"/>
      </w:tblGrid>
      <w:tr>
        <w:trPr>
          <w:cantSplit/>
          <w:tblHeader/>
        </w:trPr>
        <w:tc>
          <w:tcPr>
            <w:tcW w:type="dxa" w:w="2146"/>
            <w:vAlign w:val="center"/>
            <w:tcMar>
              <w:top w:w="85" w:type="dxa"/>
              <w:bottom w:w="85" w:type="dxa"/>
              <w:left w:w="110" w:type="dxa"/>
              <w:right w:w="110" w:type="dxa"/>
            </w:tcMar>
            <w:shd w:fill="243746"/>
          </w:tcPr>
          <w:p>
            <w:pPr>
              <w:spacing w:after="0" w:line="247" w:lineRule="auto"/>
            </w:pPr>
            <w:r>
              <w:rPr>
                <w:b/>
                <w:color w:val="FFFFFF"/>
                <w:sz w:val="18"/>
              </w:rPr>
              <w:t>Gate</w:t>
            </w:r>
          </w:p>
        </w:tc>
        <w:tc>
          <w:tcPr>
            <w:tcW w:type="dxa" w:w="5846"/>
            <w:vAlign w:val="center"/>
            <w:tcMar>
              <w:top w:w="85" w:type="dxa"/>
              <w:bottom w:w="85" w:type="dxa"/>
              <w:left w:w="110" w:type="dxa"/>
              <w:right w:w="110" w:type="dxa"/>
            </w:tcMar>
            <w:shd w:fill="243746"/>
          </w:tcPr>
          <w:p>
            <w:pPr>
              <w:spacing w:after="0" w:line="247" w:lineRule="auto"/>
            </w:pPr>
            <w:r>
              <w:rPr>
                <w:b/>
                <w:color w:val="FFFFFF"/>
                <w:sz w:val="18"/>
              </w:rPr>
              <w:t>Evidence required</w:t>
            </w:r>
          </w:p>
        </w:tc>
        <w:tc>
          <w:tcPr>
            <w:tcW w:type="dxa" w:w="2174"/>
            <w:vAlign w:val="center"/>
            <w:tcMar>
              <w:top w:w="85" w:type="dxa"/>
              <w:bottom w:w="85" w:type="dxa"/>
              <w:left w:w="110" w:type="dxa"/>
              <w:right w:w="110" w:type="dxa"/>
            </w:tcMar>
            <w:shd w:fill="243746"/>
          </w:tcPr>
          <w:p>
            <w:pPr>
              <w:spacing w:after="0" w:line="247" w:lineRule="auto"/>
            </w:pPr>
            <w:r>
              <w:rPr>
                <w:b/>
                <w:color w:val="FFFFFF"/>
                <w:sz w:val="18"/>
              </w:rPr>
              <w:t>Decision owner</w:t>
            </w:r>
          </w:p>
        </w:tc>
      </w:tr>
      <w:tr>
        <w:trPr>
          <w:cantSplit/>
        </w:trPr>
        <w:tc>
          <w:tcPr>
            <w:tcW w:type="dxa" w:w="2146"/>
            <w:vAlign w:val="center"/>
            <w:tcMar>
              <w:top w:w="85" w:type="dxa"/>
              <w:bottom w:w="85" w:type="dxa"/>
              <w:left w:w="110" w:type="dxa"/>
              <w:right w:w="110" w:type="dxa"/>
            </w:tcMar>
            <w:shd w:fill="FFFFFF"/>
          </w:tcPr>
          <w:p>
            <w:pPr>
              <w:spacing w:after="0" w:line="247" w:lineRule="auto"/>
            </w:pPr>
            <w:r>
              <w:rPr>
                <w:b w:val="0"/>
                <w:color w:val="000000"/>
                <w:sz w:val="18"/>
              </w:rPr>
              <w:t>Reliable first action</w:t>
              <w:br/>
              <w:t>End of Week 2</w:t>
            </w:r>
          </w:p>
        </w:tc>
        <w:tc>
          <w:tcPr>
            <w:tcW w:type="dxa" w:w="5846"/>
            <w:vAlign w:val="center"/>
            <w:tcMar>
              <w:top w:w="85" w:type="dxa"/>
              <w:bottom w:w="85" w:type="dxa"/>
              <w:left w:w="110" w:type="dxa"/>
              <w:right w:w="110" w:type="dxa"/>
            </w:tcMar>
            <w:shd w:fill="FFFFFF"/>
          </w:tcPr>
          <w:p>
            <w:pPr>
              <w:spacing w:after="0" w:line="247" w:lineRule="auto"/>
            </w:pPr>
            <w:r>
              <w:rPr>
                <w:b w:val="0"/>
                <w:color w:val="000000"/>
                <w:sz w:val="18"/>
              </w:rPr>
              <w:t>Check-in transaction and analytics checks pass; no duplicate streak or award; no blocking entry or join issue.</w:t>
            </w:r>
          </w:p>
        </w:tc>
        <w:tc>
          <w:tcPr>
            <w:tcW w:type="dxa" w:w="2174"/>
            <w:vAlign w:val="center"/>
            <w:tcMar>
              <w:top w:w="85" w:type="dxa"/>
              <w:bottom w:w="85" w:type="dxa"/>
              <w:left w:w="110" w:type="dxa"/>
              <w:right w:w="110" w:type="dxa"/>
            </w:tcMar>
            <w:shd w:fill="FFFFFF"/>
          </w:tcPr>
          <w:p>
            <w:pPr>
              <w:spacing w:after="0" w:line="247" w:lineRule="auto"/>
            </w:pPr>
            <w:r>
              <w:rPr>
                <w:b w:val="0"/>
                <w:color w:val="000000"/>
                <w:sz w:val="18"/>
              </w:rPr>
              <w:t>Engineering lead and QA; product accepts the journey.</w:t>
            </w:r>
          </w:p>
        </w:tc>
      </w:tr>
      <w:tr>
        <w:trPr>
          <w:cantSplit/>
        </w:trPr>
        <w:tc>
          <w:tcPr>
            <w:tcW w:type="dxa" w:w="2146"/>
            <w:vAlign w:val="center"/>
            <w:tcMar>
              <w:top w:w="85" w:type="dxa"/>
              <w:bottom w:w="85" w:type="dxa"/>
              <w:left w:w="110" w:type="dxa"/>
              <w:right w:w="110" w:type="dxa"/>
            </w:tcMar>
            <w:shd w:fill="F1F4F6"/>
          </w:tcPr>
          <w:p>
            <w:pPr>
              <w:spacing w:after="0" w:line="247" w:lineRule="auto"/>
            </w:pPr>
            <w:r>
              <w:rPr>
                <w:b w:val="0"/>
                <w:color w:val="000000"/>
                <w:sz w:val="18"/>
              </w:rPr>
              <w:t>Provider ready</w:t>
              <w:br/>
              <w:t>Before live requests</w:t>
            </w:r>
          </w:p>
        </w:tc>
        <w:tc>
          <w:tcPr>
            <w:tcW w:type="dxa" w:w="5846"/>
            <w:vAlign w:val="center"/>
            <w:tcMar>
              <w:top w:w="85" w:type="dxa"/>
              <w:bottom w:w="85" w:type="dxa"/>
              <w:left w:w="110" w:type="dxa"/>
              <w:right w:w="110" w:type="dxa"/>
            </w:tcMar>
            <w:shd w:fill="F1F4F6"/>
          </w:tcPr>
          <w:p>
            <w:pPr>
              <w:spacing w:after="0" w:line="247" w:lineRule="auto"/>
            </w:pPr>
            <w:r>
              <w:rPr>
                <w:b w:val="0"/>
                <w:color w:val="000000"/>
                <w:sz w:val="18"/>
              </w:rPr>
              <w:t>Approved service/pricing, agreement status resolved, named staff owner, request/acceptance/attendance workflow, cancellation and support procedure.</w:t>
            </w:r>
          </w:p>
        </w:tc>
        <w:tc>
          <w:tcPr>
            <w:tcW w:type="dxa" w:w="2174"/>
            <w:vAlign w:val="center"/>
            <w:tcMar>
              <w:top w:w="85" w:type="dxa"/>
              <w:bottom w:w="85" w:type="dxa"/>
              <w:left w:w="110" w:type="dxa"/>
              <w:right w:w="110" w:type="dxa"/>
            </w:tcMar>
            <w:shd w:fill="F1F4F6"/>
          </w:tcPr>
          <w:p>
            <w:pPr>
              <w:spacing w:after="0" w:line="247" w:lineRule="auto"/>
            </w:pPr>
            <w:r>
              <w:rPr>
                <w:b w:val="0"/>
                <w:color w:val="000000"/>
                <w:sz w:val="18"/>
              </w:rPr>
              <w:t>Provider operations and Anteneh with Kuriftu.</w:t>
            </w:r>
          </w:p>
        </w:tc>
      </w:tr>
      <w:tr>
        <w:trPr>
          <w:cantSplit/>
        </w:trPr>
        <w:tc>
          <w:tcPr>
            <w:tcW w:type="dxa" w:w="2146"/>
            <w:vAlign w:val="center"/>
            <w:tcMar>
              <w:top w:w="85" w:type="dxa"/>
              <w:bottom w:w="85" w:type="dxa"/>
              <w:left w:w="110" w:type="dxa"/>
              <w:right w:w="110" w:type="dxa"/>
            </w:tcMar>
            <w:shd w:fill="FFFFFF"/>
          </w:tcPr>
          <w:p>
            <w:pPr>
              <w:spacing w:after="0" w:line="247" w:lineRule="auto"/>
            </w:pPr>
            <w:r>
              <w:rPr>
                <w:b w:val="0"/>
                <w:color w:val="000000"/>
                <w:sz w:val="18"/>
              </w:rPr>
              <w:t>Rewards ready</w:t>
              <w:br/>
              <w:t>Before redemption</w:t>
            </w:r>
          </w:p>
        </w:tc>
        <w:tc>
          <w:tcPr>
            <w:tcW w:type="dxa" w:w="5846"/>
            <w:vAlign w:val="center"/>
            <w:tcMar>
              <w:top w:w="85" w:type="dxa"/>
              <w:bottom w:w="85" w:type="dxa"/>
              <w:left w:w="110" w:type="dxa"/>
              <w:right w:w="110" w:type="dxa"/>
            </w:tcMar>
            <w:shd w:fill="FFFFFF"/>
          </w:tcPr>
          <w:p>
            <w:pPr>
              <w:spacing w:after="0" w:line="247" w:lineRule="auto"/>
            </w:pPr>
            <w:r>
              <w:rPr>
                <w:b w:val="0"/>
                <w:color w:val="000000"/>
                <w:sz w:val="18"/>
              </w:rPr>
              <w:t>Approved terms, funded inventory, reconciled points ledger, single redemption and reversal tests.</w:t>
            </w:r>
          </w:p>
        </w:tc>
        <w:tc>
          <w:tcPr>
            <w:tcW w:type="dxa" w:w="2174"/>
            <w:vAlign w:val="center"/>
            <w:tcMar>
              <w:top w:w="85" w:type="dxa"/>
              <w:bottom w:w="85" w:type="dxa"/>
              <w:left w:w="110" w:type="dxa"/>
              <w:right w:w="110" w:type="dxa"/>
            </w:tcMar>
            <w:shd w:fill="FFFFFF"/>
          </w:tcPr>
          <w:p>
            <w:pPr>
              <w:spacing w:after="0" w:line="247" w:lineRule="auto"/>
            </w:pPr>
            <w:r>
              <w:rPr>
                <w:b w:val="0"/>
                <w:color w:val="000000"/>
                <w:sz w:val="18"/>
              </w:rPr>
              <w:t>Provider operations and engineering.</w:t>
            </w:r>
          </w:p>
        </w:tc>
      </w:tr>
      <w:tr>
        <w:trPr>
          <w:cantSplit/>
        </w:trPr>
        <w:tc>
          <w:tcPr>
            <w:tcW w:type="dxa" w:w="2146"/>
            <w:vAlign w:val="center"/>
            <w:tcMar>
              <w:top w:w="85" w:type="dxa"/>
              <w:bottom w:w="85" w:type="dxa"/>
              <w:left w:w="110" w:type="dxa"/>
              <w:right w:w="110" w:type="dxa"/>
            </w:tcMar>
            <w:shd w:fill="F1F4F6"/>
          </w:tcPr>
          <w:p>
            <w:pPr>
              <w:spacing w:after="0" w:line="247" w:lineRule="auto"/>
            </w:pPr>
            <w:r>
              <w:rPr>
                <w:b w:val="0"/>
                <w:color w:val="000000"/>
                <w:sz w:val="18"/>
              </w:rPr>
              <w:t>PMS automation ready</w:t>
              <w:br/>
              <w:t>Independent of staffed pilot</w:t>
            </w:r>
          </w:p>
        </w:tc>
        <w:tc>
          <w:tcPr>
            <w:tcW w:type="dxa" w:w="5846"/>
            <w:vAlign w:val="center"/>
            <w:tcMar>
              <w:top w:w="85" w:type="dxa"/>
              <w:bottom w:w="85" w:type="dxa"/>
              <w:left w:w="110" w:type="dxa"/>
              <w:right w:w="110" w:type="dxa"/>
            </w:tcMar>
            <w:shd w:fill="F1F4F6"/>
          </w:tcPr>
          <w:p>
            <w:pPr>
              <w:spacing w:after="0" w:line="247" w:lineRule="auto"/>
            </w:pPr>
            <w:r>
              <w:rPr>
                <w:b w:val="0"/>
                <w:color w:val="000000"/>
                <w:sz w:val="18"/>
              </w:rPr>
              <w:t>IDS-approved interface passes end-to-end mapping, retry, deduplication and reconciliation; staff can handle exceptions.</w:t>
            </w:r>
          </w:p>
        </w:tc>
        <w:tc>
          <w:tcPr>
            <w:tcW w:type="dxa" w:w="2174"/>
            <w:vAlign w:val="center"/>
            <w:tcMar>
              <w:top w:w="85" w:type="dxa"/>
              <w:bottom w:w="85" w:type="dxa"/>
              <w:left w:w="110" w:type="dxa"/>
              <w:right w:w="110" w:type="dxa"/>
            </w:tcMar>
            <w:shd w:fill="F1F4F6"/>
          </w:tcPr>
          <w:p>
            <w:pPr>
              <w:spacing w:after="0" w:line="247" w:lineRule="auto"/>
            </w:pPr>
            <w:r>
              <w:rPr>
                <w:b w:val="0"/>
                <w:color w:val="000000"/>
                <w:sz w:val="18"/>
              </w:rPr>
              <w:t>Aman, IDS contact and engineering.</w:t>
            </w:r>
          </w:p>
        </w:tc>
      </w:tr>
      <w:tr>
        <w:trPr>
          <w:cantSplit/>
        </w:trPr>
        <w:tc>
          <w:tcPr>
            <w:tcW w:type="dxa" w:w="2146"/>
            <w:vAlign w:val="center"/>
            <w:tcMar>
              <w:top w:w="85" w:type="dxa"/>
              <w:bottom w:w="85" w:type="dxa"/>
              <w:left w:w="110" w:type="dxa"/>
              <w:right w:w="110" w:type="dxa"/>
            </w:tcMar>
            <w:shd w:fill="FFFFFF"/>
          </w:tcPr>
          <w:p>
            <w:pPr>
              <w:spacing w:after="0" w:line="247" w:lineRule="auto"/>
            </w:pPr>
            <w:r>
              <w:rPr>
                <w:b w:val="0"/>
                <w:color w:val="000000"/>
                <w:sz w:val="18"/>
              </w:rPr>
              <w:t>Pilot review</w:t>
              <w:br/>
              <w:t>Week 6</w:t>
            </w:r>
          </w:p>
        </w:tc>
        <w:tc>
          <w:tcPr>
            <w:tcW w:type="dxa" w:w="5846"/>
            <w:vAlign w:val="center"/>
            <w:tcMar>
              <w:top w:w="85" w:type="dxa"/>
              <w:bottom w:w="85" w:type="dxa"/>
              <w:left w:w="110" w:type="dxa"/>
              <w:right w:w="110" w:type="dxa"/>
            </w:tcMar>
            <w:shd w:fill="FFFFFF"/>
          </w:tcPr>
          <w:p>
            <w:pPr>
              <w:spacing w:after="0" w:line="247" w:lineRule="auto"/>
            </w:pPr>
            <w:r>
              <w:rPr>
                <w:b w:val="0"/>
                <w:color w:val="000000"/>
                <w:sz w:val="18"/>
              </w:rPr>
              <w:t>Ratified scorecard, mature cohorts, actual booking attendance and redemptions, usability findings, data-quality exceptions and support workload.</w:t>
            </w:r>
          </w:p>
        </w:tc>
        <w:tc>
          <w:tcPr>
            <w:tcW w:type="dxa" w:w="2174"/>
            <w:vAlign w:val="center"/>
            <w:tcMar>
              <w:top w:w="85" w:type="dxa"/>
              <w:bottom w:w="85" w:type="dxa"/>
              <w:left w:w="110" w:type="dxa"/>
              <w:right w:w="110" w:type="dxa"/>
            </w:tcMar>
            <w:shd w:fill="FFFFFF"/>
          </w:tcPr>
          <w:p>
            <w:pPr>
              <w:spacing w:after="0" w:line="247" w:lineRule="auto"/>
            </w:pPr>
            <w:r>
              <w:rPr>
                <w:b w:val="0"/>
                <w:color w:val="000000"/>
                <w:sz w:val="18"/>
              </w:rPr>
              <w:t>Anteneh prepares; Kuriftu and Well Circle leadership decide.</w:t>
            </w:r>
          </w:p>
        </w:tc>
      </w:tr>
    </w:tbl>
    <w:p>
      <w:pPr>
        <w:spacing w:after="0"/>
      </w:pPr>
    </w:p>
    <w:p>
      <w:r>
        <w:t>Proposed decision rule: expand when reliability and provider gates pass, at least 20 mature participants support retention results, and booking/fulfillment and redemption targets are met. Extend the pilot with a dated corrective plan when evidence or a target is incomplete. Pause expansion for transaction failures, misleading booking status, or unreconciled rewards. Record PMS readiness separately if using a staffed fallback.</w:t>
      </w:r>
    </w:p>
    <w:p>
      <w:pPr>
        <w:pStyle w:val="Heading2"/>
      </w:pPr>
      <w:r>
        <w:t>Risks and response owners</w:t>
      </w:r>
    </w:p>
    <w:p>
      <w:r>
        <w:t>IDS delay: Aman escalates; operations maintains the fallback. Pricing or agreement delay: Sosina and Anteneh set due dates and keep unavailable offers out of conversion metrics. Small cohorts: analytics extends observation. App divergence: engineering verifies both builds. Reminder or event loss: QA checks worker execution and production configuration.</w:t>
      </w:r>
    </w:p>
    <w:p>
      <w:pPr>
        <w:pStyle w:val="Heading2"/>
      </w:pPr>
      <w:r>
        <w:t>Operating cadence and final evidence</w:t>
      </w:r>
    </w:p>
    <w:p>
      <w:r>
        <w:t>Engineering and operations review failures and pending requests daily. Anteneh reviews the scorecard and dependencies weekly. Week 6 evidence includes releases, usability results, tagged cohorts, mature retention, booking attendance, reward reconciliation, and an owner and date for every unmet criterion.</w:t>
      </w:r>
    </w:p>
    <w:p>
      <w:r>
        <w:t>Evidence: progress report Sections 3 to 5 and 7 for pilot dependencies and analytics; Section 6 for acquisition. Verify the deployed Mini App, web, API, and bot versions at kickoff.</w:t>
      </w:r>
    </w:p>
    <w:sectPr w:rsidR="00FC693F" w:rsidRPr="0006063C" w:rsidSect="00034616">
      <w:footerReference w:type="default" r:id="rId9"/>
      <w:pgSz w:w="12240" w:h="15840"/>
      <w:pgMar w:top="979" w:right="1037" w:bottom="936" w:left="1037"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20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 Circle Usability and Pilot Implementation Plan</dc:title>
  <dc:subject>Implementation priorities based on the August 17 to September 27 2026 progress report</dc:subject>
  <dc:creator>Well Circle</dc:creator>
  <cp:keywords/>
  <dc:description>generated by python-docx</dc:description>
  <cp:lastModifiedBy/>
  <cp:revision>1</cp:revision>
  <dcterms:created xsi:type="dcterms:W3CDTF">2013-12-23T23:15:00Z</dcterms:created>
  <dcterms:modified xsi:type="dcterms:W3CDTF">2013-12-23T23:15:00Z</dcterms:modified>
  <cp:category/>
</cp:coreProperties>
</file>