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D9100" w14:textId="0CEF5C69" w:rsidR="00B308B3" w:rsidRDefault="00B308B3" w:rsidP="00D64853">
      <w:pPr>
        <w:ind w:left="-5"/>
        <w:rPr>
          <w:rFonts w:ascii="Times New Roman" w:hAnsi="Times New Roman" w:cs="Times New Roman"/>
          <w:b/>
          <w:bCs/>
        </w:rPr>
      </w:pPr>
      <w:r>
        <w:rPr>
          <w:rFonts w:ascii="Times New Roman" w:hAnsi="Times New Roman" w:cs="Times New Roman"/>
          <w:b/>
          <w:bCs/>
        </w:rPr>
        <w:t xml:space="preserve">Type of Article: </w:t>
      </w:r>
      <w:r w:rsidRPr="00B308B3">
        <w:rPr>
          <w:rFonts w:ascii="Times New Roman" w:hAnsi="Times New Roman" w:cs="Times New Roman"/>
        </w:rPr>
        <w:t>Research Article</w:t>
      </w:r>
    </w:p>
    <w:p w14:paraId="17D06910" w14:textId="27012462" w:rsidR="00D64853" w:rsidRPr="00D64853" w:rsidRDefault="00D64853" w:rsidP="00D64853">
      <w:pPr>
        <w:ind w:left="-5"/>
        <w:rPr>
          <w:rFonts w:ascii="Times New Roman" w:hAnsi="Times New Roman" w:cs="Times New Roman"/>
          <w:b/>
          <w:bCs/>
        </w:rPr>
      </w:pPr>
      <w:r w:rsidRPr="00D64853">
        <w:rPr>
          <w:rFonts w:ascii="Times New Roman" w:hAnsi="Times New Roman" w:cs="Times New Roman"/>
          <w:b/>
          <w:bCs/>
        </w:rPr>
        <w:t>Titl</w:t>
      </w:r>
      <w:r>
        <w:rPr>
          <w:rFonts w:ascii="Times New Roman" w:hAnsi="Times New Roman" w:cs="Times New Roman"/>
          <w:b/>
          <w:bCs/>
        </w:rPr>
        <w:t xml:space="preserve">e </w:t>
      </w:r>
      <w:r w:rsidRPr="00D64853">
        <w:rPr>
          <w:rFonts w:ascii="Times New Roman" w:hAnsi="Times New Roman" w:cs="Times New Roman"/>
        </w:rPr>
        <w:t>Household Food Security and Urinary Phenols Among U.S. Adults Evidence from NHANES 2005-2016</w:t>
      </w:r>
      <w:r w:rsidRPr="00D64853">
        <w:rPr>
          <w:rFonts w:ascii="Times New Roman" w:hAnsi="Times New Roman" w:cs="Times New Roman"/>
        </w:rPr>
        <w:tab/>
      </w:r>
    </w:p>
    <w:p w14:paraId="315B4F26" w14:textId="77777777" w:rsidR="00D64853" w:rsidRPr="00D64853" w:rsidRDefault="00D64853" w:rsidP="00D64853">
      <w:pPr>
        <w:spacing w:after="0" w:line="259" w:lineRule="auto"/>
        <w:rPr>
          <w:rFonts w:ascii="Times New Roman" w:hAnsi="Times New Roman" w:cs="Times New Roman"/>
        </w:rPr>
      </w:pPr>
    </w:p>
    <w:p w14:paraId="50BCE8B0" w14:textId="4A7D5CFC" w:rsidR="0094584E" w:rsidRPr="004A6252" w:rsidRDefault="004A6252" w:rsidP="00D64853">
      <w:pPr>
        <w:spacing w:after="0" w:line="259" w:lineRule="auto"/>
        <w:rPr>
          <w:rFonts w:ascii="Times New Roman" w:hAnsi="Times New Roman" w:cs="Times New Roman"/>
          <w:b/>
          <w:bCs/>
        </w:rPr>
      </w:pPr>
      <w:r w:rsidRPr="004A6252">
        <w:rPr>
          <w:rFonts w:ascii="Times New Roman" w:hAnsi="Times New Roman" w:cs="Times New Roman"/>
          <w:b/>
          <w:bCs/>
        </w:rPr>
        <w:t>Author Names</w:t>
      </w:r>
    </w:p>
    <w:p w14:paraId="16F83176" w14:textId="6BB9C4B9" w:rsidR="00D64853" w:rsidRPr="00D64853" w:rsidRDefault="00D64853" w:rsidP="00D64853">
      <w:pPr>
        <w:spacing w:after="0" w:line="259" w:lineRule="auto"/>
        <w:rPr>
          <w:rFonts w:ascii="Times New Roman" w:hAnsi="Times New Roman" w:cs="Times New Roman"/>
        </w:rPr>
      </w:pPr>
      <w:r w:rsidRPr="00D64853">
        <w:rPr>
          <w:rFonts w:ascii="Times New Roman" w:hAnsi="Times New Roman" w:cs="Times New Roman"/>
        </w:rPr>
        <w:t>Ayishat Abimbola Yussuf</w:t>
      </w:r>
      <w:r w:rsidRPr="00D64853">
        <w:rPr>
          <w:rFonts w:ascii="Times New Roman" w:hAnsi="Times New Roman" w:cs="Times New Roman"/>
          <w:vertAlign w:val="superscript"/>
        </w:rPr>
        <w:t>1</w:t>
      </w:r>
      <w:r w:rsidRPr="00D64853">
        <w:rPr>
          <w:rFonts w:ascii="Times New Roman" w:hAnsi="Times New Roman" w:cs="Times New Roman"/>
        </w:rPr>
        <w:t>, Marshae Nickelberry MPH</w:t>
      </w:r>
      <w:r w:rsidRPr="00D64853">
        <w:rPr>
          <w:rFonts w:ascii="Times New Roman" w:hAnsi="Times New Roman" w:cs="Times New Roman"/>
          <w:vertAlign w:val="superscript"/>
        </w:rPr>
        <w:t>2</w:t>
      </w:r>
      <w:r w:rsidRPr="00D64853">
        <w:rPr>
          <w:rFonts w:ascii="Times New Roman" w:hAnsi="Times New Roman" w:cs="Times New Roman"/>
        </w:rPr>
        <w:t>,</w:t>
      </w:r>
      <w:r w:rsidRPr="00D64853">
        <w:rPr>
          <w:rFonts w:ascii="Times New Roman" w:hAnsi="Times New Roman" w:cs="Times New Roman"/>
          <w:vertAlign w:val="superscript"/>
        </w:rPr>
        <w:t xml:space="preserve"> </w:t>
      </w:r>
      <w:r w:rsidRPr="00D64853">
        <w:rPr>
          <w:rFonts w:ascii="Times New Roman" w:hAnsi="Times New Roman" w:cs="Times New Roman"/>
        </w:rPr>
        <w:t>Izzuddin M Aris</w:t>
      </w:r>
      <w:r w:rsidRPr="00D64853">
        <w:rPr>
          <w:rFonts w:ascii="Times New Roman" w:hAnsi="Times New Roman" w:cs="Times New Roman"/>
          <w:vertAlign w:val="superscript"/>
        </w:rPr>
        <w:t>3</w:t>
      </w:r>
      <w:r w:rsidRPr="00D64853">
        <w:rPr>
          <w:rFonts w:ascii="Times New Roman" w:hAnsi="Times New Roman" w:cs="Times New Roman"/>
        </w:rPr>
        <w:t>,</w:t>
      </w:r>
      <w:r w:rsidRPr="00D64853">
        <w:rPr>
          <w:rFonts w:ascii="Times New Roman" w:hAnsi="Times New Roman" w:cs="Times New Roman"/>
          <w:vertAlign w:val="superscript"/>
        </w:rPr>
        <w:t xml:space="preserve"> </w:t>
      </w:r>
      <w:r w:rsidRPr="00D64853">
        <w:rPr>
          <w:rFonts w:ascii="Times New Roman" w:hAnsi="Times New Roman" w:cs="Times New Roman"/>
        </w:rPr>
        <w:t>Michele R Hacker</w:t>
      </w:r>
      <w:r w:rsidRPr="00D64853">
        <w:rPr>
          <w:rFonts w:ascii="Times New Roman" w:hAnsi="Times New Roman" w:cs="Times New Roman"/>
          <w:vertAlign w:val="superscript"/>
        </w:rPr>
        <w:t>4</w:t>
      </w:r>
      <w:r w:rsidRPr="00D64853">
        <w:rPr>
          <w:rFonts w:ascii="Times New Roman" w:hAnsi="Times New Roman" w:cs="Times New Roman"/>
        </w:rPr>
        <w:t>, Emily Oken MD</w:t>
      </w:r>
      <w:r w:rsidRPr="00D64853">
        <w:rPr>
          <w:rFonts w:ascii="Times New Roman" w:hAnsi="Times New Roman" w:cs="Times New Roman"/>
          <w:vertAlign w:val="superscript"/>
        </w:rPr>
        <w:t>3</w:t>
      </w:r>
      <w:r w:rsidRPr="00D64853">
        <w:rPr>
          <w:rFonts w:ascii="Times New Roman" w:hAnsi="Times New Roman" w:cs="Times New Roman"/>
        </w:rPr>
        <w:t>, Tamarra James-Todd PhD</w:t>
      </w:r>
      <w:r w:rsidRPr="00D64853">
        <w:rPr>
          <w:rFonts w:ascii="Times New Roman" w:hAnsi="Times New Roman" w:cs="Times New Roman"/>
          <w:vertAlign w:val="superscript"/>
        </w:rPr>
        <w:t>2,5</w:t>
      </w:r>
    </w:p>
    <w:p w14:paraId="4A8E2860" w14:textId="77777777" w:rsidR="00D64853" w:rsidRPr="00D64853" w:rsidRDefault="00D64853" w:rsidP="00D64853">
      <w:pPr>
        <w:spacing w:after="0" w:line="259" w:lineRule="auto"/>
        <w:rPr>
          <w:rFonts w:ascii="Times New Roman" w:hAnsi="Times New Roman" w:cs="Times New Roman"/>
        </w:rPr>
      </w:pPr>
    </w:p>
    <w:p w14:paraId="22B696D4" w14:textId="1D696437" w:rsidR="003C65CB" w:rsidRPr="003C65CB" w:rsidRDefault="003C65CB" w:rsidP="00D64853">
      <w:pPr>
        <w:spacing w:after="0" w:line="259" w:lineRule="auto"/>
        <w:rPr>
          <w:rFonts w:ascii="Times New Roman" w:hAnsi="Times New Roman" w:cs="Times New Roman"/>
          <w:b/>
          <w:bCs/>
        </w:rPr>
      </w:pPr>
      <w:r>
        <w:rPr>
          <w:rFonts w:ascii="Times New Roman" w:hAnsi="Times New Roman" w:cs="Times New Roman"/>
          <w:b/>
          <w:bCs/>
        </w:rPr>
        <w:t>Affiliations</w:t>
      </w:r>
    </w:p>
    <w:p w14:paraId="4AAFC0AB" w14:textId="5EC76690" w:rsidR="00D64853" w:rsidRPr="00D64853" w:rsidRDefault="00D64853" w:rsidP="00D64853">
      <w:pPr>
        <w:spacing w:after="0" w:line="259" w:lineRule="auto"/>
        <w:rPr>
          <w:rFonts w:ascii="Times New Roman" w:hAnsi="Times New Roman" w:cs="Times New Roman"/>
        </w:rPr>
      </w:pPr>
      <w:r w:rsidRPr="00D64853">
        <w:rPr>
          <w:rFonts w:ascii="Times New Roman" w:hAnsi="Times New Roman" w:cs="Times New Roman"/>
          <w:vertAlign w:val="superscript"/>
        </w:rPr>
        <w:t>1</w:t>
      </w:r>
      <w:r w:rsidRPr="00D64853">
        <w:rPr>
          <w:rFonts w:ascii="Times New Roman" w:hAnsi="Times New Roman" w:cs="Times New Roman"/>
        </w:rPr>
        <w:t>Spelman College, Atlanta, Georgia, USA</w:t>
      </w:r>
    </w:p>
    <w:p w14:paraId="537F3923" w14:textId="77777777" w:rsidR="00D64853" w:rsidRPr="00D64853" w:rsidRDefault="00D64853" w:rsidP="00D64853">
      <w:pPr>
        <w:spacing w:after="0" w:line="259" w:lineRule="auto"/>
        <w:rPr>
          <w:rFonts w:ascii="Times New Roman" w:hAnsi="Times New Roman" w:cs="Times New Roman"/>
        </w:rPr>
      </w:pPr>
      <w:r w:rsidRPr="00D64853">
        <w:rPr>
          <w:rFonts w:ascii="Times New Roman" w:hAnsi="Times New Roman" w:cs="Times New Roman"/>
          <w:vertAlign w:val="superscript"/>
        </w:rPr>
        <w:t>2</w:t>
      </w:r>
      <w:r w:rsidRPr="00D64853">
        <w:rPr>
          <w:rFonts w:ascii="Times New Roman" w:hAnsi="Times New Roman" w:cs="Times New Roman"/>
        </w:rPr>
        <w:t>Department of Environmental Health, Harvard T.H. Chan School of Public Health, Boston, Massachusetts, USA</w:t>
      </w:r>
    </w:p>
    <w:p w14:paraId="52BFC576" w14:textId="77777777" w:rsidR="00D64853" w:rsidRPr="00D64853" w:rsidRDefault="00D64853" w:rsidP="00D64853">
      <w:pPr>
        <w:spacing w:after="0" w:line="259" w:lineRule="auto"/>
        <w:rPr>
          <w:rFonts w:ascii="Times New Roman" w:hAnsi="Times New Roman" w:cs="Times New Roman"/>
        </w:rPr>
      </w:pPr>
      <w:r w:rsidRPr="00D64853">
        <w:rPr>
          <w:rFonts w:ascii="Times New Roman" w:hAnsi="Times New Roman" w:cs="Times New Roman"/>
          <w:vertAlign w:val="superscript"/>
        </w:rPr>
        <w:t>3</w:t>
      </w:r>
      <w:r w:rsidRPr="00D64853">
        <w:rPr>
          <w:rFonts w:ascii="Times New Roman" w:hAnsi="Times New Roman" w:cs="Times New Roman"/>
        </w:rPr>
        <w:t xml:space="preserve">Division of Chronic Disease Research Across the Lifecourse, Department of Population Medicine, Harvard Medical School and Harvard Pilgrim Health Care Institute, Boston, Massachusetts, USA </w:t>
      </w:r>
    </w:p>
    <w:p w14:paraId="2207203A" w14:textId="77777777" w:rsidR="00D64853" w:rsidRPr="00D64853" w:rsidRDefault="00D64853" w:rsidP="00D64853">
      <w:pPr>
        <w:spacing w:after="0" w:line="259" w:lineRule="auto"/>
        <w:rPr>
          <w:rFonts w:ascii="Times New Roman" w:hAnsi="Times New Roman" w:cs="Times New Roman"/>
        </w:rPr>
      </w:pPr>
      <w:r w:rsidRPr="00D64853">
        <w:rPr>
          <w:rFonts w:ascii="Times New Roman" w:hAnsi="Times New Roman" w:cs="Times New Roman"/>
          <w:vertAlign w:val="superscript"/>
        </w:rPr>
        <w:t>4</w:t>
      </w:r>
      <w:r w:rsidRPr="00D64853">
        <w:rPr>
          <w:rFonts w:ascii="Times New Roman" w:hAnsi="Times New Roman" w:cs="Times New Roman"/>
        </w:rPr>
        <w:t>Department of Obstetrics and Gynecology, Beth Israel Deaconess Medical Center, Brookline, Massachusetts, USA</w:t>
      </w:r>
    </w:p>
    <w:p w14:paraId="066C1B2E" w14:textId="77777777" w:rsidR="00D64853" w:rsidRPr="00D64853" w:rsidRDefault="00D64853" w:rsidP="00D64853">
      <w:pPr>
        <w:spacing w:after="0" w:line="259" w:lineRule="auto"/>
        <w:rPr>
          <w:rFonts w:ascii="Times New Roman" w:hAnsi="Times New Roman" w:cs="Times New Roman"/>
        </w:rPr>
      </w:pPr>
      <w:r w:rsidRPr="00D64853">
        <w:rPr>
          <w:rFonts w:ascii="Times New Roman" w:hAnsi="Times New Roman" w:cs="Times New Roman"/>
          <w:vertAlign w:val="superscript"/>
        </w:rPr>
        <w:t>5</w:t>
      </w:r>
      <w:r w:rsidRPr="00D64853">
        <w:rPr>
          <w:rFonts w:ascii="Times New Roman" w:hAnsi="Times New Roman" w:cs="Times New Roman"/>
        </w:rPr>
        <w:t>Department of Epidemiology, Harvard T.H. Chan School of Public Health, Boston, Massachusetts, USA</w:t>
      </w:r>
    </w:p>
    <w:p w14:paraId="7C5B5979" w14:textId="77777777" w:rsidR="00D64853" w:rsidRDefault="00D64853" w:rsidP="00D64853">
      <w:pPr>
        <w:spacing w:after="0" w:line="259" w:lineRule="auto"/>
        <w:rPr>
          <w:rFonts w:ascii="Times New Roman" w:hAnsi="Times New Roman" w:cs="Times New Roman"/>
        </w:rPr>
      </w:pPr>
    </w:p>
    <w:p w14:paraId="2527E254" w14:textId="77777777" w:rsidR="00081198" w:rsidRPr="00627A03" w:rsidRDefault="008E64E0" w:rsidP="00627A03">
      <w:pPr>
        <w:spacing w:after="0"/>
        <w:rPr>
          <w:rFonts w:ascii="Times New Roman" w:hAnsi="Times New Roman" w:cs="Times New Roman"/>
          <w:color w:val="000000" w:themeColor="text1"/>
        </w:rPr>
      </w:pPr>
      <w:r w:rsidRPr="00627A03">
        <w:rPr>
          <w:rFonts w:ascii="Times New Roman" w:hAnsi="Times New Roman" w:cs="Times New Roman"/>
          <w:b/>
          <w:bCs/>
          <w:color w:val="000000" w:themeColor="text1"/>
        </w:rPr>
        <w:t>Corresponding Author:</w:t>
      </w:r>
      <w:r w:rsidRPr="00627A03">
        <w:rPr>
          <w:rFonts w:ascii="Times New Roman" w:hAnsi="Times New Roman" w:cs="Times New Roman"/>
          <w:color w:val="000000" w:themeColor="text1"/>
        </w:rPr>
        <w:t xml:space="preserve"> </w:t>
      </w:r>
      <w:r w:rsidR="00081198" w:rsidRPr="00627A03">
        <w:rPr>
          <w:rFonts w:ascii="Times New Roman" w:hAnsi="Times New Roman" w:cs="Times New Roman"/>
          <w:color w:val="000000" w:themeColor="text1"/>
        </w:rPr>
        <w:t>Ayishat Yussuf</w:t>
      </w:r>
    </w:p>
    <w:p w14:paraId="6A1967AC" w14:textId="77777777" w:rsidR="00627A03" w:rsidRPr="00627A03" w:rsidRDefault="008E64E0" w:rsidP="00627A03">
      <w:pPr>
        <w:spacing w:after="0"/>
        <w:rPr>
          <w:rFonts w:ascii="Times New Roman" w:hAnsi="Times New Roman" w:cs="Times New Roman"/>
          <w:color w:val="000000" w:themeColor="text1"/>
        </w:rPr>
      </w:pPr>
      <w:r w:rsidRPr="00627A03">
        <w:rPr>
          <w:rFonts w:ascii="Times New Roman" w:hAnsi="Times New Roman" w:cs="Times New Roman"/>
          <w:color w:val="000000" w:themeColor="text1"/>
        </w:rPr>
        <w:t xml:space="preserve">Department of </w:t>
      </w:r>
      <w:r w:rsidR="00081198" w:rsidRPr="00627A03">
        <w:rPr>
          <w:rFonts w:ascii="Times New Roman" w:hAnsi="Times New Roman" w:cs="Times New Roman"/>
          <w:color w:val="000000" w:themeColor="text1"/>
        </w:rPr>
        <w:t>Psychology</w:t>
      </w:r>
      <w:r w:rsidRPr="00627A03">
        <w:rPr>
          <w:rFonts w:ascii="Times New Roman" w:hAnsi="Times New Roman" w:cs="Times New Roman"/>
          <w:color w:val="000000" w:themeColor="text1"/>
        </w:rPr>
        <w:t xml:space="preserve">, </w:t>
      </w:r>
      <w:r w:rsidR="00081198" w:rsidRPr="00627A03">
        <w:rPr>
          <w:rFonts w:ascii="Times New Roman" w:hAnsi="Times New Roman" w:cs="Times New Roman"/>
          <w:color w:val="000000" w:themeColor="text1"/>
        </w:rPr>
        <w:t xml:space="preserve">Spelman College, </w:t>
      </w:r>
    </w:p>
    <w:p w14:paraId="17730ADD" w14:textId="17E93EC2" w:rsidR="008E64E0" w:rsidRPr="00627A03" w:rsidRDefault="00081198" w:rsidP="00627A03">
      <w:pPr>
        <w:spacing w:after="0"/>
        <w:rPr>
          <w:rFonts w:ascii="Times New Roman" w:hAnsi="Times New Roman" w:cs="Times New Roman"/>
          <w:color w:val="000000" w:themeColor="text1"/>
        </w:rPr>
      </w:pPr>
      <w:r w:rsidRPr="00627A03">
        <w:rPr>
          <w:rFonts w:ascii="Times New Roman" w:hAnsi="Times New Roman" w:cs="Times New Roman"/>
          <w:color w:val="000000" w:themeColor="text1"/>
        </w:rPr>
        <w:t>350 Spelman Lane SW</w:t>
      </w:r>
      <w:r w:rsidR="008E64E0" w:rsidRPr="00627A03">
        <w:rPr>
          <w:rFonts w:ascii="Times New Roman" w:hAnsi="Times New Roman" w:cs="Times New Roman"/>
          <w:color w:val="000000" w:themeColor="text1"/>
        </w:rPr>
        <w:t xml:space="preserve">, </w:t>
      </w:r>
      <w:r w:rsidRPr="00627A03">
        <w:rPr>
          <w:rFonts w:ascii="Times New Roman" w:hAnsi="Times New Roman" w:cs="Times New Roman"/>
          <w:color w:val="000000" w:themeColor="text1"/>
        </w:rPr>
        <w:t>Atlanta</w:t>
      </w:r>
      <w:r w:rsidR="008E64E0" w:rsidRPr="00627A03">
        <w:rPr>
          <w:rFonts w:ascii="Times New Roman" w:hAnsi="Times New Roman" w:cs="Times New Roman"/>
          <w:color w:val="000000" w:themeColor="text1"/>
        </w:rPr>
        <w:t xml:space="preserve">, </w:t>
      </w:r>
      <w:r w:rsidRPr="00627A03">
        <w:rPr>
          <w:rFonts w:ascii="Times New Roman" w:hAnsi="Times New Roman" w:cs="Times New Roman"/>
          <w:color w:val="000000" w:themeColor="text1"/>
        </w:rPr>
        <w:t>GA</w:t>
      </w:r>
      <w:r w:rsidR="008E64E0" w:rsidRPr="00627A03">
        <w:rPr>
          <w:rFonts w:ascii="Times New Roman" w:hAnsi="Times New Roman" w:cs="Times New Roman"/>
          <w:color w:val="000000" w:themeColor="text1"/>
        </w:rPr>
        <w:t>,</w:t>
      </w:r>
      <w:r w:rsidRPr="00627A03">
        <w:rPr>
          <w:rFonts w:ascii="Times New Roman" w:hAnsi="Times New Roman" w:cs="Times New Roman"/>
          <w:color w:val="000000" w:themeColor="text1"/>
        </w:rPr>
        <w:t xml:space="preserve"> 30314,</w:t>
      </w:r>
      <w:r w:rsidR="008E64E0" w:rsidRPr="00627A03">
        <w:rPr>
          <w:rFonts w:ascii="Times New Roman" w:hAnsi="Times New Roman" w:cs="Times New Roman"/>
          <w:color w:val="000000" w:themeColor="text1"/>
        </w:rPr>
        <w:t xml:space="preserve"> USA.</w:t>
      </w:r>
      <w:r w:rsidR="008E64E0" w:rsidRPr="00627A03">
        <w:rPr>
          <w:rFonts w:ascii="Times New Roman" w:hAnsi="Times New Roman" w:cs="Times New Roman"/>
          <w:color w:val="000000" w:themeColor="text1"/>
        </w:rPr>
        <w:br/>
        <w:t xml:space="preserve">Email: </w:t>
      </w:r>
      <w:hyperlink r:id="rId6" w:history="1">
        <w:r w:rsidRPr="00627A03">
          <w:rPr>
            <w:rStyle w:val="Hyperlink"/>
            <w:rFonts w:ascii="Times New Roman" w:hAnsi="Times New Roman" w:cs="Times New Roman"/>
            <w:color w:val="000000" w:themeColor="text1"/>
            <w:u w:val="none"/>
          </w:rPr>
          <w:t>ayishatyussuf@spelman.edu</w:t>
        </w:r>
      </w:hyperlink>
      <w:r w:rsidR="008E64E0" w:rsidRPr="00627A03">
        <w:rPr>
          <w:rFonts w:ascii="Times New Roman" w:hAnsi="Times New Roman" w:cs="Times New Roman"/>
          <w:color w:val="000000" w:themeColor="text1"/>
        </w:rPr>
        <w:br/>
        <w:t xml:space="preserve">Telephone: </w:t>
      </w:r>
      <w:r w:rsidR="00BC3578" w:rsidRPr="00627A03">
        <w:rPr>
          <w:rFonts w:ascii="Times New Roman" w:hAnsi="Times New Roman" w:cs="Times New Roman"/>
          <w:color w:val="000000" w:themeColor="text1"/>
        </w:rPr>
        <w:t>4705225233</w:t>
      </w:r>
    </w:p>
    <w:p w14:paraId="43747891" w14:textId="77777777" w:rsidR="008E64E0" w:rsidRDefault="008E64E0">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0D94B684" w14:textId="4EFCB063" w:rsidR="00CE4EEC" w:rsidRPr="007707ED" w:rsidRDefault="00D64853" w:rsidP="00D64853">
      <w:pPr>
        <w:spacing w:after="0" w:line="259" w:lineRule="auto"/>
        <w:rPr>
          <w:rFonts w:ascii="Times New Roman" w:eastAsia="Times New Roman" w:hAnsi="Times New Roman" w:cs="Times New Roman"/>
          <w:b/>
          <w:bCs/>
          <w:kern w:val="0"/>
          <w14:ligatures w14:val="none"/>
        </w:rPr>
      </w:pPr>
      <w:r w:rsidRPr="00D64853">
        <w:rPr>
          <w:rFonts w:ascii="Times New Roman" w:eastAsia="Times New Roman" w:hAnsi="Times New Roman" w:cs="Times New Roman"/>
          <w:b/>
          <w:bCs/>
          <w:kern w:val="0"/>
          <w14:ligatures w14:val="none"/>
        </w:rPr>
        <w:lastRenderedPageBreak/>
        <w:t>Abstract</w:t>
      </w:r>
    </w:p>
    <w:p w14:paraId="09C3564D" w14:textId="7B984704" w:rsidR="008E06D7" w:rsidRDefault="00E57A52" w:rsidP="00D64853">
      <w:pPr>
        <w:spacing w:after="0" w:line="259" w:lineRule="auto"/>
        <w:rPr>
          <w:rFonts w:ascii="Times New Roman" w:hAnsi="Times New Roman" w:cs="Times New Roman"/>
        </w:rPr>
      </w:pPr>
      <w:r w:rsidRPr="001771DC">
        <w:rPr>
          <w:rFonts w:ascii="Times New Roman" w:eastAsia="Times New Roman" w:hAnsi="Times New Roman" w:cs="Times New Roman"/>
          <w:b/>
          <w:bCs/>
          <w:kern w:val="0"/>
          <w14:ligatures w14:val="none"/>
        </w:rPr>
        <w:t>Background.</w:t>
      </w:r>
      <w:r w:rsidR="00D64853" w:rsidRPr="001771DC">
        <w:rPr>
          <w:rFonts w:ascii="Times New Roman" w:eastAsia="Times New Roman" w:hAnsi="Times New Roman" w:cs="Times New Roman"/>
          <w:kern w:val="0"/>
          <w14:ligatures w14:val="none"/>
        </w:rPr>
        <w:t xml:space="preserve"> </w:t>
      </w:r>
      <w:r w:rsidR="00A2484B" w:rsidRPr="001771DC">
        <w:rPr>
          <w:rFonts w:ascii="Times New Roman" w:eastAsia="Times New Roman" w:hAnsi="Times New Roman" w:cs="Times New Roman"/>
          <w:kern w:val="0"/>
          <w14:ligatures w14:val="none"/>
        </w:rPr>
        <w:t>Food</w:t>
      </w:r>
      <w:r w:rsidRPr="001771DC">
        <w:rPr>
          <w:rFonts w:ascii="Times New Roman" w:eastAsia="Times New Roman" w:hAnsi="Times New Roman" w:cs="Times New Roman"/>
          <w:kern w:val="0"/>
          <w14:ligatures w14:val="none"/>
        </w:rPr>
        <w:t xml:space="preserve"> </w:t>
      </w:r>
      <w:r w:rsidR="006F2680" w:rsidRPr="001771DC">
        <w:rPr>
          <w:rFonts w:ascii="Times New Roman" w:eastAsia="Times New Roman" w:hAnsi="Times New Roman" w:cs="Times New Roman"/>
          <w:kern w:val="0"/>
          <w14:ligatures w14:val="none"/>
        </w:rPr>
        <w:t>in</w:t>
      </w:r>
      <w:r w:rsidRPr="001771DC">
        <w:rPr>
          <w:rFonts w:ascii="Times New Roman" w:eastAsia="Times New Roman" w:hAnsi="Times New Roman" w:cs="Times New Roman"/>
          <w:kern w:val="0"/>
          <w14:ligatures w14:val="none"/>
        </w:rPr>
        <w:t xml:space="preserve">security </w:t>
      </w:r>
      <w:r w:rsidR="00547AF5" w:rsidRPr="001771DC">
        <w:rPr>
          <w:rFonts w:ascii="Times New Roman" w:eastAsia="Times New Roman" w:hAnsi="Times New Roman" w:cs="Times New Roman"/>
          <w:kern w:val="0"/>
          <w14:ligatures w14:val="none"/>
        </w:rPr>
        <w:t>is a</w:t>
      </w:r>
      <w:r w:rsidR="00C14D35">
        <w:rPr>
          <w:rFonts w:ascii="Times New Roman" w:eastAsia="Times New Roman" w:hAnsi="Times New Roman" w:cs="Times New Roman"/>
          <w:kern w:val="0"/>
          <w14:ligatures w14:val="none"/>
        </w:rPr>
        <w:t xml:space="preserve"> key</w:t>
      </w:r>
      <w:r w:rsidR="00547AF5" w:rsidRPr="001771DC">
        <w:rPr>
          <w:rFonts w:ascii="Times New Roman" w:eastAsia="Times New Roman" w:hAnsi="Times New Roman" w:cs="Times New Roman"/>
          <w:kern w:val="0"/>
          <w14:ligatures w14:val="none"/>
        </w:rPr>
        <w:t xml:space="preserve"> social determinant </w:t>
      </w:r>
      <w:r w:rsidR="00C14D35">
        <w:rPr>
          <w:rFonts w:ascii="Times New Roman" w:eastAsia="Times New Roman" w:hAnsi="Times New Roman" w:cs="Times New Roman"/>
          <w:kern w:val="0"/>
          <w14:ligatures w14:val="none"/>
        </w:rPr>
        <w:t xml:space="preserve">of health </w:t>
      </w:r>
      <w:r w:rsidR="00547AF5" w:rsidRPr="001771DC">
        <w:rPr>
          <w:rFonts w:ascii="Times New Roman" w:eastAsia="Times New Roman" w:hAnsi="Times New Roman" w:cs="Times New Roman"/>
          <w:kern w:val="0"/>
          <w14:ligatures w14:val="none"/>
        </w:rPr>
        <w:t xml:space="preserve">that </w:t>
      </w:r>
      <w:r w:rsidR="00C14D35">
        <w:rPr>
          <w:rFonts w:ascii="Times New Roman" w:eastAsia="Times New Roman" w:hAnsi="Times New Roman" w:cs="Times New Roman"/>
          <w:kern w:val="0"/>
          <w14:ligatures w14:val="none"/>
        </w:rPr>
        <w:t>may</w:t>
      </w:r>
      <w:r w:rsidR="002E753D">
        <w:rPr>
          <w:rFonts w:ascii="Times New Roman" w:eastAsia="Times New Roman" w:hAnsi="Times New Roman" w:cs="Times New Roman"/>
          <w:kern w:val="0"/>
          <w14:ligatures w14:val="none"/>
        </w:rPr>
        <w:t xml:space="preserve"> influence </w:t>
      </w:r>
      <w:r w:rsidR="00AA2F15">
        <w:rPr>
          <w:rFonts w:ascii="Times New Roman" w:eastAsia="Times New Roman" w:hAnsi="Times New Roman" w:cs="Times New Roman"/>
          <w:kern w:val="0"/>
          <w14:ligatures w14:val="none"/>
        </w:rPr>
        <w:t xml:space="preserve">the </w:t>
      </w:r>
      <w:r w:rsidR="00AA2F15" w:rsidRPr="001771DC">
        <w:rPr>
          <w:rFonts w:ascii="Times New Roman" w:eastAsia="Times New Roman" w:hAnsi="Times New Roman" w:cs="Times New Roman"/>
          <w:kern w:val="0"/>
          <w14:ligatures w14:val="none"/>
        </w:rPr>
        <w:t>exposure</w:t>
      </w:r>
      <w:r w:rsidR="002E753D">
        <w:rPr>
          <w:rFonts w:ascii="Times New Roman" w:eastAsia="Times New Roman" w:hAnsi="Times New Roman" w:cs="Times New Roman"/>
          <w:kern w:val="0"/>
          <w14:ligatures w14:val="none"/>
        </w:rPr>
        <w:t xml:space="preserve"> to </w:t>
      </w:r>
      <w:r w:rsidR="00E666B3" w:rsidRPr="001771DC">
        <w:rPr>
          <w:rFonts w:ascii="Times New Roman" w:eastAsia="Times New Roman" w:hAnsi="Times New Roman" w:cs="Times New Roman"/>
          <w:kern w:val="0"/>
          <w14:ligatures w14:val="none"/>
        </w:rPr>
        <w:t>environmental endocrine</w:t>
      </w:r>
      <w:r w:rsidR="002E753D">
        <w:rPr>
          <w:rFonts w:ascii="Times New Roman" w:eastAsia="Times New Roman" w:hAnsi="Times New Roman" w:cs="Times New Roman"/>
          <w:kern w:val="0"/>
          <w14:ligatures w14:val="none"/>
        </w:rPr>
        <w:t>-</w:t>
      </w:r>
      <w:r w:rsidR="00E666B3" w:rsidRPr="001771DC">
        <w:rPr>
          <w:rFonts w:ascii="Times New Roman" w:eastAsia="Times New Roman" w:hAnsi="Times New Roman" w:cs="Times New Roman"/>
          <w:kern w:val="0"/>
          <w14:ligatures w14:val="none"/>
        </w:rPr>
        <w:t xml:space="preserve">disrupting </w:t>
      </w:r>
      <w:r w:rsidR="002E753D">
        <w:rPr>
          <w:rFonts w:ascii="Times New Roman" w:eastAsia="Times New Roman" w:hAnsi="Times New Roman" w:cs="Times New Roman"/>
          <w:kern w:val="0"/>
          <w14:ligatures w14:val="none"/>
        </w:rPr>
        <w:t>phenols through the</w:t>
      </w:r>
      <w:r w:rsidR="00A2484B" w:rsidRPr="001771DC">
        <w:rPr>
          <w:rFonts w:ascii="Times New Roman" w:eastAsia="Times New Roman" w:hAnsi="Times New Roman" w:cs="Times New Roman"/>
          <w:kern w:val="0"/>
          <w14:ligatures w14:val="none"/>
        </w:rPr>
        <w:t xml:space="preserve"> intake of ultra-processed foods.</w:t>
      </w:r>
      <w:r w:rsidR="00E666B3" w:rsidRPr="001771DC">
        <w:rPr>
          <w:rFonts w:ascii="Times New Roman" w:eastAsia="Times New Roman" w:hAnsi="Times New Roman" w:cs="Times New Roman"/>
          <w:kern w:val="0"/>
          <w14:ligatures w14:val="none"/>
        </w:rPr>
        <w:t xml:space="preserve"> </w:t>
      </w:r>
      <w:r w:rsidR="00DC2BF9" w:rsidRPr="00DC2BF9">
        <w:rPr>
          <w:rFonts w:ascii="Times New Roman" w:eastAsia="Times New Roman" w:hAnsi="Times New Roman" w:cs="Times New Roman"/>
          <w:kern w:val="0"/>
          <w14:ligatures w14:val="none"/>
        </w:rPr>
        <w:t>We examined associations between household food security and urinary phenol metabolite concentrations among U.S. adults and assessed effect modification by sex and race/ethnicity using National Health and Nutrition Examination Survey (NHANES) data from 2005–2016.</w:t>
      </w:r>
    </w:p>
    <w:p w14:paraId="4B972CC7" w14:textId="77777777" w:rsidR="00DC2BF9" w:rsidRPr="00DC2BF9" w:rsidRDefault="00DC2BF9" w:rsidP="00D64853">
      <w:pPr>
        <w:spacing w:after="0" w:line="259" w:lineRule="auto"/>
        <w:rPr>
          <w:rFonts w:ascii="Times New Roman" w:hAnsi="Times New Roman" w:cs="Times New Roman"/>
        </w:rPr>
      </w:pPr>
    </w:p>
    <w:p w14:paraId="14DFB316" w14:textId="0000BEB3" w:rsidR="008E06D7" w:rsidRDefault="00D64853" w:rsidP="00E97107">
      <w:pPr>
        <w:spacing w:after="0" w:line="259" w:lineRule="auto"/>
        <w:rPr>
          <w:rFonts w:ascii="Times New Roman" w:hAnsi="Times New Roman" w:cs="Times New Roman"/>
        </w:rPr>
      </w:pPr>
      <w:r w:rsidRPr="001771DC">
        <w:rPr>
          <w:rFonts w:ascii="Times New Roman" w:eastAsia="Times New Roman" w:hAnsi="Times New Roman" w:cs="Times New Roman"/>
          <w:b/>
          <w:bCs/>
          <w:kern w:val="0"/>
          <w14:ligatures w14:val="none"/>
        </w:rPr>
        <w:t>Methods.</w:t>
      </w:r>
      <w:r w:rsidRPr="001771DC">
        <w:rPr>
          <w:rFonts w:ascii="Times New Roman" w:eastAsia="Times New Roman" w:hAnsi="Times New Roman" w:cs="Times New Roman"/>
          <w:kern w:val="0"/>
          <w14:ligatures w14:val="none"/>
        </w:rPr>
        <w:t xml:space="preserve"> The study cohort </w:t>
      </w:r>
      <w:r w:rsidR="00DC2BF9">
        <w:rPr>
          <w:rFonts w:ascii="Times New Roman" w:eastAsia="Times New Roman" w:hAnsi="Times New Roman" w:cs="Times New Roman"/>
          <w:kern w:val="0"/>
          <w14:ligatures w14:val="none"/>
        </w:rPr>
        <w:t>includes 10</w:t>
      </w:r>
      <w:r w:rsidRPr="001771DC">
        <w:rPr>
          <w:rFonts w:ascii="Times New Roman" w:eastAsia="Times New Roman" w:hAnsi="Times New Roman" w:cs="Times New Roman"/>
          <w:kern w:val="0"/>
          <w14:ligatures w14:val="none"/>
        </w:rPr>
        <w:t xml:space="preserve">,094 </w:t>
      </w:r>
      <w:r w:rsidR="00E97107" w:rsidRPr="001771DC">
        <w:rPr>
          <w:rFonts w:ascii="Times New Roman" w:eastAsia="Times New Roman" w:hAnsi="Times New Roman" w:cs="Times New Roman"/>
          <w:kern w:val="0"/>
          <w14:ligatures w14:val="none"/>
        </w:rPr>
        <w:t>adults</w:t>
      </w:r>
      <w:r w:rsidRPr="001771DC">
        <w:rPr>
          <w:rFonts w:ascii="Times New Roman" w:eastAsia="Times New Roman" w:hAnsi="Times New Roman" w:cs="Times New Roman"/>
          <w:kern w:val="0"/>
          <w14:ligatures w14:val="none"/>
        </w:rPr>
        <w:t xml:space="preserve">. Household </w:t>
      </w:r>
      <w:r w:rsidR="00FE29BD">
        <w:rPr>
          <w:rFonts w:ascii="Times New Roman" w:eastAsia="Times New Roman" w:hAnsi="Times New Roman" w:cs="Times New Roman"/>
          <w:kern w:val="0"/>
          <w14:ligatures w14:val="none"/>
        </w:rPr>
        <w:t>f</w:t>
      </w:r>
      <w:r w:rsidRPr="001771DC">
        <w:rPr>
          <w:rFonts w:ascii="Times New Roman" w:eastAsia="Times New Roman" w:hAnsi="Times New Roman" w:cs="Times New Roman"/>
          <w:kern w:val="0"/>
          <w14:ligatures w14:val="none"/>
        </w:rPr>
        <w:t xml:space="preserve">ood </w:t>
      </w:r>
      <w:r w:rsidR="00FE29BD">
        <w:rPr>
          <w:rFonts w:ascii="Times New Roman" w:eastAsia="Times New Roman" w:hAnsi="Times New Roman" w:cs="Times New Roman"/>
          <w:kern w:val="0"/>
          <w14:ligatures w14:val="none"/>
        </w:rPr>
        <w:t>s</w:t>
      </w:r>
      <w:r w:rsidRPr="001771DC">
        <w:rPr>
          <w:rFonts w:ascii="Times New Roman" w:eastAsia="Times New Roman" w:hAnsi="Times New Roman" w:cs="Times New Roman"/>
          <w:kern w:val="0"/>
          <w14:ligatures w14:val="none"/>
        </w:rPr>
        <w:t>ecurity was established utilizing the USDA Food Security Survey Module (FSSM)</w:t>
      </w:r>
      <w:r w:rsidR="00E97107">
        <w:rPr>
          <w:rFonts w:ascii="Times New Roman" w:eastAsia="Times New Roman" w:hAnsi="Times New Roman" w:cs="Times New Roman"/>
          <w:kern w:val="0"/>
          <w14:ligatures w14:val="none"/>
        </w:rPr>
        <w:t xml:space="preserve"> and</w:t>
      </w:r>
      <w:r w:rsidRPr="001771DC">
        <w:rPr>
          <w:rFonts w:ascii="Times New Roman" w:eastAsia="Times New Roman" w:hAnsi="Times New Roman" w:cs="Times New Roman"/>
          <w:kern w:val="0"/>
          <w14:ligatures w14:val="none"/>
        </w:rPr>
        <w:t xml:space="preserve"> categorized</w:t>
      </w:r>
      <w:r w:rsidR="00E97107">
        <w:rPr>
          <w:rFonts w:ascii="Times New Roman" w:eastAsia="Times New Roman" w:hAnsi="Times New Roman" w:cs="Times New Roman"/>
          <w:kern w:val="0"/>
          <w14:ligatures w14:val="none"/>
        </w:rPr>
        <w:t xml:space="preserve"> as </w:t>
      </w:r>
      <w:r w:rsidRPr="001771DC">
        <w:rPr>
          <w:rFonts w:ascii="Times New Roman" w:eastAsia="Times New Roman" w:hAnsi="Times New Roman" w:cs="Times New Roman"/>
          <w:kern w:val="0"/>
          <w14:ligatures w14:val="none"/>
        </w:rPr>
        <w:t xml:space="preserve">high, marginal, low and very low food secure. Multivariable linear regressions </w:t>
      </w:r>
      <w:r w:rsidR="00E97107">
        <w:rPr>
          <w:rFonts w:ascii="Times New Roman" w:eastAsia="Times New Roman" w:hAnsi="Times New Roman" w:cs="Times New Roman"/>
          <w:kern w:val="0"/>
          <w14:ligatures w14:val="none"/>
        </w:rPr>
        <w:t>assessed</w:t>
      </w:r>
      <w:r w:rsidRPr="001771DC">
        <w:rPr>
          <w:rFonts w:ascii="Times New Roman" w:eastAsia="Times New Roman" w:hAnsi="Times New Roman" w:cs="Times New Roman"/>
          <w:kern w:val="0"/>
          <w14:ligatures w14:val="none"/>
        </w:rPr>
        <w:t xml:space="preserve"> the association between household food security status and urinary phenol metabolite concentrations, adjusting for sociodemographic factors</w:t>
      </w:r>
      <w:r w:rsidR="00BF059B">
        <w:rPr>
          <w:rFonts w:ascii="Times New Roman" w:eastAsia="Times New Roman" w:hAnsi="Times New Roman" w:cs="Times New Roman"/>
          <w:kern w:val="0"/>
          <w14:ligatures w14:val="none"/>
        </w:rPr>
        <w:t>,</w:t>
      </w:r>
      <w:r w:rsidR="00FE29BD">
        <w:rPr>
          <w:rFonts w:ascii="Times New Roman" w:hAnsi="Times New Roman" w:cs="Times New Roman"/>
        </w:rPr>
        <w:t xml:space="preserve"> </w:t>
      </w:r>
      <w:r w:rsidRPr="001771DC">
        <w:rPr>
          <w:rFonts w:ascii="Times New Roman" w:hAnsi="Times New Roman" w:cs="Times New Roman"/>
        </w:rPr>
        <w:t xml:space="preserve">creatinine, and cycle years. </w:t>
      </w:r>
      <w:r w:rsidR="00E97107">
        <w:rPr>
          <w:rFonts w:ascii="Times New Roman" w:hAnsi="Times New Roman" w:cs="Times New Roman"/>
        </w:rPr>
        <w:t xml:space="preserve">Effect </w:t>
      </w:r>
      <w:r w:rsidRPr="001771DC">
        <w:rPr>
          <w:rFonts w:ascii="Times New Roman" w:hAnsi="Times New Roman" w:cs="Times New Roman"/>
        </w:rPr>
        <w:t xml:space="preserve">measure modification </w:t>
      </w:r>
      <w:r w:rsidR="00E97107">
        <w:rPr>
          <w:rFonts w:ascii="Times New Roman" w:hAnsi="Times New Roman" w:cs="Times New Roman"/>
        </w:rPr>
        <w:t>by</w:t>
      </w:r>
      <w:r w:rsidRPr="001771DC">
        <w:rPr>
          <w:rFonts w:ascii="Times New Roman" w:hAnsi="Times New Roman" w:cs="Times New Roman"/>
        </w:rPr>
        <w:t xml:space="preserve"> </w:t>
      </w:r>
      <w:r w:rsidR="00DB22D1">
        <w:rPr>
          <w:rFonts w:ascii="Times New Roman" w:hAnsi="Times New Roman" w:cs="Times New Roman"/>
        </w:rPr>
        <w:t>sex and race/ethnicity</w:t>
      </w:r>
      <w:r w:rsidR="00E97107">
        <w:rPr>
          <w:rFonts w:ascii="Times New Roman" w:hAnsi="Times New Roman" w:cs="Times New Roman"/>
        </w:rPr>
        <w:t xml:space="preserve"> was analyzed. </w:t>
      </w:r>
    </w:p>
    <w:p w14:paraId="29533F60" w14:textId="77777777" w:rsidR="00E97107" w:rsidRPr="00E97107" w:rsidRDefault="00E97107" w:rsidP="00E97107">
      <w:pPr>
        <w:spacing w:after="0" w:line="259" w:lineRule="auto"/>
        <w:rPr>
          <w:rFonts w:ascii="Times New Roman" w:hAnsi="Times New Roman" w:cs="Times New Roman"/>
        </w:rPr>
      </w:pPr>
    </w:p>
    <w:p w14:paraId="1787EF02" w14:textId="4DEF4661" w:rsidR="008E06D7" w:rsidRPr="001771DC" w:rsidRDefault="00D64853" w:rsidP="00D64853">
      <w:pPr>
        <w:spacing w:line="240" w:lineRule="auto"/>
        <w:rPr>
          <w:rFonts w:ascii="Times New Roman" w:eastAsia="Times New Roman" w:hAnsi="Times New Roman" w:cs="Times New Roman"/>
          <w:kern w:val="0"/>
          <w14:ligatures w14:val="none"/>
        </w:rPr>
      </w:pPr>
      <w:r w:rsidRPr="001771DC">
        <w:rPr>
          <w:rFonts w:ascii="Times New Roman" w:eastAsia="Times New Roman" w:hAnsi="Times New Roman" w:cs="Times New Roman"/>
          <w:b/>
          <w:bCs/>
          <w:kern w:val="0"/>
          <w14:ligatures w14:val="none"/>
        </w:rPr>
        <w:t>Results.</w:t>
      </w:r>
      <w:r w:rsidRPr="001771DC">
        <w:rPr>
          <w:rFonts w:ascii="Times New Roman" w:eastAsia="Times New Roman" w:hAnsi="Times New Roman" w:cs="Times New Roman"/>
          <w:kern w:val="0"/>
          <w14:ligatures w14:val="none"/>
        </w:rPr>
        <w:t xml:space="preserve"> </w:t>
      </w:r>
      <w:r w:rsidR="00F45866" w:rsidRPr="00DB22D1">
        <w:rPr>
          <w:rFonts w:ascii="Times New Roman" w:hAnsi="Times New Roman" w:cs="Times New Roman"/>
          <w:color w:val="000000"/>
        </w:rPr>
        <w:t>Reduced food security was generally associated to lower concentrations of most urinary phenols in fully adjusted regression models, with the largest inverse associations consistently occurring in very low food security.</w:t>
      </w:r>
      <w:r w:rsidR="00E878E9" w:rsidRPr="00DB22D1">
        <w:rPr>
          <w:rFonts w:ascii="Times New Roman" w:hAnsi="Times New Roman" w:cs="Times New Roman"/>
          <w:color w:val="000000"/>
        </w:rPr>
        <w:t xml:space="preserve"> This included </w:t>
      </w:r>
      <w:r w:rsidR="00E878E9" w:rsidRPr="00DB22D1">
        <w:rPr>
          <w:rFonts w:ascii="Times New Roman" w:hAnsi="Times New Roman" w:cs="Times New Roman"/>
          <w:color w:val="000000"/>
        </w:rPr>
        <w:t>triclosan (−24.5% [95% CI: −36.8%, −9.8%]), ethyl paraben (−26.0% [95% CI: −35.1%, −15.6%]), methyl paraben (−21.5% [95% CI: −35.1%, −5.2%]), and propyl paraben (−25.1% [95% CI: −40.8%, −5.2%]).</w:t>
      </w:r>
      <w:r w:rsidR="00E878E9" w:rsidRPr="00DB22D1">
        <w:rPr>
          <w:rFonts w:ascii="Times New Roman" w:eastAsia="Times New Roman" w:hAnsi="Times New Roman" w:cs="Times New Roman"/>
          <w:kern w:val="0"/>
          <w14:ligatures w14:val="none"/>
        </w:rPr>
        <w:t xml:space="preserve"> </w:t>
      </w:r>
      <w:r w:rsidR="00F45866" w:rsidRPr="00DB22D1">
        <w:rPr>
          <w:rFonts w:ascii="Times New Roman" w:hAnsi="Times New Roman" w:cs="Times New Roman"/>
          <w:color w:val="000000"/>
        </w:rPr>
        <w:t xml:space="preserve">Bisphenol A was the only phenol to show positive percent differences with decreasing food </w:t>
      </w:r>
      <w:r w:rsidR="001771DC" w:rsidRPr="00DB22D1">
        <w:rPr>
          <w:rFonts w:ascii="Times New Roman" w:hAnsi="Times New Roman" w:cs="Times New Roman"/>
          <w:color w:val="000000"/>
        </w:rPr>
        <w:t>security but</w:t>
      </w:r>
      <w:r w:rsidR="00F45866" w:rsidRPr="00DB22D1">
        <w:rPr>
          <w:rFonts w:ascii="Times New Roman" w:hAnsi="Times New Roman" w:cs="Times New Roman"/>
          <w:color w:val="000000"/>
        </w:rPr>
        <w:t xml:space="preserve"> was not statistically significant.</w:t>
      </w:r>
      <w:r w:rsidR="00E878E9" w:rsidRPr="00DB22D1">
        <w:rPr>
          <w:rFonts w:ascii="Times New Roman" w:hAnsi="Times New Roman" w:cs="Times New Roman"/>
        </w:rPr>
        <w:t xml:space="preserve"> </w:t>
      </w:r>
      <w:r w:rsidR="006761BD">
        <w:rPr>
          <w:rFonts w:ascii="Times New Roman" w:hAnsi="Times New Roman" w:cs="Times New Roman"/>
        </w:rPr>
        <w:t xml:space="preserve">For </w:t>
      </w:r>
      <w:r w:rsidR="009E153E">
        <w:rPr>
          <w:rFonts w:ascii="Times New Roman" w:hAnsi="Times New Roman" w:cs="Times New Roman"/>
        </w:rPr>
        <w:t xml:space="preserve">sex and race/ethnicity </w:t>
      </w:r>
      <w:r w:rsidR="00DB22D1" w:rsidRPr="00DB22D1">
        <w:rPr>
          <w:rFonts w:ascii="Times New Roman" w:hAnsi="Times New Roman" w:cs="Times New Roman"/>
        </w:rPr>
        <w:t>associations</w:t>
      </w:r>
      <w:r w:rsidR="006761BD">
        <w:rPr>
          <w:rFonts w:ascii="Times New Roman" w:hAnsi="Times New Roman" w:cs="Times New Roman"/>
        </w:rPr>
        <w:t xml:space="preserve">, </w:t>
      </w:r>
      <w:r w:rsidR="00DB22D1" w:rsidRPr="00DB22D1">
        <w:rPr>
          <w:rFonts w:ascii="Times New Roman" w:hAnsi="Times New Roman" w:cs="Times New Roman"/>
        </w:rPr>
        <w:t>females</w:t>
      </w:r>
      <w:r w:rsidR="00BF059B">
        <w:rPr>
          <w:rFonts w:ascii="Times New Roman" w:hAnsi="Times New Roman" w:cs="Times New Roman"/>
        </w:rPr>
        <w:t xml:space="preserve">, </w:t>
      </w:r>
      <w:r w:rsidR="00DB22D1" w:rsidRPr="00DB22D1">
        <w:rPr>
          <w:rFonts w:ascii="Times New Roman" w:hAnsi="Times New Roman" w:cs="Times New Roman"/>
        </w:rPr>
        <w:t>Mexican-American</w:t>
      </w:r>
      <w:r w:rsidR="00BF059B">
        <w:rPr>
          <w:rFonts w:ascii="Times New Roman" w:hAnsi="Times New Roman" w:cs="Times New Roman"/>
        </w:rPr>
        <w:t>,</w:t>
      </w:r>
      <w:r w:rsidR="00DB22D1" w:rsidRPr="00DB22D1">
        <w:rPr>
          <w:rFonts w:ascii="Times New Roman" w:hAnsi="Times New Roman" w:cs="Times New Roman"/>
        </w:rPr>
        <w:t xml:space="preserve"> and non-Hispanic Black individuals generally showed positive associations with some parabens.</w:t>
      </w:r>
    </w:p>
    <w:p w14:paraId="3FE6E990" w14:textId="26189139" w:rsidR="008E06D7" w:rsidRPr="001771DC" w:rsidRDefault="008E06D7" w:rsidP="00D64853">
      <w:pPr>
        <w:spacing w:line="240" w:lineRule="auto"/>
        <w:rPr>
          <w:rFonts w:ascii="Times New Roman" w:eastAsia="Times New Roman" w:hAnsi="Times New Roman" w:cs="Times New Roman"/>
          <w:b/>
          <w:bCs/>
          <w:kern w:val="0"/>
          <w14:ligatures w14:val="none"/>
        </w:rPr>
      </w:pPr>
      <w:r w:rsidRPr="001771DC">
        <w:rPr>
          <w:rFonts w:ascii="Times New Roman" w:eastAsia="Times New Roman" w:hAnsi="Times New Roman" w:cs="Times New Roman"/>
          <w:b/>
          <w:bCs/>
          <w:kern w:val="0"/>
          <w14:ligatures w14:val="none"/>
        </w:rPr>
        <w:t>Conclusion.</w:t>
      </w:r>
    </w:p>
    <w:p w14:paraId="329438C4" w14:textId="2996CE72" w:rsidR="00D64853" w:rsidRPr="00D64853" w:rsidRDefault="007707ED" w:rsidP="00D64853">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w:t>
      </w:r>
      <w:r w:rsidRPr="007707ED">
        <w:rPr>
          <w:rFonts w:ascii="Times New Roman" w:eastAsia="Times New Roman" w:hAnsi="Times New Roman" w:cs="Times New Roman"/>
          <w:kern w:val="0"/>
          <w14:ligatures w14:val="none"/>
        </w:rPr>
        <w:t>educed food security was associated with lower urinary</w:t>
      </w:r>
      <w:r>
        <w:rPr>
          <w:rFonts w:ascii="Times New Roman" w:eastAsia="Times New Roman" w:hAnsi="Times New Roman" w:cs="Times New Roman"/>
          <w:kern w:val="0"/>
          <w14:ligatures w14:val="none"/>
        </w:rPr>
        <w:t xml:space="preserve"> phenol</w:t>
      </w:r>
      <w:r w:rsidRPr="007707ED">
        <w:rPr>
          <w:rFonts w:ascii="Times New Roman" w:eastAsia="Times New Roman" w:hAnsi="Times New Roman" w:cs="Times New Roman"/>
          <w:kern w:val="0"/>
          <w14:ligatures w14:val="none"/>
        </w:rPr>
        <w:t xml:space="preserve"> concentration</w:t>
      </w:r>
      <w:r w:rsidR="00747697">
        <w:rPr>
          <w:rFonts w:ascii="Times New Roman" w:eastAsia="Times New Roman" w:hAnsi="Times New Roman" w:cs="Times New Roman"/>
          <w:kern w:val="0"/>
          <w14:ligatures w14:val="none"/>
        </w:rPr>
        <w:t>s</w:t>
      </w:r>
      <w:r w:rsidRPr="007707ED">
        <w:rPr>
          <w:rFonts w:ascii="Times New Roman" w:eastAsia="Times New Roman" w:hAnsi="Times New Roman" w:cs="Times New Roman"/>
          <w:kern w:val="0"/>
          <w14:ligatures w14:val="none"/>
        </w:rPr>
        <w:t xml:space="preserve">, with </w:t>
      </w:r>
      <w:r>
        <w:rPr>
          <w:rFonts w:ascii="Times New Roman" w:eastAsia="Times New Roman" w:hAnsi="Times New Roman" w:cs="Times New Roman"/>
          <w:kern w:val="0"/>
          <w14:ligatures w14:val="none"/>
        </w:rPr>
        <w:t>strong associations</w:t>
      </w:r>
      <w:r w:rsidRPr="007707ED">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of </w:t>
      </w:r>
      <w:r w:rsidRPr="007707ED">
        <w:rPr>
          <w:rFonts w:ascii="Times New Roman" w:eastAsia="Times New Roman" w:hAnsi="Times New Roman" w:cs="Times New Roman"/>
          <w:kern w:val="0"/>
          <w14:ligatures w14:val="none"/>
        </w:rPr>
        <w:t>effect measure modification by sex and race/ethnicity.</w:t>
      </w:r>
      <w:r>
        <w:rPr>
          <w:rFonts w:ascii="Times New Roman" w:eastAsia="Times New Roman" w:hAnsi="Times New Roman" w:cs="Times New Roman"/>
          <w:kern w:val="0"/>
          <w14:ligatures w14:val="none"/>
        </w:rPr>
        <w:t xml:space="preserve"> </w:t>
      </w:r>
      <w:r w:rsidR="005D3384">
        <w:rPr>
          <w:rFonts w:ascii="Times New Roman" w:eastAsia="Times New Roman" w:hAnsi="Times New Roman" w:cs="Times New Roman"/>
          <w:kern w:val="0"/>
          <w14:ligatures w14:val="none"/>
        </w:rPr>
        <w:t xml:space="preserve">Future prospective studies should </w:t>
      </w:r>
      <w:r w:rsidR="00116B49">
        <w:rPr>
          <w:rFonts w:ascii="Times New Roman" w:eastAsia="Times New Roman" w:hAnsi="Times New Roman" w:cs="Times New Roman"/>
          <w:kern w:val="0"/>
          <w14:ligatures w14:val="none"/>
        </w:rPr>
        <w:t xml:space="preserve">further examine one’s </w:t>
      </w:r>
      <w:r w:rsidR="005441D6" w:rsidRPr="005441D6">
        <w:rPr>
          <w:rFonts w:ascii="Times New Roman" w:eastAsia="Times New Roman" w:hAnsi="Times New Roman" w:cs="Times New Roman"/>
          <w:kern w:val="0"/>
          <w14:ligatures w14:val="none"/>
        </w:rPr>
        <w:t xml:space="preserve">food intake patterns among </w:t>
      </w:r>
      <w:r w:rsidR="005441D6">
        <w:rPr>
          <w:rFonts w:ascii="Times New Roman" w:eastAsia="Times New Roman" w:hAnsi="Times New Roman" w:cs="Times New Roman"/>
          <w:kern w:val="0"/>
          <w14:ligatures w14:val="none"/>
        </w:rPr>
        <w:t>vulnerable</w:t>
      </w:r>
      <w:r w:rsidR="005441D6" w:rsidRPr="005441D6">
        <w:rPr>
          <w:rFonts w:ascii="Times New Roman" w:eastAsia="Times New Roman" w:hAnsi="Times New Roman" w:cs="Times New Roman"/>
          <w:kern w:val="0"/>
          <w14:ligatures w14:val="none"/>
        </w:rPr>
        <w:t xml:space="preserve"> populations to better understand the </w:t>
      </w:r>
      <w:r w:rsidR="005441D6">
        <w:rPr>
          <w:rFonts w:ascii="Times New Roman" w:eastAsia="Times New Roman" w:hAnsi="Times New Roman" w:cs="Times New Roman"/>
          <w:kern w:val="0"/>
          <w14:ligatures w14:val="none"/>
        </w:rPr>
        <w:t>association</w:t>
      </w:r>
      <w:r w:rsidR="005441D6" w:rsidRPr="005441D6">
        <w:rPr>
          <w:rFonts w:ascii="Times New Roman" w:eastAsia="Times New Roman" w:hAnsi="Times New Roman" w:cs="Times New Roman"/>
          <w:kern w:val="0"/>
          <w14:ligatures w14:val="none"/>
        </w:rPr>
        <w:t xml:space="preserve"> between </w:t>
      </w:r>
      <w:r w:rsidR="005441D6">
        <w:rPr>
          <w:rFonts w:ascii="Times New Roman" w:eastAsia="Times New Roman" w:hAnsi="Times New Roman" w:cs="Times New Roman"/>
          <w:kern w:val="0"/>
          <w14:ligatures w14:val="none"/>
        </w:rPr>
        <w:t xml:space="preserve">household </w:t>
      </w:r>
      <w:r w:rsidR="005441D6" w:rsidRPr="005441D6">
        <w:rPr>
          <w:rFonts w:ascii="Times New Roman" w:eastAsia="Times New Roman" w:hAnsi="Times New Roman" w:cs="Times New Roman"/>
          <w:kern w:val="0"/>
          <w14:ligatures w14:val="none"/>
        </w:rPr>
        <w:t xml:space="preserve">food security, environmental </w:t>
      </w:r>
      <w:r w:rsidR="005441D6">
        <w:rPr>
          <w:rFonts w:ascii="Times New Roman" w:eastAsia="Times New Roman" w:hAnsi="Times New Roman" w:cs="Times New Roman"/>
          <w:kern w:val="0"/>
          <w14:ligatures w14:val="none"/>
        </w:rPr>
        <w:t xml:space="preserve">chemical </w:t>
      </w:r>
      <w:r w:rsidR="005441D6" w:rsidRPr="005441D6">
        <w:rPr>
          <w:rFonts w:ascii="Times New Roman" w:eastAsia="Times New Roman" w:hAnsi="Times New Roman" w:cs="Times New Roman"/>
          <w:kern w:val="0"/>
          <w14:ligatures w14:val="none"/>
        </w:rPr>
        <w:t>exposures, and health outcomes.</w:t>
      </w:r>
    </w:p>
    <w:p w14:paraId="5C6FC76E" w14:textId="77777777" w:rsidR="00AD742E" w:rsidRDefault="008E64E0" w:rsidP="008E64E0">
      <w:pPr>
        <w:spacing w:line="240" w:lineRule="auto"/>
        <w:rPr>
          <w:rFonts w:ascii="Times New Roman" w:hAnsi="Times New Roman" w:cs="Times New Roman"/>
          <w:b/>
          <w:bCs/>
        </w:rPr>
      </w:pPr>
      <w:r w:rsidRPr="0090202E">
        <w:rPr>
          <w:rFonts w:ascii="Times New Roman" w:hAnsi="Times New Roman" w:cs="Times New Roman"/>
          <w:b/>
          <w:bCs/>
        </w:rPr>
        <w:t>Keywords</w:t>
      </w:r>
    </w:p>
    <w:p w14:paraId="01B594E8" w14:textId="3CE28B5C" w:rsidR="00AB24D7" w:rsidRPr="007707ED" w:rsidRDefault="00F305D7" w:rsidP="008E64E0">
      <w:pPr>
        <w:spacing w:line="240" w:lineRule="auto"/>
        <w:rPr>
          <w:rFonts w:ascii="Times New Roman" w:hAnsi="Times New Roman" w:cs="Times New Roman"/>
        </w:rPr>
      </w:pPr>
      <w:r>
        <w:rPr>
          <w:rFonts w:ascii="Times New Roman" w:hAnsi="Times New Roman" w:cs="Times New Roman"/>
        </w:rPr>
        <w:t xml:space="preserve">Phenols, household, food security, </w:t>
      </w:r>
      <w:r w:rsidR="002336F4">
        <w:rPr>
          <w:rFonts w:ascii="Times New Roman" w:hAnsi="Times New Roman" w:cs="Times New Roman"/>
        </w:rPr>
        <w:t xml:space="preserve">disparities, endocrine disruptors, </w:t>
      </w:r>
      <w:r w:rsidR="00A83CC3">
        <w:rPr>
          <w:rFonts w:ascii="Times New Roman" w:hAnsi="Times New Roman" w:cs="Times New Roman"/>
        </w:rPr>
        <w:t>NHANES</w:t>
      </w:r>
      <w:r w:rsidR="00AB24D7" w:rsidRPr="0090202E">
        <w:rPr>
          <w:rFonts w:ascii="Times New Roman" w:hAnsi="Times New Roman" w:cs="Times New Roman"/>
          <w:b/>
          <w:bCs/>
        </w:rPr>
        <w:br w:type="page"/>
      </w:r>
    </w:p>
    <w:p w14:paraId="3533B207" w14:textId="565E7B86" w:rsidR="005E0C72" w:rsidRPr="00277350" w:rsidRDefault="005E0C72" w:rsidP="00FB69CA">
      <w:pPr>
        <w:pStyle w:val="NormalWeb"/>
        <w:rPr>
          <w:b/>
          <w:bCs/>
        </w:rPr>
      </w:pPr>
      <w:r w:rsidRPr="00277350">
        <w:rPr>
          <w:b/>
          <w:bCs/>
        </w:rPr>
        <w:lastRenderedPageBreak/>
        <w:t>Introduction</w:t>
      </w:r>
    </w:p>
    <w:p w14:paraId="273C1538" w14:textId="57602B74" w:rsidR="00FB69CA" w:rsidRPr="00277350" w:rsidRDefault="00746DC7" w:rsidP="005E0C72">
      <w:pPr>
        <w:pStyle w:val="NormalWeb"/>
        <w:spacing w:before="0" w:beforeAutospacing="0" w:after="0" w:afterAutospacing="0"/>
        <w:ind w:firstLine="720"/>
      </w:pPr>
      <w:r w:rsidRPr="00277350">
        <w:t>In 2023, approximately 12.2 million adults experienced</w:t>
      </w:r>
      <w:r w:rsidR="00D11D2F" w:rsidRPr="00277350">
        <w:t xml:space="preserve"> reduced food security or</w:t>
      </w:r>
      <w:r w:rsidRPr="00277350">
        <w:t xml:space="preserve"> food insecurity.</w:t>
      </w:r>
      <w:r w:rsidR="00D714BD" w:rsidRPr="00277350">
        <w:fldChar w:fldCharType="begin"/>
      </w:r>
      <w:r w:rsidR="00E934B8" w:rsidRPr="00277350">
        <w:instrText xml:space="preserve"> ADDIN ZOTERO_ITEM CSL_CITATION {"citationID":"x9uojkJ2","properties":{"formattedCitation":"\\super 1\\nosupersub{}","plainCitation":"1","noteIndex":0},"citationItems":[{"id":58,"uris":["http://zotero.org/users/local/N9bAOqPz/items/G3XBXV9H"],"itemData":{"id":58,"type":"report","publisher":"United States Department of Agriculture","title":"Food Security in the U.S. - Definitions of Food Security","URL":"https://www.ers.usda.gov/topics/food-nutrition-assistance/food-security-in-the-us/definitions-of-food-security","author":[{"family":"Rabbitt","given":"Matthew"},{"family":"Hales","given":"Laura"},{"family":"Reed-Jones,","given":"Madeline"}],"issued":{"date-parts":[["2025"]]}}}],"schema":"https://github.com/citation-style-language/schema/raw/master/csl-citation.json"} </w:instrText>
      </w:r>
      <w:r w:rsidR="00D714BD" w:rsidRPr="00277350">
        <w:fldChar w:fldCharType="separate"/>
      </w:r>
      <w:r w:rsidR="00E934B8" w:rsidRPr="00277350">
        <w:rPr>
          <w:vertAlign w:val="superscript"/>
        </w:rPr>
        <w:t>1</w:t>
      </w:r>
      <w:r w:rsidR="00D714BD" w:rsidRPr="00277350">
        <w:fldChar w:fldCharType="end"/>
      </w:r>
      <w:r w:rsidR="00E934B8" w:rsidRPr="00277350">
        <w:t xml:space="preserve"> </w:t>
      </w:r>
      <w:r w:rsidR="00D11D2F" w:rsidRPr="00277350">
        <w:t>Food security is defined as “the reliable access to adequate food for a healthy lifestyle”</w:t>
      </w:r>
      <w:r w:rsidR="00D11D2F" w:rsidRPr="00277350">
        <w:fldChar w:fldCharType="begin"/>
      </w:r>
      <w:r w:rsidR="00D11D2F" w:rsidRPr="00277350">
        <w:instrText xml:space="preserve"> ADDIN ZOTERO_ITEM CSL_CITATION {"citationID":"z0ARFAwQ","properties":{"formattedCitation":"\\super 1\\nosupersub{}","plainCitation":"1","noteIndex":0},"citationItems":[{"id":58,"uris":["http://zotero.org/users/local/N9bAOqPz/items/G3XBXV9H"],"itemData":{"id":58,"type":"report","publisher":"United States Department of Agriculture","title":"Food Security in the U.S. - Definitions of Food Security","URL":"https://www.ers.usda.gov/topics/food-nutrition-assistance/food-security-in-the-us/definitions-of-food-security","author":[{"family":"Rabbitt","given":"Matthew"},{"family":"Hales","given":"Laura"},{"family":"Reed-Jones,","given":"Madeline"}],"issued":{"date-parts":[["2025"]]}}}],"schema":"https://github.com/citation-style-language/schema/raw/master/csl-citation.json"} </w:instrText>
      </w:r>
      <w:r w:rsidR="00D11D2F" w:rsidRPr="00277350">
        <w:fldChar w:fldCharType="separate"/>
      </w:r>
      <w:r w:rsidR="00D11D2F" w:rsidRPr="00277350">
        <w:rPr>
          <w:vertAlign w:val="superscript"/>
        </w:rPr>
        <w:t>1</w:t>
      </w:r>
      <w:r w:rsidR="00D11D2F" w:rsidRPr="00277350">
        <w:fldChar w:fldCharType="end"/>
      </w:r>
      <w:r w:rsidR="00D11D2F" w:rsidRPr="00277350">
        <w:t>, while food insecurity refers to limited or uncertain access due to financial or resource constraints.</w:t>
      </w:r>
      <w:r w:rsidR="00992001" w:rsidRPr="00277350">
        <w:fldChar w:fldCharType="begin"/>
      </w:r>
      <w:r w:rsidR="00B836E0" w:rsidRPr="00277350">
        <w:instrText xml:space="preserve"> ADDIN ZOTERO_ITEM CSL_CITATION {"citationID":"ECHB4vZZ","properties":{"unsorted":false,"formattedCitation":"\\super 1,2\\nosupersub{}","plainCitation":"1,2","noteIndex":0},"citationItems":[{"id":58,"uris":["http://zotero.org/users/local/N9bAOqPz/items/G3XBXV9H"],"itemData":{"id":58,"type":"report","publisher":"United States Department of Agriculture","title":"Food Security in the U.S. - Definitions of Food Security","URL":"https://www.ers.usda.gov/topics/food-nutrition-assistance/food-security-in-the-us/definitions-of-food-security","author":[{"family":"Rabbitt","given":"Matthew"},{"family":"Hales","given":"Laura"},{"family":"Reed-Jones,","given":"Madeline"}],"issued":{"date-parts":[["2025"]]}}},{"id":86,"uris":["http://zotero.org/users/local/N9bAOqPz/items/PBF3ZM5K"],"itemData":{"id":86,"type":"article-journal","abstract":"BACKGROUND: Food insecurity, lack of consistent access to the food needed for an active, healthy life, harms population health. Although substantial biomedical evidence examines the connections between food insecurity and health, fewer studies examine why food insecurity occurs.\nMETHODS: We propose a conceptual understanding of food insecurity risk based on institutions that distribute income-the factor payment system (income distribution stemming from paid labor and asset ownership), transfers within households, and the government tax-and-transfer system. A key feature of our understanding is 'roles' individuals inhabit in relation to the factor payment system: child, older adult, disabled working-age adult, student, unemployed individual, caregiver, or paid laborer. A second feature is that the roles of others in an individual's household also affect an individual's food insecurity risk. We tested hypotheses implied by this understanding, particularly hypotheses relating to role, household composition, and income support programs, using nationally-representative, longitudinal U.S. Current Population Survey data (2016-2019).\nRESULTS: There were 16,884 participants (year 1 food insecurity prevalence: 10.0%). Inhabiting roles of child (Relative Risk [RR] 1.79, 95% Confidence Interval [95%CI] 1.67 to 1.93), disabled working age-adult (RR 3.74, 95%CI 3.25 to 4.31), or unemployed individual (RR 3.29, 95%CI 2.51 to 4.33) were associated with a greater risk of food insecurity than being a paid laborer. Most food insecure households, 74.8%, had members inhabiting roles of child or disabled working age-adult, and/or contained individuals who experienced job loss. Similar associations held when examining those transitioning from food insecurity to food security in year 2.\nCONCLUSIONS: The proposed understanding accords with the pattern of food insecurity risk observed in the U.S. An implication is that transfer income programs for individuals inhabiting roles, such as childhood and disability, that limit factor payment system participation may reduce food insecurity risk for both those individuals and those in their household.","container-title":"SSM - population health","DOI":"10.1016/j.ssmph.2023.101569","ISSN":"2352-8273","journalAbbreviation":"SSM Popul Health","language":"eng","page":"101569","PMID":"38156292","PMCID":"PMC10753081","source":"PubMed","title":"Understanding food insecurity risk in the United States: A longitudinal analysis","title-short":"Understanding food insecurity risk in the United States","volume":"25","author":[{"family":"Berkowitz","given":"Seth A."},{"family":"Seligman","given":"Hilary K."},{"family":"Palakshappa","given":"Deepak"}],"issued":{"date-parts":[["2024",3]]}}}],"schema":"https://github.com/citation-style-language/schema/raw/master/csl-citation.json"} </w:instrText>
      </w:r>
      <w:r w:rsidR="00992001" w:rsidRPr="00277350">
        <w:fldChar w:fldCharType="separate"/>
      </w:r>
      <w:r w:rsidR="00B836E0" w:rsidRPr="00277350">
        <w:rPr>
          <w:vertAlign w:val="superscript"/>
        </w:rPr>
        <w:t>1,2</w:t>
      </w:r>
      <w:r w:rsidR="00992001" w:rsidRPr="00277350">
        <w:fldChar w:fldCharType="end"/>
      </w:r>
      <w:r w:rsidR="00992001" w:rsidRPr="00277350">
        <w:t xml:space="preserve"> </w:t>
      </w:r>
      <w:r w:rsidR="00AA54C7" w:rsidRPr="00277350">
        <w:t xml:space="preserve">Food insecurity in the United States is one of the leading social determinants of health </w:t>
      </w:r>
      <w:r w:rsidR="00420CAA" w:rsidRPr="00277350">
        <w:t>that</w:t>
      </w:r>
      <w:r w:rsidR="00AA54C7" w:rsidRPr="00277350">
        <w:t xml:space="preserve"> can heighten an individual’s risk for diet-related </w:t>
      </w:r>
      <w:r w:rsidR="00D11D2F" w:rsidRPr="00277350">
        <w:t xml:space="preserve">chronic health </w:t>
      </w:r>
      <w:r w:rsidR="00AA54C7" w:rsidRPr="00277350">
        <w:t xml:space="preserve">diseases </w:t>
      </w:r>
      <w:r w:rsidR="00D11D2F" w:rsidRPr="00277350">
        <w:t>including</w:t>
      </w:r>
      <w:r w:rsidR="00AA54C7" w:rsidRPr="00277350">
        <w:t xml:space="preserve"> cardiovascular disease, diabetes, and certain cancers</w:t>
      </w:r>
      <w:r w:rsidR="00E934B8" w:rsidRPr="00277350">
        <w:fldChar w:fldCharType="begin"/>
      </w:r>
      <w:r w:rsidR="00B836E0" w:rsidRPr="00277350">
        <w:instrText xml:space="preserve"> ADDIN ZOTERO_ITEM CSL_CITATION {"citationID":"FtHaVTkI","properties":{"formattedCitation":"\\super 3,4\\nosupersub{}","plainCitation":"3,4","noteIndex":0},"citationItems":[{"id":32,"uris":["http://zotero.org/users/local/N9bAOqPz/items/DV8RCPS9"],"itemData":{"id":32,"type":"article-journal","abstract":"INTRODUCTION: Cardiovascular disease is a leading cause of mortality in the U.S. Although the risk of cardiovascular disease can be mitigated substantially by following a healthy lifestyle, adhering to a healthy diet and other healthy behaviors are limited by reduced food security. This study aims to determine the association between food security and cardiovascular disease risk.\nMETHODS: Three samples from the 2007-2014 National Health and Nutrition Examination Survey were examined: (1) 7,340 non-fasting adults (aged 40-79 years); (2) 13,518 non-fasting adults (aged 20-64 years); and (3) 6,494 fasting adults (aged 20-64 years). Food security was assessed using the U.S. Household Food Security Survey Module, with households categorized as having full, marginal, low, or very low food security. Regressions were conducted in 2018 to test the associations between food security status and odds of ≥20% 10-year cardiovascular disease risk among middle-aged to older adults (OR, 95% CI) and cardiovascular disease risk factors among all adults (β, 95% CI).\nRESULTS: Compared with adults with full food security, those with very low food security had higher odds of ≥20% 10-year cardiovascular disease risk (OR=2.36, 95% CI=1.25, 4.46), whereas those with marginal food security had higher systolic blood pressure (β=0.94 mmHg, 95% CI=0.09, 1.80). Compared with adults with full food security, adults with different levels of food security had higher BMIs (marginal: 0.76, 95% CI=0.26, 1.26; low: 0.97, 95% CI=0.34, 1.60; and very low: 1.03, 95% CI=0.44, 1.63) and higher odds of current smoking (marginal: OR=1.43, 95% CI=1.17, 1.75; low: OR=1.47, 95% CI=1.22, 1.77; and very low: OR=1.95, 95% CI=1.60, 2.37).\nCONCLUSIONS: Adults with food insecurity have elevated cardiovascular disease risk factors and excess predicted 10-year cardiovascular disease risk. Substantially improving food security may be an important public health intervention to reduce future cardiovascular disease in the U.S.","container-title":"American Journal of Preventive Medicine","DOI":"10.1016/j.amepre.2018.11.016","ISSN":"1873-2607","issue":"5","journalAbbreviation":"Am J Prev Med","language":"eng","page":"689-697","PMID":"30885515","PMCID":"PMC8011593","source":"PubMed","title":"Food Security and 10-Year Cardiovascular Disease Risk Among U.S. Adults","volume":"56","author":[{"family":"Vercammen","given":"Kelsey A."},{"family":"Moran","given":"Alyssa J."},{"family":"McClain","given":"Amanda C."},{"family":"Thorndike","given":"Anne N."},{"family":"Fulay","given":"Aarohee P."},{"family":"Rimm","given":"Eric B."}],"issued":{"date-parts":[["2019",5]]}}},{"id":48,"uris":["http://zotero.org/users/local/N9bAOqPz/items/6NZ2STDT"],"itemData":{"id":48,"type":"article-journal","abstract":"Food insecurity is a persistent concern in high-income countries, and has been associated with poor mental health, particularly among females. We conducted a scoping review to characterize the state of the evidence on food insecurity and mental health among women in high-income countries. The research databases PubMed, EMBASE, and psycINFO were searched using keywords capturing food insecurity, mental health, and women. Thirty-nine articles (representing 31 unique studies/surveys) were identified. Three-quarters of the articles drew upon data from a version of the United States Department of Agriculture Household Food Security Survey Module. A range of mental health measures were used, most commonly to measure depression and depressive symptoms, but also anxiety and stress. Most research was cross-sectional and showed associations between depression and food insecurity; longitudinal analyses suggested bidirectional relationships (with food insecurity increasing the risk of depressive symptoms or diagnosis, or depression predicting food insecurity). Several articles focused on vulnerable subgroups, such as pregnant women and mothers, women at risk of homelessness, refugees, and those who had been exposed to violence or substance abuse. Overall, this review supports a link between food insecurity and mental health (and other factors, such as housing circumstances and exposure to violence) among women in high-income countries and underscores the need for comprehensive policies and programs that recognize complex links among public health challenges.","container-title":"International Journal of Environmental Research and Public Health","DOI":"10.3390/ijerph15071424","ISSN":"1660-4601","issue":"7","journalAbbreviation":"Int J Environ Res Public Health","language":"eng","page":"1424","PMID":"29986420","PMCID":"PMC6068629","source":"PubMed","title":"Food Insecurity and Mental Health among Females in High-Income Countries","volume":"15","author":[{"family":"Maynard","given":"Merryn"},{"family":"Andrade","given":"Lesley"},{"family":"Packull-McCormick","given":"Sara"},{"family":"Perlman","given":"Christopher M."},{"family":"Leos-Toro","given":"Cesar"},{"family":"Kirkpatrick","given":"Sharon I."}],"issued":{"date-parts":[["2018",7,6]]}}}],"schema":"https://github.com/citation-style-language/schema/raw/master/csl-citation.json"} </w:instrText>
      </w:r>
      <w:r w:rsidR="00E934B8" w:rsidRPr="00277350">
        <w:fldChar w:fldCharType="separate"/>
      </w:r>
      <w:r w:rsidR="00B836E0" w:rsidRPr="00277350">
        <w:rPr>
          <w:vertAlign w:val="superscript"/>
        </w:rPr>
        <w:t>3,4</w:t>
      </w:r>
      <w:r w:rsidR="00E934B8" w:rsidRPr="00277350">
        <w:fldChar w:fldCharType="end"/>
      </w:r>
      <w:r w:rsidR="00D11D2F" w:rsidRPr="00277350">
        <w:t>.</w:t>
      </w:r>
      <w:r w:rsidR="00AA54C7" w:rsidRPr="00277350">
        <w:t xml:space="preserve"> </w:t>
      </w:r>
      <w:r w:rsidR="00D11D2F" w:rsidRPr="00277350">
        <w:t xml:space="preserve">Additional disparities are observed given the severity and scale of food insecurity experienced. </w:t>
      </w:r>
      <w:r w:rsidR="00AA54C7" w:rsidRPr="00277350">
        <w:t>On average, about one-third of households with very low food security experience chronic food insecurity, lasting roughly eight months per year</w:t>
      </w:r>
      <w:r w:rsidR="00FA6396" w:rsidRPr="00277350">
        <w:t>.</w:t>
      </w:r>
      <w:r w:rsidR="006244A3" w:rsidRPr="00277350">
        <w:fldChar w:fldCharType="begin"/>
      </w:r>
      <w:r w:rsidR="00B836E0" w:rsidRPr="00277350">
        <w:instrText xml:space="preserve"> ADDIN ZOTERO_ITEM CSL_CITATION {"citationID":"1iJahery","properties":{"formattedCitation":"\\super 5\\nosupersub{}","plainCitation":"5","noteIndex":0},"citationItems":[{"id":56,"uris":["http://zotero.org/users/local/N9bAOqPz/items/444EEBLN"],"itemData":{"id":56,"type":"report","abstract":"This report provides statistics on food security in U.S. households throughout 2023 based on the Current Population Survey Food Security Supplement data collected by the U.S. Department of Commerce, Bureau of the Census, in December 2023. An estimated 86.5 percent of U.S. households were food secure throughout the entire year in 2023, with access at all times to enough food for an active, healthy life for all household members. The remaining households (13.5 percent, statistically significantly higher than the 12.8 percent in 2022) were food insecure at least some time during the year. Very low food security is the more severe range of food insecurity where one or more household members experience reduced food intake and disrupted eating patterns at times during the year because of limited money or other resources for food. In 2023, 5.1 percent of households were very low food secure, an estimate that is statistically similar to the 5.1 percent in 2022. Children and adults were food insecure at times during 2023 in 8.9 percent of U.S. households with children, statistically similar to the 8.8 percent in 2022. In 2023, very low food security among children was 1.0 percent, statistically similar to the 1.0 percent in 2022 and 0.7 percent in 2021. In 2023, the typical food-secure household spent 16 percent more on food than the typical food-insecure household of the same size and household composition. About 58 percent of food-insecure households participated in one or more of the three largest Federal nutrition assistance programs from the U.S. Department of Agriculture's Supplemental Nutrition Assistance Program (SNAP); the Special Supplemental Nutrition Program for Women, Infants, and Children (WIC); and the National School Lunch Program during the month before the 2023 survey.","DOI":"https://doi.org/10113/8583175","publisher":"United States. Department of Agriculture. Economic Research Service.","publisher-place":"Washington, D.C","title":"Household food security in the United States in 2023","author":[{"family":"Rabbitt","given":"Matthew"},{"family":"Reed-Jones,","given":"Madeline"},{"family":"Hales","given":"Laura"},{"family":"Burke","given":"Michael"}],"issued":{"date-parts":[["2024"]]}}}],"schema":"https://github.com/citation-style-language/schema/raw/master/csl-citation.json"} </w:instrText>
      </w:r>
      <w:r w:rsidR="006244A3" w:rsidRPr="00277350">
        <w:fldChar w:fldCharType="separate"/>
      </w:r>
      <w:r w:rsidR="00B836E0" w:rsidRPr="00277350">
        <w:rPr>
          <w:vertAlign w:val="superscript"/>
        </w:rPr>
        <w:t>5</w:t>
      </w:r>
      <w:r w:rsidR="006244A3" w:rsidRPr="00277350">
        <w:fldChar w:fldCharType="end"/>
      </w:r>
      <w:r w:rsidR="00AA54C7" w:rsidRPr="00277350">
        <w:t xml:space="preserve"> </w:t>
      </w:r>
      <w:r w:rsidR="003D09EF" w:rsidRPr="00277350">
        <w:t>Existing literature has found that structural inequities such as systemic racism, economic disadvantage, and neighborhood-level barriers contribute to</w:t>
      </w:r>
      <w:r w:rsidR="00D11D2F" w:rsidRPr="00277350">
        <w:t xml:space="preserve"> variation in the level of food insecurity experienced among households</w:t>
      </w:r>
      <w:r w:rsidR="00C2692B" w:rsidRPr="00277350">
        <w:fldChar w:fldCharType="begin"/>
      </w:r>
      <w:r w:rsidR="00B836E0" w:rsidRPr="00277350">
        <w:instrText xml:space="preserve"> ADDIN ZOTERO_ITEM CSL_CITATION {"citationID":"ab2IxnTo","properties":{"formattedCitation":"\\super 6\\uc0\\u8211{}8\\nosupersub{}","plainCitation":"6–8","noteIndex":0},"citationItems":[{"id":51,"uris":["http://zotero.org/users/local/N9bAOqPz/items/EGNDPPNJ"],"itemData":{"id":51,"type":"article-journal","abstract":"BACKGROUND: Cognitive impairment and dementia are severe public health issues in aging populations, which can be exacerbated by insufficient or unhealthy dietary intake. Food (in)security status is linked to cognitive function among older adults, but the relationship is complex and can vary by sociodemographic characteristics.\nOBJECTIVE: This article aimed to investigate the association between food insecurity and cognitive function among United States older adults and explore potential variations by race and ethnicity groups.\nMETHODS: We prospectively examined changes in cognitive function and incidence of cognitive impairment alongside the presence of self-reported food insecurity among older adults of different racial and ethnic groups. Data were from the 2012-2018 Health and Retirement Study (HRS) and the 2013 Health Care and Nutrition Study (HCNS), including N = 6,638 United States adults aged 50 years and older. Food insecurity was measured by a self-reported United States Household Food Security Survey Module, and cognitive function was assessed by the modified version of the Telephone Interview for Cognitive Status.\nRESULTS: Results showed that 17% of United States older adults reported food insecurity in the 2013 HCNS. Compared with food secure older adults, those reporting food insecurity experienced worsened cognitive functioning over time (B = -0.63, p &lt; .001), and they were more likely to have onset of cognitive impairment (OR= 1.46, p &lt; .001) in the 6-y observation. Compared with non-Hispanic White older adults, being non-Hispanic Black, non-Hispanic Other, or Hispanic was associated with 2.96, 2.09, or 1.26 odds (p &lt; .001) of cognitive impairment (2012-2018), respectively. Older adults of racial and ethnic minority groups also had higher risks of experiencing the double burden of cognitive impairment alongside food insecurity compared with non-Hispanic White older adults.\nCONCLUSION: Findings underscore racial and ethnic structural disparities in food security and cognitive health in the United States aging population.","container-title":"The Journal of Nutrition","DOI":"10.1016/j.tjnut.2023.11.015","ISSN":"1541-6100","issue":"1","journalAbbreviation":"J Nutr","language":"eng","page":"233-242","PMID":"37984739","PMCID":"PMC10925888","source":"PubMed","title":"Food Insecurity, Race and Ethnicity, and Cognitive Function Among United States Older Adults","volume":"154","author":[{"family":"Wang","given":"Haowei"},{"family":"El-Abbadi","given":"Naglaa"}],"issued":{"date-parts":[["2024",1]]}}},{"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M."},{"family":"Agurs-Collins","given":"Tanya"},{"family":"Glanz","given":"Karen"}],"issued":{"date-parts":[["2024",3]]}}},{"id":36,"uris":["http://zotero.org/users/local/N9bAOqPz/items/Y9HCTVLK"],"itemData":{"id":36,"type":"article-journal","abstract":"In recent years, many students have faced economic hardship and experienced food insecurity, even as universities strive to create more equitable pathways to college. There is a need for a more holistic perspective that addresses the complexity of food insecurity amongst college students. To this end, we examined the relationship between the social determinants of health, including college food insecurity (CoFI) and childhood food insecurity (ChFI), and their relationship with well-being measures. The study sample was a convenience sample that included 372 students at a public university who responded to an online survey in fall 2021. Students were asked to report their food security status in the previous 30 days. We used the following analytical strategies: chi-square tests to determine differences between food secure (FS) and food insecure (FI) students; binary logistic regression of CoFI on student demographics and ChFI; and ordinal or binary logistic regression for well-being measures. Black students, off-campus students, first-generation students, in-state students, and humanities/behavioral/social/health sciences majors were more likely to report CoFI. FI students were more likely to have experienced ChFI and to have lower scores on all well-being measures. ChFI was associated with four well-being measures and its effects were mediated by CoFI. College student health initiatives would benefit from accounting for SDOH, including ChFI experiences and its subsequent cumulative disadvantages experienced during college.","container-title":"Nutrients","DOI":"10.3390/nu16091391","ISSN":"2072-6643","issue":"9","journalAbbreviation":"Nutrients","language":"eng","page":"1391","PMID":"38732637","PMCID":"PMC11085391","source":"PubMed","title":"Social Determinants of Health and College Food Insecurity","volume":"16","author":[{"family":"Mobley","given":"Catherine"},{"family":"Luo","given":"Ye"},{"family":"Fernandez","given":"Mariela"},{"family":"Hossfeld","given":"Leslie"}],"issued":{"date-parts":[["2024",5,4]]}}}],"schema":"https://github.com/citation-style-language/schema/raw/master/csl-citation.json"} </w:instrText>
      </w:r>
      <w:r w:rsidR="00C2692B" w:rsidRPr="00277350">
        <w:fldChar w:fldCharType="separate"/>
      </w:r>
      <w:r w:rsidR="00B836E0" w:rsidRPr="00277350">
        <w:rPr>
          <w:vertAlign w:val="superscript"/>
        </w:rPr>
        <w:t>6–8</w:t>
      </w:r>
      <w:r w:rsidR="00C2692B" w:rsidRPr="00277350">
        <w:fldChar w:fldCharType="end"/>
      </w:r>
      <w:r w:rsidR="00D11D2F" w:rsidRPr="00277350">
        <w:t>.</w:t>
      </w:r>
      <w:r w:rsidR="003D09EF" w:rsidRPr="00277350">
        <w:t xml:space="preserve"> </w:t>
      </w:r>
      <w:r w:rsidR="00D11D2F" w:rsidRPr="00277350">
        <w:t xml:space="preserve">Resultingly, populations with lower </w:t>
      </w:r>
      <w:r w:rsidR="00A85E66" w:rsidRPr="00277350">
        <w:t>socioeconomic</w:t>
      </w:r>
      <w:r w:rsidR="00D11D2F" w:rsidRPr="00277350">
        <w:t xml:space="preserve"> status, or marginalized racial and ethnic identities including </w:t>
      </w:r>
      <w:r w:rsidR="003D09EF" w:rsidRPr="00277350">
        <w:t>Non-Hispanic Black and Hispanic households often face</w:t>
      </w:r>
      <w:r w:rsidR="00D11D2F" w:rsidRPr="00277350">
        <w:t xml:space="preserve"> higher rates of</w:t>
      </w:r>
      <w:r w:rsidR="003D09EF" w:rsidRPr="00277350">
        <w:t xml:space="preserve"> </w:t>
      </w:r>
      <w:r w:rsidR="00BA40BD" w:rsidRPr="00277350">
        <w:t>compared to Non-Hispanic White households</w:t>
      </w:r>
      <w:r w:rsidR="00001343" w:rsidRPr="00277350">
        <w:t>.</w:t>
      </w:r>
      <w:r w:rsidR="00001343" w:rsidRPr="00277350">
        <w:fldChar w:fldCharType="begin"/>
      </w:r>
      <w:r w:rsidR="00B836E0" w:rsidRPr="00277350">
        <w:instrText xml:space="preserve"> ADDIN ZOTERO_ITEM CSL_CITATION {"citationID":"22Q8Xyd7","properties":{"formattedCitation":"\\super 7,9\\nosupersub{}","plainCitation":"7,9","noteIndex":0},"citationItems":[{"id":34,"uris":["http://zotero.org/users/local/N9bAOqPz/items/3PT2CHKD"],"itemData":{"id":34,"type":"article-journal","abstract":"Food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M."},{"family":"Agurs-Collins","given":"Tanya"},{"family":"Glanz","given":"Karen"}],"issued":{"date-parts":[["2024",3]]}}},{"id":44,"uris":["http://zotero.org/users/local/N9bAOqPz/items/TBMQ87PY"],"itemData":{"id":44,"type":"article-journal","abstract":"BACKGROUND: Poor dietary quality is a risk factor for diet-related chronic disease and suboptimal nutritional patterns often begin early in the life course. Although the dietary intakes of young children, adolescents, and middle-aged and older adults are well established, much less is known about emerging adults, who represent a unique time point in life, as they are undergoing significant changes in food environments, autonomy, finances, and caregiver and parental involvement.\nOBJECTIVES: This study aimed to examine dietary quality, as assessed via the Healthy Eating Index (HEI), by demographic, socioeconomic, and health-related characteristics among emerging adults (18-23 y) in the United States who participated in the 2015-2018 National Health and Nutrition Examination Survey (NHANES).\nMETHODS: NHANES data were collected via a household interview and 2 24-h dietary recalls (24HR). Usual dietary intakes from the 24HRs were approximated using the multivariate National Cancer Institute Method to compute mean HEI-2015 overall and component scores (range: 0-100; higher scores indicating higher dietary quality).\nRESULTS: Overall dietary quality among emerging adults (HEI-2015: 50.3 ± 1.3) was significantly lower than other adults (≥24 y) (HEI-2015: 56.3 ± 0.5; P &lt; 0.0001) in the United States, with differences primarily driven by lower intakes of whole fruit, vegetables, and whole grains and higher intakes of sodium, refined grains, and saturated fat. Few differences in HEI-2015 scores were noted across population subgroups by sex, food security, family income, and food assistance program participation, except for added sugar; intakes of added sugar were significantly higher among women, food insecure, and food assistance program participants than those in their counterparts, respectively.\nCONCLUSIONS: Dietary quality is poor among emerging adults in the United States and persists across all population subgroups, suggesting a significant need for tailored public health interventions to improve dietary quality among this population. Future research investigating to what extent emerging adults prioritize healthful behaviors and exploring other indicators for identifying nutritionally vulnerable subgroups may be impactful for identifying disparities among this life stage.","container-title":"The Journal of Nutrition","DOI":"10.1016/j.tjnut.2024.06.015","ISSN":"1541-6100","issue":"8","journalAbbreviation":"J Nutr","language":"eng","page":"2524-2533","PMID":"38944345","PMCID":"PMC11826523","source":"PubMed","title":"Dietary Quality and Diet-Related Factors Among Emerging Adults (18-23 y) in the United States Are a Cause for Concern: National Health and Nutrition Examination Survey 2015-2018","title-short":"Dietary Quality and Diet-Related Factors Among Emerging Adults (18-23 y) in the United States Are a Cause for Concern","volume":"154","author":[{"family":"Cowan-Pyle","given":"Alexandra E."},{"family":"Bailey","given":"Regan L."},{"family":"Gao","given":"Jingjing"},{"family":"Hess","given":"Julie M."},{"family":"Ademu","given":"Lilian O."},{"family":"Smith","given":"Jane Lankes"},{"family":"Mitchell","given":"Diane C."},{"family":"Racine","given":"Elizabeth F."}],"issued":{"date-parts":[["2024",8]]}}}],"schema":"https://github.com/citation-style-language/schema/raw/master/csl-citation.json"} </w:instrText>
      </w:r>
      <w:r w:rsidR="00001343" w:rsidRPr="00277350">
        <w:fldChar w:fldCharType="separate"/>
      </w:r>
      <w:r w:rsidR="00B836E0" w:rsidRPr="00277350">
        <w:rPr>
          <w:vertAlign w:val="superscript"/>
        </w:rPr>
        <w:t>7,9</w:t>
      </w:r>
      <w:r w:rsidR="00001343" w:rsidRPr="00277350">
        <w:fldChar w:fldCharType="end"/>
      </w:r>
      <w:r w:rsidR="003E68D3" w:rsidRPr="00277350">
        <w:t xml:space="preserve"> </w:t>
      </w:r>
      <w:r w:rsidR="00FE04DD" w:rsidRPr="00277350">
        <w:t>Furthermore</w:t>
      </w:r>
      <w:r w:rsidR="005A7C8C" w:rsidRPr="00277350">
        <w:t>,</w:t>
      </w:r>
      <w:r w:rsidR="00FE04DD" w:rsidRPr="00277350">
        <w:t xml:space="preserve"> gender </w:t>
      </w:r>
      <w:r w:rsidR="007A6776" w:rsidRPr="00277350">
        <w:t>disparities</w:t>
      </w:r>
      <w:r w:rsidR="00FE04DD" w:rsidRPr="00277350">
        <w:t xml:space="preserve"> </w:t>
      </w:r>
      <w:r w:rsidR="00681F56" w:rsidRPr="00277350">
        <w:t>persist</w:t>
      </w:r>
      <w:r w:rsidR="007A6776" w:rsidRPr="00277350">
        <w:t xml:space="preserve"> </w:t>
      </w:r>
      <w:r w:rsidR="00681F56" w:rsidRPr="00277350">
        <w:t xml:space="preserve">in regard to </w:t>
      </w:r>
      <w:r w:rsidR="007A6776" w:rsidRPr="00277350">
        <w:t>food insecu</w:t>
      </w:r>
      <w:r w:rsidR="00681F56" w:rsidRPr="00277350">
        <w:t>rity as women face more food insecurity compared to men.</w:t>
      </w:r>
      <w:r w:rsidR="00681F56" w:rsidRPr="00277350">
        <w:fldChar w:fldCharType="begin"/>
      </w:r>
      <w:r w:rsidR="00DD7858" w:rsidRPr="00277350">
        <w:instrText xml:space="preserve"> ADDIN ZOTERO_ITEM CSL_CITATION {"citationID":"1lbjboQb","properties":{"unsorted":false,"formattedCitation":"\\super 10\\nosupersub{}","plainCitation":"10","noteIndex":0},"citationItems":[{"id":91,"uris":["http://zotero.org/users/local/N9bAOqPz/items/S534WIDD"],"itemData":{"id":91,"type":"article-journal","abstract":"INTRODUCTION: Food insecurity is associated with negative nutritional outcomes and is experienced differently by women vs men. We evaluated the effects of gender on food insecurity and dietary intake in the United States.\nMETHODS: Data from the National Health and Nutrition Examination Survey (2007-2016) were analyzed. Survey-weighted linear and logistic regression models were used to evaluate predictors of food security and the effect of food security on dietary consumption and body anthropometrics. Gender was modeled as a covariable and as an effect modifier.\nRESULTS: A total of 30,251 respondents were included. Approximately 15.1% (95% confidence interval [CI]: 14.1%-16.1%) of participants were food insecure. This increased over time from 11.7% in 2007-2008 to 18.2% in 2015-2016. A higher proportion of women experienced food insecurity compared with men (53.3% vs 46.7%, P = 0.02), although this was not significant after adjusting for poverty and other confounders (adjusted odds ratio 1.01; 95% CI: 0.93-1.09; P = 0.81). Among food insecure women, 32.4% (95% CI: 30.0%-34.9%) received emergency food assistance and 75.0% (95% CI: 71.5%-78.2%) received supplemental nutrition assistance benefits. Relative to men, food insecure women were less likely to meet the recommended dietary allowance of most macronutrients and micronutrients. They were also significantly more likely to be obese, have a wider waist circumference, and have higher total body fat percentage (P interaction all &lt;0.001).\nDISCUSSION: Food insecurity represents a substantial public health challenge in the United States that differentially affects women compared with men. Alternative strategies may be required to meet the nutritional requirements for food insecure women.","container-title":"The American Journal of Gastroenterology","DOI":"10.14309/ajg.0000000000001118","ISSN":"1572-0241","issue":"3","journalAbbreviation":"Am J Gastroenterol","language":"eng","page":"584-592","PMID":"33443848","source":"PubMed","title":"Gender Disparities in Food Security, Dietary Intake, and Nutritional Health in the United States","volume":"116","author":[{"family":"Ma","given":"Christopher"},{"family":"Ho","given":"Stephanie K. M."},{"family":"Singh","given":"Siddharth"},{"family":"Choi","given":"May Y."}],"issued":{"date-parts":[["2021",3,1]]}}}],"schema":"https://github.com/citation-style-language/schema/raw/master/csl-citation.json"} </w:instrText>
      </w:r>
      <w:r w:rsidR="00681F56" w:rsidRPr="00277350">
        <w:fldChar w:fldCharType="separate"/>
      </w:r>
      <w:r w:rsidR="00DD7858" w:rsidRPr="00277350">
        <w:rPr>
          <w:vertAlign w:val="superscript"/>
        </w:rPr>
        <w:t>10</w:t>
      </w:r>
      <w:r w:rsidR="00681F56" w:rsidRPr="00277350">
        <w:fldChar w:fldCharType="end"/>
      </w:r>
      <w:r w:rsidR="00681F56" w:rsidRPr="00277350">
        <w:t xml:space="preserve"> </w:t>
      </w:r>
      <w:r w:rsidR="003D09EF" w:rsidRPr="00277350">
        <w:t xml:space="preserve">These inequities reflect broader social and economic conditions that </w:t>
      </w:r>
      <w:r w:rsidR="00D11D2F" w:rsidRPr="00277350">
        <w:t xml:space="preserve">may </w:t>
      </w:r>
      <w:r w:rsidR="003D09EF" w:rsidRPr="00277350">
        <w:t>contribute to enduring health disparities</w:t>
      </w:r>
      <w:r w:rsidR="005B3884" w:rsidRPr="00277350">
        <w:t>.</w:t>
      </w:r>
      <w:r w:rsidR="00932135" w:rsidRPr="00277350">
        <w:fldChar w:fldCharType="begin"/>
      </w:r>
      <w:r w:rsidR="00932135" w:rsidRPr="00277350">
        <w:instrText xml:space="preserve"> ADDIN ZOTERO_ITEM CSL_CITATION {"citationID":"9pTwQ64i","properties":{"unsorted":false,"formattedCitation":"\\super 7\\nosupersub{}","plainCitation":"7","noteIndex":0},"citationItems":[{"id":34,"uris":["http://zotero.org/users/local/N9bAOqPz/items/3PT2CHKD"],"itemData":{"id":34,"type":"article-journal","abstract":"Food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M."},{"family":"Agurs-Collins","given":"Tanya"},{"family":"Glanz","given":"Karen"}],"issued":{"date-parts":[["2024",3]]}}}],"schema":"https://github.com/citation-style-language/schema/raw/master/csl-citation.json"} </w:instrText>
      </w:r>
      <w:r w:rsidR="00932135" w:rsidRPr="00277350">
        <w:fldChar w:fldCharType="separate"/>
      </w:r>
      <w:r w:rsidR="00932135" w:rsidRPr="00277350">
        <w:rPr>
          <w:vertAlign w:val="superscript"/>
        </w:rPr>
        <w:t>7</w:t>
      </w:r>
      <w:r w:rsidR="00932135" w:rsidRPr="00277350">
        <w:fldChar w:fldCharType="end"/>
      </w:r>
    </w:p>
    <w:p w14:paraId="4DE7F15C" w14:textId="371DFAA9" w:rsidR="003D6ED2" w:rsidRPr="00277350" w:rsidRDefault="00977C85" w:rsidP="000B09E5">
      <w:pPr>
        <w:pStyle w:val="NormalWeb"/>
        <w:spacing w:before="0" w:beforeAutospacing="0" w:after="0" w:afterAutospacing="0"/>
        <w:ind w:firstLine="720"/>
      </w:pPr>
      <w:r w:rsidRPr="00277350">
        <w:t>Food insecurity often leads to changes in both the quantity and quality of food consumed, with households facing limited access to fresh, whole foods and relying more heavily on packaged, processed, and shelf-stable items.</w:t>
      </w:r>
      <w:r w:rsidR="006647FC" w:rsidRPr="00277350">
        <w:fldChar w:fldCharType="begin"/>
      </w:r>
      <w:r w:rsidR="00932135" w:rsidRPr="00277350">
        <w:instrText xml:space="preserve"> ADDIN ZOTERO_ITEM CSL_CITATION {"citationID":"aGmyaxms","properties":{"formattedCitation":"\\super 5,11,12\\nosupersub{}","plainCitation":"5,11,12","noteIndex":0},"citationItems":[{"id":56,"uris":["http://zotero.org/users/local/N9bAOqPz/items/444EEBLN"],"itemData":{"id":56,"type":"report","abstract":"This report provides statistics on food security in U.S. households throughout 2023 based on the Current Population Survey Food Security Supplement data collected by the U.S. Department of Commerce, Bureau of the Census, in December 2023. An estimated 86.5 percent of U.S. households were food secure throughout the entire year in 2023, with access at all times to enough food for an active, healthy life for all household members. The remaining households (13.5 percent, statistically significantly higher than the 12.8 percent in 2022) were food insecure at least some time during the year. Very low food security is the more severe range of food insecurity where one or more household members experience reduced food intake and disrupted eating patterns at times during the year because of limited money or other resources for food. In 2023, 5.1 percent of households were very low food secure, an estimate that is statistically similar to the 5.1 percent in 2022. Children and adults were food insecure at times during 2023 in 8.9 percent of U.S. households with children, statistically similar to the 8.8 percent in 2022. In 2023, very low food security among children was 1.0 percent, statistically similar to the 1.0 percent in 2022 and 0.7 percent in 2021. In 2023, the typical food-secure household spent 16 percent more on food than the typical food-insecure household of the same size and household composition. About 58 percent of food-insecure households participated in one or more of the three largest Federal nutrition assistance programs from the U.S. Department of Agriculture's Supplemental Nutrition Assistance Program (SNAP); the Special Supplemental Nutrition Program for Women, Infants, and Children (WIC); and the National School Lunch Program during the month before the 2023 survey.","DOI":"https://doi.org/10113/8583175","publisher":"United States. Department of Agriculture. Economic Research Service.","publisher-place":"Washington, D.C","title":"Household food security in the United States in 2023","author":[{"family":"Rabbitt","given":"Matthew"},{"family":"Reed-Jones,","given":"Madeline"},{"family":"Hales","given":"Laura"},{"family":"Burke","given":"Michael"}],"issued":{"date-parts":[["2024"]]}}},{"id":59,"uris":["http://zotero.org/users/local/N9bAOqPz/items/3V6G4L63"],"itemData":{"id":59,"type":"article-journal","abstract":"Plastic pollution arising from food systems is driving policies for reduction, removal, reuse and recycling, but literature on plastic uses and outcomes across subsectors is fragmented. We use a systematic scoping review to describe the extent, range and nature of published evidence since 2000 on seven major plastic types used at any point within food systems and their quantifiable effects on the environment, food security and human health. Although the majority of publications focus on agricultural production, relatively fewer consider retail, household and food waste disposal plastics. Gaps in the research include evidence from low- and middle-income countries, health or food security and/or economic outcomes generated from human population studies-and the subsequent environmental and human health effects. A greater understanding of this disparate evidence landscape is essential to formulate coherent research strategies to inform potential policy actions and assess trade-offs across economic and environmental targets, human health and food security.","container-title":"Nature Food","DOI":"10.1038/s43016-021-00221-z","ISSN":"2662-1355","issue":"2","journalAbbreviation":"Nat Food","language":"eng","page":"80-87","PMID":"37117403","source":"PubMed","title":"A systematic scoping review of environmental, food security and health impacts of food system plastics","volume":"2","author":[{"family":"Yates","given":"Joe"},{"family":"Deeney","given":"Megan"},{"family":"Rolker","given":"Heike B."},{"family":"White","given":"Howard"},{"family":"Kalamatianou","given":"Sofia"},{"family":"Kadiyala","given":"Suneetha"}],"issued":{"date-parts":[["2021",2]]}}},{"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M."}],"issued":{"date-parts":[["2019",10]]}}}],"schema":"https://github.com/citation-style-language/schema/raw/master/csl-citation.json"} </w:instrText>
      </w:r>
      <w:r w:rsidR="006647FC" w:rsidRPr="00277350">
        <w:fldChar w:fldCharType="separate"/>
      </w:r>
      <w:r w:rsidR="00932135" w:rsidRPr="00277350">
        <w:rPr>
          <w:vertAlign w:val="superscript"/>
        </w:rPr>
        <w:t>5,11,12</w:t>
      </w:r>
      <w:r w:rsidR="006647FC" w:rsidRPr="00277350">
        <w:fldChar w:fldCharType="end"/>
      </w:r>
      <w:r w:rsidRPr="00277350">
        <w:t xml:space="preserve"> Previous literature has examined the complex relationship between food security, diet, and one’s built environment, demonstrating that food insecurity is closely linked to poorer dietary quality and greater intake of ultra-processed foods</w:t>
      </w:r>
      <w:r w:rsidR="003924AE" w:rsidRPr="00277350">
        <w:t>.</w:t>
      </w:r>
      <w:r w:rsidR="00E861AF" w:rsidRPr="00277350">
        <w:fldChar w:fldCharType="begin"/>
      </w:r>
      <w:r w:rsidR="00932135" w:rsidRPr="00277350">
        <w:instrText xml:space="preserve"> ADDIN ZOTERO_ITEM CSL_CITATION {"citationID":"8bHoikoF","properties":{"formattedCitation":"\\super 12\\nosupersub{}","plainCitation":"12","noteIndex":0},"citationItems":[{"id":42,"uris":["http://zotero.org/users/local/N9bAOqPz/items/67LM76YC"],"itemData":{"id":42,"type":"article-journal","abstract":"BACKGROUND: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M."}],"issued":{"date-parts":[["2019",10]]}}}],"schema":"https://github.com/citation-style-language/schema/raw/master/csl-citation.json"} </w:instrText>
      </w:r>
      <w:r w:rsidR="00E861AF" w:rsidRPr="00277350">
        <w:fldChar w:fldCharType="separate"/>
      </w:r>
      <w:r w:rsidR="00932135" w:rsidRPr="00277350">
        <w:rPr>
          <w:vertAlign w:val="superscript"/>
        </w:rPr>
        <w:t>12</w:t>
      </w:r>
      <w:r w:rsidR="00E861AF" w:rsidRPr="00277350">
        <w:fldChar w:fldCharType="end"/>
      </w:r>
      <w:r w:rsidR="005E0C72" w:rsidRPr="00277350">
        <w:t xml:space="preserve"> </w:t>
      </w:r>
      <w:r w:rsidR="005775F3" w:rsidRPr="00277350">
        <w:t>This</w:t>
      </w:r>
      <w:r w:rsidR="00D11D2F" w:rsidRPr="00277350">
        <w:t xml:space="preserve"> is likely due to structural barriers including reduced access to healthy retailers</w:t>
      </w:r>
      <w:r w:rsidR="00625F58" w:rsidRPr="00277350">
        <w:fldChar w:fldCharType="begin"/>
      </w:r>
      <w:r w:rsidR="00F37F29" w:rsidRPr="00277350">
        <w:instrText xml:space="preserve"> ADDIN ZOTERO_ITEM CSL_CITATION {"citationID":"Rg5Cbb6A","properties":{"unsorted":false,"formattedCitation":"\\super 13\\nosupersub{}","plainCitation":"13","noteIndex":0},"citationItems":[{"id":94,"uris":["http://zotero.org/users/local/N9bAOqPz/items/DVBVXL4N"],"itemData":{"id":94,"type":"article-journal","abstract":"Food insecurity is a broad and serious public health issue in the United States, where many people are reporting lack of access to healthy foods. The reduced availability of healthy, affordable foods has led to increased consumption of energy-dense and nutrient-poor foods, resulting in increasing the risk for many chronic diseases such as obesity, cardiovascular diseases, and type 2 diabetes mellitus. Thus, identifying promising approaches to increase access to healthy foods through improving the food environment is of importance. The purpose of this review article is to highlight how the food environment affects directly a person's food choices, and how to increase access to healthy foods through improving environmental approaches. The literature search was focused on finding different approaches to improve food security, primarily those with an impact on food environment. Overall, potential solutions were gathered through multilevel environmental approaches, including nutrition education and peer education, community-based participatory research, and policy changes in supplemental nutrition programs. A recommendation to reduce food insecurity is learning to create meals with a variety of seasonal fruits and vegetables purchased from affordable farmers' markets.","container-title":"Nutrients","DOI":"10.3390/nu14112278","ISSN":"2072-6643","issue":"11","journalAbbreviation":"Nutrients","language":"eng","page":"2278","PMID":"35684077","PMCID":"PMC9182982","source":"PubMed","title":"Increasing Access to Healthy Foods through Improving Food Environment: A Review of Mixed Methods Intervention Studies with Residents of Low-Income Communities","title-short":"Increasing Access to Healthy Foods through Improving Food Environment","volume":"14","author":[{"family":"Ziso","given":"Dea"},{"family":"Chun","given":"Ock K."},{"family":"Puglisi","given":"Michael J."}],"issued":{"date-parts":[["2022",5,29]]}}}],"schema":"https://github.com/citation-style-language/schema/raw/master/csl-citation.json"} </w:instrText>
      </w:r>
      <w:r w:rsidR="00625F58" w:rsidRPr="00277350">
        <w:fldChar w:fldCharType="separate"/>
      </w:r>
      <w:r w:rsidR="00F37F29" w:rsidRPr="00277350">
        <w:rPr>
          <w:vertAlign w:val="superscript"/>
        </w:rPr>
        <w:t>13</w:t>
      </w:r>
      <w:r w:rsidR="00625F58" w:rsidRPr="00277350">
        <w:fldChar w:fldCharType="end"/>
      </w:r>
      <w:r w:rsidR="00625F58" w:rsidRPr="00277350">
        <w:t xml:space="preserve"> </w:t>
      </w:r>
      <w:r w:rsidR="00D11D2F" w:rsidRPr="00277350">
        <w:t>such and the economic burden of affording foods with higher nutritional value.</w:t>
      </w:r>
      <w:r w:rsidR="00D11D2F" w:rsidRPr="00277350">
        <w:fldChar w:fldCharType="begin"/>
      </w:r>
      <w:r w:rsidR="00932135" w:rsidRPr="00277350">
        <w:instrText xml:space="preserve"> ADDIN ZOTERO_ITEM CSL_CITATION {"citationID":"NJncgdHQ","properties":{"formattedCitation":"\\super 7,11\\nosupersub{}","plainCitation":"7,11","noteIndex":0},"citationItems":[{"id":34,"uris":["http://zotero.org/users/local/N9bAOqPz/items/3PT2CHKD"],"itemData":{"id":34,"type":"article-journal","abstract":"Food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M."},{"family":"Agurs-Collins","given":"Tanya"},{"family":"Glanz","given":"Karen"}],"issued":{"date-parts":[["2024",3]]}}},{"id":59,"uris":["http://zotero.org/users/local/N9bAOqPz/items/3V6G4L63"],"itemData":{"id":59,"type":"article-journal","abstract":"Plastic pollution arising from food systems is driving policies for reduction, removal, reuse and recycling, but literature on plastic uses and outcomes across subsectors is fragmented. We use a systematic scoping review to describe the extent, range and nature of published evidence since 2000 on seven major plastic types used at any point within food systems and their quantifiable effects on the environment, food security and human health. Although the majority of publications focus on agricultural production, relatively fewer consider retail, household and food waste disposal plastics. Gaps in the research include evidence from low- and middle-income countries, health or food security and/or economic outcomes generated from human population studies-and the subsequent environmental and human health effects. A greater understanding of this disparate evidence landscape is essential to formulate coherent research strategies to inform potential policy actions and assess trade-offs across economic and environmental targets, human health and food security.","container-title":"Nature Food","DOI":"10.1038/s43016-021-00221-z","ISSN":"2662-1355","issue":"2","journalAbbreviation":"Nat Food","language":"eng","page":"80-87","PMID":"37117403","source":"PubMed","title":"A systematic scoping review of environmental, food security and health impacts of food system plastics","volume":"2","author":[{"family":"Yates","given":"Joe"},{"family":"Deeney","given":"Megan"},{"family":"Rolker","given":"Heike B."},{"family":"White","given":"Howard"},{"family":"Kalamatianou","given":"Sofia"},{"family":"Kadiyala","given":"Suneetha"}],"issued":{"date-parts":[["2021",2]]}}}],"schema":"https://github.com/citation-style-language/schema/raw/master/csl-citation.json"} </w:instrText>
      </w:r>
      <w:r w:rsidR="00D11D2F" w:rsidRPr="00277350">
        <w:fldChar w:fldCharType="separate"/>
      </w:r>
      <w:r w:rsidR="00932135" w:rsidRPr="00277350">
        <w:rPr>
          <w:vertAlign w:val="superscript"/>
        </w:rPr>
        <w:t>7,11</w:t>
      </w:r>
      <w:r w:rsidR="00D11D2F" w:rsidRPr="00277350">
        <w:fldChar w:fldCharType="end"/>
      </w:r>
      <w:r w:rsidR="00D11D2F" w:rsidRPr="00277350">
        <w:t xml:space="preserve"> </w:t>
      </w:r>
      <w:r w:rsidR="00285E07" w:rsidRPr="00277350">
        <w:t xml:space="preserve">The intake of ultra-processed </w:t>
      </w:r>
      <w:r w:rsidR="00200246" w:rsidRPr="00277350">
        <w:t xml:space="preserve">foods can lead to the ingestion of </w:t>
      </w:r>
      <w:r w:rsidR="000B09E5" w:rsidRPr="00277350">
        <w:t>endocrine</w:t>
      </w:r>
      <w:r w:rsidR="00200246" w:rsidRPr="00277350">
        <w:t xml:space="preserve"> disrupting chemicals, including </w:t>
      </w:r>
      <w:r w:rsidR="00F4099D" w:rsidRPr="00277350">
        <w:t>phenol</w:t>
      </w:r>
      <w:r w:rsidR="00F651D2" w:rsidRPr="00277350">
        <w:t xml:space="preserve">ic </w:t>
      </w:r>
      <w:r w:rsidR="000B09E5" w:rsidRPr="00277350">
        <w:t>compounds</w:t>
      </w:r>
      <w:r w:rsidR="00ED3C87" w:rsidRPr="00277350">
        <w:t>, due to their extensive processing, packaging, and storage</w:t>
      </w:r>
      <w:r w:rsidR="004B62F0" w:rsidRPr="00277350">
        <w:t xml:space="preserve"> </w:t>
      </w:r>
      <w:r w:rsidR="00ED3C87" w:rsidRPr="00277350">
        <w:t xml:space="preserve">in materials that leach </w:t>
      </w:r>
      <w:r w:rsidR="004F67F9" w:rsidRPr="00277350">
        <w:t>these substances into food.</w:t>
      </w:r>
      <w:r w:rsidR="00B462B1" w:rsidRPr="00277350">
        <w:fldChar w:fldCharType="begin"/>
      </w:r>
      <w:r w:rsidR="00B462B1" w:rsidRPr="00277350">
        <w:instrText xml:space="preserve"> ADDIN ZOTERO_ITEM CSL_CITATION {"citationID":"hYpkTDJW","properties":{"unsorted":false,"formattedCitation":"\\super 12,14\\nosupersub{}","plainCitation":"12,14","noteIndex":0},"citationItems":[{"id":42,"uris":["http://zotero.org/users/local/N9bAOqPz/items/67LM76YC"],"itemData":{"id":42,"type":"article-journal","abstract":"BACKGROUND: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M."}],"issued":{"date-parts":[["2019",10]]}}},{"id":97,"uris":["http://zotero.org/users/local/N9bAOqPz/items/JDM3R33D"],"itemData":{"id":97,"type":"paper-conference","container-title":"The 14th European Nutrition Conference FENS 2023","DOI":"10.3390/proceedings2023091168","event-title":"European Nutrition Conference","language":"en","page":"168","publisher":"MDPI","source":"DOI.org (Crossref)","title":"Dietary Polyphenol Intake in Relation to Ultra-Processed Food Consumption in a Mediterranean Population-Based Cohort: Findings from the Moli-Sani Study","title-short":"Dietary Polyphenol Intake in Relation to Ultra-Processed Food Consumption in a Mediterranean Population-Based Cohort","URL":"https://www.mdpi.com/2504-3900/91/1/168","author":[{"family":"Ruggiero","given":"Emilia"},{"family":"Di Castelnuovo","given":"Augusto"},{"family":"Costanzo","given":"Simona"},{"family":"Esposito","given":"Simona"},{"family":"De Gaetano","given":"Giovanni"},{"family":"Iacoviello","given":"Licia"},{"family":"Bonaccio","given":"Marialaura"}],"accessed":{"date-parts":[["2026",1,29]]},"issued":{"date-parts":[["2024",2,1]]}}}],"schema":"https://github.com/citation-style-language/schema/raw/master/csl-citation.json"} </w:instrText>
      </w:r>
      <w:r w:rsidR="00B462B1" w:rsidRPr="00277350">
        <w:fldChar w:fldCharType="separate"/>
      </w:r>
      <w:r w:rsidR="00B462B1" w:rsidRPr="00277350">
        <w:rPr>
          <w:vertAlign w:val="superscript"/>
        </w:rPr>
        <w:t>12,14</w:t>
      </w:r>
      <w:r w:rsidR="00B462B1" w:rsidRPr="00277350">
        <w:fldChar w:fldCharType="end"/>
      </w:r>
      <w:r w:rsidR="004F67F9" w:rsidRPr="00277350">
        <w:t xml:space="preserve"> </w:t>
      </w:r>
      <w:r w:rsidR="00001D7A" w:rsidRPr="00277350">
        <w:t xml:space="preserve">Phenol exposure is cause for concern due to its </w:t>
      </w:r>
      <w:r w:rsidR="00C42B8F" w:rsidRPr="00277350">
        <w:t xml:space="preserve">associations </w:t>
      </w:r>
      <w:r w:rsidR="00001D7A" w:rsidRPr="00277350">
        <w:t xml:space="preserve">to metabolic processes </w:t>
      </w:r>
      <w:r w:rsidR="003B1988" w:rsidRPr="00277350">
        <w:t>and adverse health outcomes</w:t>
      </w:r>
      <w:r w:rsidR="000A1DF0" w:rsidRPr="00277350">
        <w:fldChar w:fldCharType="begin"/>
      </w:r>
      <w:r w:rsidR="00580FE7" w:rsidRPr="00277350">
        <w:instrText xml:space="preserve"> ADDIN ZOTERO_ITEM CSL_CITATION {"citationID":"BWox1GSP","properties":{"unsorted":false,"formattedCitation":"\\super 15\\nosupersub{}","plainCitation":"15","noteIndex":0},"citationItems":[{"id":99,"uris":["http://zotero.org/users/local/N9bAOqPz/items/YQLN6LNA"],"itemData":{"id":99,"type":"article-journal","container-title":"PLOS ONE","DOI":"10.1371/journal.pone.0236738","ISSN":"1932-6203","issue":"7","journalAbbreviation":"PLoS ONE","language":"en","page":"e0236738","source":"DOI.org (Crossref)","title":"Association between dietary contribution of ultra-processed foods and urinary concentrations of phthalates and bisphenol in a nationally representative sample of the US population aged 6 years and older","volume":"15","author":[{"family":"Martínez Steele","given":"Eurídice"},{"family":"Khandpur","given":"Neha"},{"family":"Da Costa Louzada","given":"Maria Laura"},{"family":"Monteiro","given":"Carlos Augusto"}],"editor":[{"family":"Foo","given":"Leng Huat"}],"issued":{"date-parts":[["2020",7,31]]}}}],"schema":"https://github.com/citation-style-language/schema/raw/master/csl-citation.json"} </w:instrText>
      </w:r>
      <w:r w:rsidR="000A1DF0" w:rsidRPr="00277350">
        <w:fldChar w:fldCharType="separate"/>
      </w:r>
      <w:r w:rsidR="00580FE7" w:rsidRPr="00277350">
        <w:rPr>
          <w:vertAlign w:val="superscript"/>
        </w:rPr>
        <w:t>15</w:t>
      </w:r>
      <w:r w:rsidR="000A1DF0" w:rsidRPr="00277350">
        <w:fldChar w:fldCharType="end"/>
      </w:r>
      <w:r w:rsidR="0063626E" w:rsidRPr="00277350">
        <w:t xml:space="preserve">. </w:t>
      </w:r>
    </w:p>
    <w:p w14:paraId="5065CD15" w14:textId="3169411B" w:rsidR="005E0C72" w:rsidRPr="00277350" w:rsidRDefault="00977C85" w:rsidP="00B77E3A">
      <w:pPr>
        <w:pStyle w:val="NormalWeb"/>
        <w:spacing w:before="0" w:beforeAutospacing="0" w:after="0" w:afterAutospacing="0"/>
        <w:ind w:firstLine="720"/>
      </w:pPr>
      <w:r w:rsidRPr="00277350">
        <w:t>Phenols are a class of organic chemical compounds characterized by one or more hydroxyl groups attached to an aromatic hydrocarbon ring.</w:t>
      </w:r>
      <w:r w:rsidR="00AC7012" w:rsidRPr="00277350">
        <w:fldChar w:fldCharType="begin"/>
      </w:r>
      <w:r w:rsidR="00580FE7" w:rsidRPr="00277350">
        <w:instrText xml:space="preserve"> ADDIN ZOTERO_ITEM CSL_CITATION {"citationID":"04IMH7ah","properties":{"formattedCitation":"\\super 16\\nosupersub{}","plainCitation":"16","noteIndex":0},"citationItems":[{"id":61,"uris":["http://zotero.org/users/local/N9bAOqPz/items/CXZAPW5Z"],"itemData":{"id":61,"type":"report","genre":"Toxic Substances Portal","publisher":"Agency for Toxic Substances and Disease Registry","title":"Phenols/phenoxy acids","URL":"https://wwwn.cdc.gov/tsp/substances/ToxChemicalListing.aspx?toxid=40","issued":{"date-parts":[["2008"]]}}}],"schema":"https://github.com/citation-style-language/schema/raw/master/csl-citation.json"} </w:instrText>
      </w:r>
      <w:r w:rsidR="00AC7012" w:rsidRPr="00277350">
        <w:fldChar w:fldCharType="separate"/>
      </w:r>
      <w:r w:rsidR="00580FE7" w:rsidRPr="00277350">
        <w:rPr>
          <w:vertAlign w:val="superscript"/>
        </w:rPr>
        <w:t>16</w:t>
      </w:r>
      <w:r w:rsidR="00AC7012" w:rsidRPr="00277350">
        <w:fldChar w:fldCharType="end"/>
      </w:r>
      <w:r w:rsidRPr="00277350">
        <w:t xml:space="preserve"> These chemicals are widely used in the manufacturing</w:t>
      </w:r>
      <w:r w:rsidR="00D11D2F" w:rsidRPr="00277350">
        <w:t xml:space="preserve"> including</w:t>
      </w:r>
      <w:r w:rsidR="00D41F63" w:rsidRPr="00277350">
        <w:t xml:space="preserve"> </w:t>
      </w:r>
      <w:r w:rsidRPr="00277350">
        <w:t>food packaging, and</w:t>
      </w:r>
      <w:r w:rsidR="00D11D2F" w:rsidRPr="00277350">
        <w:t xml:space="preserve"> as</w:t>
      </w:r>
      <w:r w:rsidRPr="00277350">
        <w:t xml:space="preserve"> food preservatives.</w:t>
      </w:r>
      <w:r w:rsidR="00AC7012" w:rsidRPr="00277350">
        <w:fldChar w:fldCharType="begin"/>
      </w:r>
      <w:r w:rsidR="00580FE7" w:rsidRPr="00277350">
        <w:instrText xml:space="preserve"> ADDIN ZOTERO_ITEM CSL_CITATION {"citationID":"K0ec4DG6","properties":{"formattedCitation":"\\super 12,17\\nosupersub{}","plainCitation":"12,17","noteIndex":0},"citationItems":[{"id":42,"uris":["http://zotero.org/users/local/N9bAOqPz/items/67LM76YC"],"itemData":{"id":42,"type":"article-journal","abstract":"BACKGROUND: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M."}],"issued":{"date-parts":[["2019",10]]}}},{"id":28,"uris":["http://zotero.org/users/local/N9bAOqPz/items/L2RLUM8D"],"itemData":{"id":28,"type":"article-journal","abstract":"To test the hypothesis that migration from the thermal labels on plastic film packaging is a major source of exposure to bisphenols and alternative color developers in food, we analyzed 140 packaging materials from packaged fresh food purchased in North America. No bisphenol A (BPA) was detected in either the packaging samples or thermal labels. However, significant amounts of bisphenol S (BPS) and alternative color developers (up to 214 μg/cm2) were present in thermal labels; their relative occurrence varied among stores. In a controlled experiment, we wrapped fish in film with a thermal label for 5 days at 4 °C. The fish in contact with the label contained BPS (≤1140 ng/g wet weight [ww]), 4-hydroxyphenyl 4-isoprooxyphenylsulfone (D-8) (≤230 ng/g ww), bis(2-chloroethyl)ether-4,4'-dihydroxydiphenyl sulfone monomer (D-90) (≤3.41 ng/g ww), and/or Pergafast-201 (≤1.87 ng/g ww). The corresponding film samples were then tested using migration cells for 10 days; significantly higher BPS migration was observed systematically from the films with thermal labels compared to plain films. This study provides evidence, for the first time, that BPS and alternative thermal label color developers migrate from packaging materials into food. Further, BPS migration significantly exceeded the European Union Specific Migration Limit (50 ng/g ww), suggesting that further risk assessment studies are warranted.","container-title":"Environmental Science &amp; Technology","DOI":"10.1021/acs.est.2c09390","ISSN":"1520-5851","issue":"12","journalAbbreviation":"Environ Sci Technol","language":"eng","page":"4984-4991","PMID":"36922386","source":"PubMed","title":"Food Thermal Labels are a Source of Dietary Exposure to Bisphenol S and Other Color Developers","volume":"57","author":[{"family":"Xu","given":"Ziyun"},{"family":"Tian","given":"Lei"},{"family":"Liu","given":"Lan"},{"family":"Goodyer","given":"Cynthia Gates"},{"family":"Hales","given":"Barbara F."},{"family":"Bayen","given":"Stéphane"}],"issued":{"date-parts":[["2023",3,28]]}}}],"schema":"https://github.com/citation-style-language/schema/raw/master/csl-citation.json"} </w:instrText>
      </w:r>
      <w:r w:rsidR="00AC7012" w:rsidRPr="00277350">
        <w:fldChar w:fldCharType="separate"/>
      </w:r>
      <w:r w:rsidR="00580FE7" w:rsidRPr="00277350">
        <w:rPr>
          <w:vertAlign w:val="superscript"/>
        </w:rPr>
        <w:t>12,17</w:t>
      </w:r>
      <w:r w:rsidR="00AC7012" w:rsidRPr="00277350">
        <w:fldChar w:fldCharType="end"/>
      </w:r>
      <w:r w:rsidR="00C7082E" w:rsidRPr="00277350">
        <w:t xml:space="preserve"> </w:t>
      </w:r>
      <w:r w:rsidR="00D41F63" w:rsidRPr="00277350">
        <w:t xml:space="preserve">While </w:t>
      </w:r>
      <w:r w:rsidR="008F59B4" w:rsidRPr="00277350">
        <w:t>few studies</w:t>
      </w:r>
      <w:r w:rsidR="00D41F63" w:rsidRPr="00277350">
        <w:t xml:space="preserve"> have examined food security explicitly and phenols exposure, </w:t>
      </w:r>
      <w:r w:rsidR="007862A4" w:rsidRPr="00277350">
        <w:t xml:space="preserve">individuals experiencing low food security </w:t>
      </w:r>
      <w:r w:rsidR="001F1E85" w:rsidRPr="00277350">
        <w:t>are more likely to dep</w:t>
      </w:r>
      <w:r w:rsidR="00A554CA" w:rsidRPr="00277350">
        <w:t xml:space="preserve">end on </w:t>
      </w:r>
      <w:r w:rsidR="008C4875" w:rsidRPr="00277350">
        <w:t xml:space="preserve">packaged foods </w:t>
      </w:r>
      <w:r w:rsidR="00AD3A8F" w:rsidRPr="00277350">
        <w:t xml:space="preserve">and meals from convenience stores due to economic constraints and limited access to </w:t>
      </w:r>
      <w:r w:rsidR="00005A43" w:rsidRPr="00277350">
        <w:t>fresh</w:t>
      </w:r>
      <w:r w:rsidR="00AD3A8F" w:rsidRPr="00277350">
        <w:t xml:space="preserve"> produce. </w:t>
      </w:r>
      <w:r w:rsidR="005B17AD" w:rsidRPr="00277350">
        <w:t>Studies of ultra-processed and fast-food consumption show that these dietary patterns are associated with higher urinary concentrations of several phenols</w:t>
      </w:r>
      <w:r w:rsidR="006B7CCA" w:rsidRPr="00277350">
        <w:t xml:space="preserve"> such as </w:t>
      </w:r>
      <w:r w:rsidR="00F95B7A" w:rsidRPr="00277350">
        <w:t>b</w:t>
      </w:r>
      <w:r w:rsidR="006B7CCA" w:rsidRPr="00277350">
        <w:t xml:space="preserve">isphenol A (BPA) and </w:t>
      </w:r>
      <w:r w:rsidR="00F95B7A" w:rsidRPr="00277350">
        <w:t>b</w:t>
      </w:r>
      <w:r w:rsidR="002F6CA9" w:rsidRPr="00277350">
        <w:t>isphenol F (BPF)</w:t>
      </w:r>
      <w:r w:rsidR="00F9022F" w:rsidRPr="00277350">
        <w:fldChar w:fldCharType="begin"/>
      </w:r>
      <w:r w:rsidR="005C6FB8" w:rsidRPr="00277350">
        <w:instrText xml:space="preserve"> ADDIN ZOTERO_ITEM CSL_CITATION {"citationID":"CB6kBnxT","properties":{"unsorted":false,"formattedCitation":"\\super 12,18\\nosupersub{}","plainCitation":"12,18","noteIndex":0},"citationItems":[{"id":42,"uris":["http://zotero.org/users/local/N9bAOqPz/items/67LM76YC"],"itemData":{"id":42,"type":"article-journal","abstract":"BACKGROUND: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M."}],"issued":{"date-parts":[["2019",10]]}}},{"id":101,"uris":["http://zotero.org/users/local/N9bAOqPz/items/PAVABIVE"],"itemData":{"id":101,"type":"article-journal","abstract":"Ultra-processed food consumption has been associated with several health outcomes such as obesity, hypertension, cardiovascular disease and cancer. The deleterious nutrient profile of these products, and the presence of food additives, neoformed contaminants and contact materials such as phthalates and bisphenol may be some of the potential pathways through which ultra-processed food influences disease outcomes. The aim of this study was to examine the association between dietary contribution of ultra-processed foods and urinary biomarker concentrations of parent compounds or their metabolites including Di(2-ethylhexyl) phthalate (ΣDEHP), Di-isononyl phthalate (ΣDiNP), Monocarboxynonyl phthalate (mCNP), Mono (3-carboxypropyl) phthalate (mCPP), Monobenzyl phthalate (mBzP), Bisphenol A (BPA), Bisphenol F (BPF) and Bisphenol S (BPS), in the US. Participants from the cross-sectional 2009-2016 National Health and Nutrition Examination Survey, aged 6+ years, with urinary measures and with one 24-hour dietary recall were included in the study. Ultra-processed foods were identified based on the NOVA classification system, a four-group food classification based on the extent and purpose of industrial food processing. Linear regression was used to compare average urinary creatinine-standardized concentrations across quintiles of energy contribution of ultra-processed foods. Models incorporated survey sample weights and were adjusted for different sociodemographic and life-style variables. Adjusted geometric means of ΣDiNP, mCNP, mCPP, mBzP and BPF increased monotonically from the lowest to the highest quintile of ultra-processed food consumption. As both phthalates/bisphenol and ultra-processed foods have been previously associated with insulin resistance, diabetes, general/abdominal obesity and hypertension, our results suggest the possibility of contact materials in ultra-processed foods as one link between ultra-processed food and these health outcomes. Future studies could confirm findings and further explore these mechanisms of action.","container-title":"PloS One","DOI":"10.1371/journal.pone.0236738","ISSN":"1932-6203","issue":"7","journalAbbreviation":"PLoS One","language":"eng","page":"e0236738","PMID":"32735599","PMCID":"PMC7394369","source":"PubMed","title":"Association between dietary contribution of ultra-processed foods and urinary concentrations of phthalates and bisphenol in a nationally representative sample of the US population aged 6 years and older","volume":"15","author":[{"family":"Martínez Steele","given":"Eurídice"},{"family":"Khandpur","given":"Neha"},{"family":"Costa Louzada","given":"Maria Laura","non-dropping-particle":"da"},{"family":"Monteiro","given":"Carlos Augusto"}],"issued":{"date-parts":[["2020"]]}}}],"schema":"https://github.com/citation-style-language/schema/raw/master/csl-citation.json"} </w:instrText>
      </w:r>
      <w:r w:rsidR="00F9022F" w:rsidRPr="00277350">
        <w:fldChar w:fldCharType="separate"/>
      </w:r>
      <w:r w:rsidR="005C6FB8" w:rsidRPr="00277350">
        <w:rPr>
          <w:vertAlign w:val="superscript"/>
        </w:rPr>
        <w:t>12,18</w:t>
      </w:r>
      <w:r w:rsidR="00F9022F" w:rsidRPr="00277350">
        <w:fldChar w:fldCharType="end"/>
      </w:r>
      <w:r w:rsidR="002F6CA9" w:rsidRPr="00277350">
        <w:t xml:space="preserve">. </w:t>
      </w:r>
    </w:p>
    <w:p w14:paraId="22A04886" w14:textId="18DF9C3C" w:rsidR="00AA54C7" w:rsidRPr="00277350" w:rsidRDefault="002E22BF" w:rsidP="005E0C72">
      <w:pPr>
        <w:pStyle w:val="NormalWeb"/>
        <w:spacing w:before="0" w:beforeAutospacing="0" w:after="0" w:afterAutospacing="0"/>
        <w:ind w:firstLine="720"/>
      </w:pPr>
      <w:r w:rsidRPr="00277350">
        <w:t xml:space="preserve">Despite these findings, a key research gap remains in understanding the </w:t>
      </w:r>
      <w:r w:rsidR="00B64D69" w:rsidRPr="00277350">
        <w:t xml:space="preserve">chemical </w:t>
      </w:r>
      <w:r w:rsidRPr="00277350">
        <w:t xml:space="preserve">exposure pathways linking </w:t>
      </w:r>
      <w:r w:rsidR="00B64D69" w:rsidRPr="00277350">
        <w:t xml:space="preserve">household </w:t>
      </w:r>
      <w:r w:rsidRPr="00277350">
        <w:t xml:space="preserve">food insecurity and </w:t>
      </w:r>
      <w:r w:rsidR="00706254" w:rsidRPr="00277350">
        <w:t>endocrine</w:t>
      </w:r>
      <w:r w:rsidRPr="00277350">
        <w:t xml:space="preserve"> disrupting chemicals, specifically phenol metabolite exposures</w:t>
      </w:r>
      <w:r w:rsidR="00760D0F" w:rsidRPr="00277350">
        <w:t xml:space="preserve">. </w:t>
      </w:r>
      <w:r w:rsidRPr="00277350">
        <w:t>Understanding this connection is important for identifying environmental health disparities and the broader health impacts of</w:t>
      </w:r>
      <w:r w:rsidR="00B64D69" w:rsidRPr="00277350">
        <w:t xml:space="preserve"> household</w:t>
      </w:r>
      <w:r w:rsidRPr="00277350">
        <w:t xml:space="preserve"> food insecurity</w:t>
      </w:r>
      <w:r w:rsidR="00760D0F" w:rsidRPr="00277350">
        <w:t>.</w:t>
      </w:r>
      <w:r w:rsidR="001A5D88" w:rsidRPr="00277350">
        <w:fldChar w:fldCharType="begin"/>
      </w:r>
      <w:r w:rsidR="005C6FB8" w:rsidRPr="00277350">
        <w:instrText xml:space="preserve"> ADDIN ZOTERO_ITEM CSL_CITATION {"citationID":"q80YoWad","properties":{"formattedCitation":"\\super 19\\nosupersub{}","plainCitation":"19","noteIndex":0},"citationItems":[{"id":62,"uris":["http://zotero.org/users/local/N9bAOqPz/items/W28D7V28"],"itemData":{"id":62,"type":"article-journal","abstract":"Although it is often acknowledged that social and environmental factors interact to produce racial and ethnic environmental health disparities, it is still unclear how this occurs. Despite continued controversy, the environmental justice movement has provided some insight by suggesting that disadvantaged communities face greater likelihood of exposure to ambient hazards. The exposure-disease paradigm has long suggested that differential \"vulnerability\" may modify the effects of toxicants on biological systems. However, relatively little work has been done to specify whether racial and ethnic minorities may have greater vulnerability than do majority populations and, further, what these vulnerabilities may be. We suggest that psychosocial stress may be the vulnerability factor that links social conditions with environmental hazards. Psychosocial stress can lead to acute and chronic changes in the functioning of body systems (e.g., immune) and also lead directly to illness. In this article we present a multidisciplinary framework integrating these ideas. We also argue that residential segregation leads to differential experiences of community stress, exposure to pollutants, and access to community resources. When not counterbalanced by resources, stressors may lead to heightened vulnerability to environmental hazards.","container-title":"Environmental Health Perspectives","DOI":"10.1289/ehp.7074","ISSN":"0091-6765","issue":"17","journalAbbreviation":"Environ Health Perspect","language":"eng","page":"1645-1653","PMID":"15579407","PMCID":"PMC1253653","source":"PubMed","title":"Environmental health disparities: a framework integrating psychosocial and environmental concepts","title-short":"Environmental health disparities","volume":"112","author":[{"family":"Gee","given":"Gilbert C."},{"family":"Payne-Sturges","given":"Devon C."}],"issued":{"date-parts":[["2004",12]]}}}],"schema":"https://github.com/citation-style-language/schema/raw/master/csl-citation.json"} </w:instrText>
      </w:r>
      <w:r w:rsidR="001A5D88" w:rsidRPr="00277350">
        <w:fldChar w:fldCharType="separate"/>
      </w:r>
      <w:r w:rsidR="005C6FB8" w:rsidRPr="00277350">
        <w:rPr>
          <w:vertAlign w:val="superscript"/>
        </w:rPr>
        <w:t>19</w:t>
      </w:r>
      <w:r w:rsidR="001A5D88" w:rsidRPr="00277350">
        <w:fldChar w:fldCharType="end"/>
      </w:r>
      <w:r w:rsidR="001A5D88" w:rsidRPr="00277350">
        <w:t xml:space="preserve"> </w:t>
      </w:r>
      <w:r w:rsidR="004710DD" w:rsidRPr="00277350">
        <w:t xml:space="preserve">This study </w:t>
      </w:r>
      <w:r w:rsidR="00D41F63" w:rsidRPr="00277350">
        <w:t>examines the</w:t>
      </w:r>
      <w:r w:rsidR="004710DD" w:rsidRPr="00277350">
        <w:t xml:space="preserve"> association between household food security and urinary phenol metabolite concentrations</w:t>
      </w:r>
      <w:r w:rsidR="00D41F63" w:rsidRPr="00277350">
        <w:t xml:space="preserve">, </w:t>
      </w:r>
      <w:r w:rsidR="004710DD" w:rsidRPr="00277350">
        <w:t>cross-sectional</w:t>
      </w:r>
      <w:r w:rsidR="00D41F63" w:rsidRPr="00277350">
        <w:t>ly</w:t>
      </w:r>
      <w:r w:rsidR="004710DD" w:rsidRPr="00277350">
        <w:t xml:space="preserve"> using National Health and Nutrition Examination Survey data from 2005</w:t>
      </w:r>
      <w:r w:rsidR="00D41F63" w:rsidRPr="00277350">
        <w:t>-</w:t>
      </w:r>
      <w:r w:rsidR="004710DD" w:rsidRPr="00277350">
        <w:t xml:space="preserve">2016. </w:t>
      </w:r>
      <w:r w:rsidR="00D41F63" w:rsidRPr="00277350">
        <w:t>We also seek to explore whether</w:t>
      </w:r>
      <w:r w:rsidR="00DF5CEE" w:rsidRPr="00277350">
        <w:t xml:space="preserve"> race/ethnicity </w:t>
      </w:r>
      <w:r w:rsidR="00D41F63" w:rsidRPr="00277350">
        <w:t xml:space="preserve">as well as will </w:t>
      </w:r>
      <w:r w:rsidR="00E13B6A">
        <w:t>sex</w:t>
      </w:r>
      <w:r w:rsidR="00DF5CEE" w:rsidRPr="00277350">
        <w:rPr>
          <w:b/>
          <w:bCs/>
        </w:rPr>
        <w:t xml:space="preserve"> </w:t>
      </w:r>
      <w:r w:rsidR="00DF5CEE" w:rsidRPr="00277350">
        <w:t>modify this association. We hypothesiz</w:t>
      </w:r>
      <w:r w:rsidR="00D41F63" w:rsidRPr="00277350">
        <w:t>e</w:t>
      </w:r>
      <w:r w:rsidR="00DF5CEE" w:rsidRPr="00277350">
        <w:t xml:space="preserve"> that </w:t>
      </w:r>
      <w:r w:rsidR="00D41F63" w:rsidRPr="00277350">
        <w:t xml:space="preserve">reduced household </w:t>
      </w:r>
      <w:r w:rsidR="00DF5CEE" w:rsidRPr="00277350">
        <w:t xml:space="preserve">food security </w:t>
      </w:r>
      <w:r w:rsidR="00DF5CEE" w:rsidRPr="00277350">
        <w:lastRenderedPageBreak/>
        <w:t xml:space="preserve">will be associated with increased urinary phenol metabolite </w:t>
      </w:r>
      <w:r w:rsidR="0031401C" w:rsidRPr="00277350">
        <w:t>concentrations</w:t>
      </w:r>
      <w:r w:rsidR="00DF5CEE" w:rsidRPr="00277350">
        <w:t xml:space="preserve"> among adults, and that sex and race/ethnicity will modify these associations.</w:t>
      </w:r>
    </w:p>
    <w:p w14:paraId="0C33DABD" w14:textId="77777777" w:rsidR="00D11D2F" w:rsidRPr="00277350" w:rsidRDefault="00D11D2F" w:rsidP="00DE60D5">
      <w:pPr>
        <w:pStyle w:val="NormalWeb"/>
        <w:spacing w:before="0" w:beforeAutospacing="0" w:after="0" w:afterAutospacing="0"/>
        <w:rPr>
          <w:b/>
          <w:bCs/>
        </w:rPr>
      </w:pPr>
    </w:p>
    <w:p w14:paraId="3D1087BE" w14:textId="77777777" w:rsidR="00D11D2F" w:rsidRPr="00277350" w:rsidRDefault="00D11D2F" w:rsidP="00DE60D5">
      <w:pPr>
        <w:pStyle w:val="NormalWeb"/>
        <w:spacing w:before="0" w:beforeAutospacing="0" w:after="0" w:afterAutospacing="0"/>
        <w:rPr>
          <w:b/>
          <w:bCs/>
        </w:rPr>
      </w:pPr>
    </w:p>
    <w:p w14:paraId="36EE6253" w14:textId="09C09B3F" w:rsidR="00DE60D5" w:rsidRPr="00277350" w:rsidRDefault="00DE60D5" w:rsidP="00DE60D5">
      <w:pPr>
        <w:pStyle w:val="NormalWeb"/>
        <w:spacing w:before="0" w:beforeAutospacing="0" w:after="0" w:afterAutospacing="0"/>
        <w:rPr>
          <w:b/>
          <w:bCs/>
          <w:sz w:val="28"/>
          <w:szCs w:val="28"/>
        </w:rPr>
      </w:pPr>
      <w:r w:rsidRPr="00277350">
        <w:rPr>
          <w:b/>
          <w:bCs/>
          <w:sz w:val="28"/>
          <w:szCs w:val="28"/>
        </w:rPr>
        <w:t>Methods</w:t>
      </w:r>
    </w:p>
    <w:p w14:paraId="16D22B94" w14:textId="77777777" w:rsidR="00DE60D5" w:rsidRPr="00277350" w:rsidRDefault="00DE60D5" w:rsidP="00DE60D5">
      <w:pPr>
        <w:pStyle w:val="NormalWeb"/>
        <w:spacing w:before="0" w:beforeAutospacing="0" w:after="0" w:afterAutospacing="0"/>
      </w:pPr>
    </w:p>
    <w:p w14:paraId="42CF32C5" w14:textId="77777777" w:rsidR="003B10A7" w:rsidRPr="00277350" w:rsidRDefault="003B10A7" w:rsidP="003B10A7">
      <w:pPr>
        <w:spacing w:line="240" w:lineRule="auto"/>
        <w:rPr>
          <w:rFonts w:ascii="Times New Roman" w:hAnsi="Times New Roman" w:cs="Times New Roman"/>
          <w:b/>
          <w:bCs/>
          <w:i/>
          <w:iCs/>
        </w:rPr>
      </w:pPr>
      <w:r w:rsidRPr="00277350">
        <w:rPr>
          <w:rFonts w:ascii="Times New Roman" w:hAnsi="Times New Roman" w:cs="Times New Roman"/>
          <w:b/>
          <w:bCs/>
          <w:i/>
          <w:iCs/>
        </w:rPr>
        <w:t>Study Design</w:t>
      </w:r>
    </w:p>
    <w:p w14:paraId="7D5E7605" w14:textId="55BC60F0" w:rsidR="003B10A7" w:rsidRPr="00277350" w:rsidRDefault="003B10A7" w:rsidP="003B10A7">
      <w:pPr>
        <w:spacing w:line="240" w:lineRule="auto"/>
        <w:rPr>
          <w:rFonts w:ascii="Times New Roman" w:hAnsi="Times New Roman" w:cs="Times New Roman"/>
          <w:color w:val="000000" w:themeColor="text1"/>
        </w:rPr>
      </w:pPr>
      <w:r w:rsidRPr="00277350">
        <w:rPr>
          <w:rFonts w:ascii="Times New Roman" w:hAnsi="Times New Roman" w:cs="Times New Roman"/>
        </w:rPr>
        <w:t>This study utilized cross sectional data from the National Health and Nutrition Examination Survey (NHANES), a US based population. NHANES is administered through the Centers of Disease Control and Prevention (CDC), and conducts interviews, physical examinations and laboratory tests on a random sample of eligible study participants, utilizing one participant from each household.</w:t>
      </w:r>
      <w:r w:rsidR="000341DD" w:rsidRPr="00277350">
        <w:rPr>
          <w:rFonts w:ascii="Times New Roman" w:hAnsi="Times New Roman" w:cs="Times New Roman"/>
        </w:rPr>
        <w:fldChar w:fldCharType="begin"/>
      </w:r>
      <w:r w:rsidR="005C6FB8" w:rsidRPr="00277350">
        <w:rPr>
          <w:rFonts w:ascii="Times New Roman" w:hAnsi="Times New Roman" w:cs="Times New Roman"/>
        </w:rPr>
        <w:instrText xml:space="preserve"> ADDIN ZOTERO_ITEM CSL_CITATION {"citationID":"mxRFSnwc","properties":{"unsorted":false,"formattedCitation":"\\super 20,21\\nosupersub{}","plainCitation":"20,21","noteIndex":0},"citationItems":[{"id":68,"uris":["http://zotero.org/users/local/N9bAOqPz/items/IUFYFIDQ"],"itemData":{"id":68,"type":"report","title":"NHANES - About the National Health and Nutrition Examination Survey","URL":"https://www.cdc.gov/nchs/nhanes/about_nhanes.htm","issued":{"date-parts":[["2023",5]]}}},{"id":74,"uris":["http://zotero.org/users/local/N9bAOqPz/items/WCDKM47B"],"itemData":{"id":74,"type":"document","genre":"Data Evaluation and Methods Research","publisher":"National Center for Health Statistics","publisher-place":"Hyattsville, Maryland","title":"National Health and Nutrition Examination Survey, 2015−2018: Sample Design and Estimation Procedures","URL":"https://www.cdc.gov/nchs/data/series/sr_02/sr02-184-508.pdf","issued":{"date-parts":[["2020",4]]}}}],"schema":"https://github.com/citation-style-language/schema/raw/master/csl-citation.json"} </w:instrText>
      </w:r>
      <w:r w:rsidR="000341DD" w:rsidRPr="00277350">
        <w:rPr>
          <w:rFonts w:ascii="Times New Roman" w:hAnsi="Times New Roman" w:cs="Times New Roman"/>
        </w:rPr>
        <w:fldChar w:fldCharType="separate"/>
      </w:r>
      <w:r w:rsidR="005C6FB8" w:rsidRPr="00277350">
        <w:rPr>
          <w:rFonts w:ascii="Times New Roman" w:hAnsi="Times New Roman" w:cs="Times New Roman"/>
          <w:kern w:val="0"/>
          <w:vertAlign w:val="superscript"/>
        </w:rPr>
        <w:t>20,21</w:t>
      </w:r>
      <w:r w:rsidR="000341DD" w:rsidRPr="00277350">
        <w:rPr>
          <w:rFonts w:ascii="Times New Roman" w:hAnsi="Times New Roman" w:cs="Times New Roman"/>
        </w:rPr>
        <w:fldChar w:fldCharType="end"/>
      </w:r>
      <w:r w:rsidRPr="00277350">
        <w:rPr>
          <w:rFonts w:ascii="Times New Roman" w:hAnsi="Times New Roman" w:cs="Times New Roman"/>
        </w:rPr>
        <w:t xml:space="preserve"> </w:t>
      </w:r>
      <w:r w:rsidRPr="00277350">
        <w:rPr>
          <w:rFonts w:ascii="Times New Roman" w:hAnsi="Times New Roman" w:cs="Times New Roman"/>
          <w:color w:val="000000" w:themeColor="text1"/>
        </w:rPr>
        <w:t>NHANES uses a complex, multistage sampling method with oversampling of selected population subgroups.</w:t>
      </w:r>
      <w:r w:rsidRPr="00277350">
        <w:rPr>
          <w:rFonts w:ascii="Times New Roman" w:hAnsi="Times New Roman" w:cs="Times New Roman"/>
          <w:i/>
          <w:iCs/>
          <w:color w:val="000000" w:themeColor="text1"/>
        </w:rPr>
        <w:t xml:space="preserve"> </w:t>
      </w:r>
      <w:r w:rsidRPr="00277350">
        <w:rPr>
          <w:rFonts w:ascii="Times New Roman" w:hAnsi="Times New Roman" w:cs="Times New Roman"/>
        </w:rPr>
        <w:t>Details on data collection is made available elsewhere.</w:t>
      </w:r>
      <w:r w:rsidR="006E63BF" w:rsidRPr="00277350">
        <w:rPr>
          <w:rFonts w:ascii="Times New Roman" w:hAnsi="Times New Roman" w:cs="Times New Roman"/>
        </w:rPr>
        <w:fldChar w:fldCharType="begin"/>
      </w:r>
      <w:r w:rsidR="005C6FB8" w:rsidRPr="00277350">
        <w:rPr>
          <w:rFonts w:ascii="Times New Roman" w:hAnsi="Times New Roman" w:cs="Times New Roman"/>
        </w:rPr>
        <w:instrText xml:space="preserve"> ADDIN ZOTERO_ITEM CSL_CITATION {"citationID":"3PFzaQOB","properties":{"unsorted":false,"formattedCitation":"\\super 20,21\\nosupersub{}","plainCitation":"20,21","noteIndex":0},"citationItems":[{"id":68,"uris":["http://zotero.org/users/local/N9bAOqPz/items/IUFYFIDQ"],"itemData":{"id":68,"type":"report","title":"NHANES - About the National Health and Nutrition Examination Survey","URL":"https://www.cdc.gov/nchs/nhanes/about_nhanes.htm","issued":{"date-parts":[["2023",5]]}}},{"id":74,"uris":["http://zotero.org/users/local/N9bAOqPz/items/WCDKM47B"],"itemData":{"id":74,"type":"document","genre":"Data Evaluation and Methods Research","publisher":"National Center for Health Statistics","publisher-place":"Hyattsville, Maryland","title":"National Health and Nutrition Examination Survey, 2015−2018: Sample Design and Estimation Procedures","URL":"https://www.cdc.gov/nchs/data/series/sr_02/sr02-184-508.pdf","issued":{"date-parts":[["2020",4]]}}}],"schema":"https://github.com/citation-style-language/schema/raw/master/csl-citation.json"} </w:instrText>
      </w:r>
      <w:r w:rsidR="006E63BF" w:rsidRPr="00277350">
        <w:rPr>
          <w:rFonts w:ascii="Times New Roman" w:hAnsi="Times New Roman" w:cs="Times New Roman"/>
        </w:rPr>
        <w:fldChar w:fldCharType="separate"/>
      </w:r>
      <w:r w:rsidR="005C6FB8" w:rsidRPr="00277350">
        <w:rPr>
          <w:rFonts w:ascii="Times New Roman" w:hAnsi="Times New Roman" w:cs="Times New Roman"/>
          <w:kern w:val="0"/>
          <w:vertAlign w:val="superscript"/>
        </w:rPr>
        <w:t>20,21</w:t>
      </w:r>
      <w:r w:rsidR="006E63BF" w:rsidRPr="00277350">
        <w:rPr>
          <w:rFonts w:ascii="Times New Roman" w:hAnsi="Times New Roman" w:cs="Times New Roman"/>
        </w:rPr>
        <w:fldChar w:fldCharType="end"/>
      </w:r>
      <w:r w:rsidRPr="00277350">
        <w:rPr>
          <w:rFonts w:ascii="Times New Roman" w:hAnsi="Times New Roman" w:cs="Times New Roman"/>
        </w:rPr>
        <w:t xml:space="preserve"> </w:t>
      </w:r>
      <w:r w:rsidRPr="00277350">
        <w:rPr>
          <w:rFonts w:ascii="Times New Roman" w:hAnsi="Times New Roman" w:cs="Times New Roman"/>
          <w:color w:val="000000" w:themeColor="text1"/>
        </w:rPr>
        <w:t>We utilized data from the 2005-2016 NHANES cycle years, where phenols of interest were consistently measured.</w:t>
      </w:r>
      <w:r w:rsidR="001D5FBA" w:rsidRPr="00277350">
        <w:rPr>
          <w:rFonts w:ascii="Times New Roman" w:hAnsi="Times New Roman" w:cs="Times New Roman"/>
          <w:color w:val="000000" w:themeColor="text1"/>
        </w:rPr>
        <w:t xml:space="preserve"> From our initial </w:t>
      </w:r>
      <w:r w:rsidR="00852499" w:rsidRPr="00277350">
        <w:rPr>
          <w:rFonts w:ascii="Times New Roman" w:hAnsi="Times New Roman" w:cs="Times New Roman"/>
          <w:color w:val="000000" w:themeColor="text1"/>
        </w:rPr>
        <w:t>cohort</w:t>
      </w:r>
      <w:r w:rsidR="00EB5863" w:rsidRPr="00277350">
        <w:rPr>
          <w:rFonts w:ascii="Times New Roman" w:hAnsi="Times New Roman" w:cs="Times New Roman"/>
          <w:color w:val="000000" w:themeColor="text1"/>
        </w:rPr>
        <w:t xml:space="preserve"> (n=18=961)</w:t>
      </w:r>
      <w:r w:rsidR="00852499" w:rsidRPr="00277350">
        <w:rPr>
          <w:rFonts w:ascii="Times New Roman" w:hAnsi="Times New Roman" w:cs="Times New Roman"/>
          <w:color w:val="000000" w:themeColor="text1"/>
        </w:rPr>
        <w:t>,</w:t>
      </w:r>
      <w:r w:rsidR="001D5FBA" w:rsidRPr="00277350">
        <w:rPr>
          <w:rFonts w:ascii="Times New Roman" w:hAnsi="Times New Roman" w:cs="Times New Roman"/>
          <w:color w:val="000000" w:themeColor="text1"/>
        </w:rPr>
        <w:t xml:space="preserve"> i</w:t>
      </w:r>
      <w:r w:rsidRPr="00277350">
        <w:rPr>
          <w:rFonts w:ascii="Times New Roman" w:hAnsi="Times New Roman" w:cs="Times New Roman"/>
          <w:color w:val="000000" w:themeColor="text1"/>
        </w:rPr>
        <w:t>ndividuals were eligible for inclusion in our study if they were 18 years of age or older</w:t>
      </w:r>
      <w:r w:rsidR="001D5FBA" w:rsidRPr="00277350">
        <w:rPr>
          <w:rFonts w:ascii="Times New Roman" w:hAnsi="Times New Roman" w:cs="Times New Roman"/>
          <w:color w:val="000000" w:themeColor="text1"/>
        </w:rPr>
        <w:t xml:space="preserve"> (n=</w:t>
      </w:r>
      <w:r w:rsidR="008372A9" w:rsidRPr="00277350">
        <w:rPr>
          <w:rFonts w:ascii="Times New Roman" w:hAnsi="Times New Roman" w:cs="Times New Roman"/>
          <w:color w:val="000000" w:themeColor="text1"/>
        </w:rPr>
        <w:t>13,207</w:t>
      </w:r>
      <w:r w:rsidR="001D5FBA" w:rsidRPr="00277350">
        <w:rPr>
          <w:rFonts w:ascii="Times New Roman" w:hAnsi="Times New Roman" w:cs="Times New Roman"/>
          <w:color w:val="000000" w:themeColor="text1"/>
        </w:rPr>
        <w:t>)</w:t>
      </w:r>
      <w:r w:rsidRPr="00277350">
        <w:rPr>
          <w:rFonts w:ascii="Times New Roman" w:hAnsi="Times New Roman" w:cs="Times New Roman"/>
          <w:color w:val="000000" w:themeColor="text1"/>
        </w:rPr>
        <w:t>, had available urinary phenol metabolite, household food security, and sociodemographic information</w:t>
      </w:r>
      <w:r w:rsidR="001D5FBA" w:rsidRPr="00277350">
        <w:rPr>
          <w:rFonts w:ascii="Times New Roman" w:hAnsi="Times New Roman" w:cs="Times New Roman"/>
          <w:color w:val="000000" w:themeColor="text1"/>
        </w:rPr>
        <w:t xml:space="preserve"> (n=</w:t>
      </w:r>
      <w:r w:rsidR="00DC210B" w:rsidRPr="00277350">
        <w:rPr>
          <w:rFonts w:ascii="Times New Roman" w:hAnsi="Times New Roman" w:cs="Times New Roman"/>
          <w:color w:val="000000" w:themeColor="text1"/>
        </w:rPr>
        <w:t>10,423</w:t>
      </w:r>
      <w:r w:rsidR="001D5FBA" w:rsidRPr="00277350">
        <w:rPr>
          <w:rFonts w:ascii="Times New Roman" w:hAnsi="Times New Roman" w:cs="Times New Roman"/>
          <w:color w:val="000000" w:themeColor="text1"/>
        </w:rPr>
        <w:t>)</w:t>
      </w:r>
      <w:r w:rsidRPr="00277350">
        <w:rPr>
          <w:rFonts w:ascii="Times New Roman" w:hAnsi="Times New Roman" w:cs="Times New Roman"/>
          <w:color w:val="000000" w:themeColor="text1"/>
        </w:rPr>
        <w:t xml:space="preserve">. </w:t>
      </w:r>
      <w:r w:rsidR="001D5FBA" w:rsidRPr="00277350">
        <w:rPr>
          <w:rFonts w:ascii="Times New Roman" w:hAnsi="Times New Roman" w:cs="Times New Roman"/>
          <w:color w:val="000000" w:themeColor="text1"/>
        </w:rPr>
        <w:t>O</w:t>
      </w:r>
      <w:r w:rsidRPr="00277350">
        <w:rPr>
          <w:rFonts w:ascii="Times New Roman" w:hAnsi="Times New Roman" w:cs="Times New Roman"/>
          <w:color w:val="000000" w:themeColor="text1"/>
        </w:rPr>
        <w:t xml:space="preserve">ur final analytic study </w:t>
      </w:r>
      <w:r w:rsidR="001D5FBA" w:rsidRPr="00277350">
        <w:rPr>
          <w:rFonts w:ascii="Times New Roman" w:hAnsi="Times New Roman" w:cs="Times New Roman"/>
          <w:color w:val="000000" w:themeColor="text1"/>
        </w:rPr>
        <w:t xml:space="preserve">population </w:t>
      </w:r>
      <w:r w:rsidR="00CA02A8" w:rsidRPr="00277350">
        <w:rPr>
          <w:rFonts w:ascii="Times New Roman" w:hAnsi="Times New Roman" w:cs="Times New Roman"/>
          <w:color w:val="000000" w:themeColor="text1"/>
        </w:rPr>
        <w:t>consisted</w:t>
      </w:r>
      <w:r w:rsidR="001D5FBA" w:rsidRPr="00277350">
        <w:rPr>
          <w:rFonts w:ascii="Times New Roman" w:hAnsi="Times New Roman" w:cs="Times New Roman"/>
          <w:color w:val="000000" w:themeColor="text1"/>
        </w:rPr>
        <w:t xml:space="preserve"> </w:t>
      </w:r>
      <w:r w:rsidR="00D0301C" w:rsidRPr="00277350">
        <w:rPr>
          <w:rFonts w:ascii="Times New Roman" w:hAnsi="Times New Roman" w:cs="Times New Roman"/>
          <w:color w:val="000000" w:themeColor="text1"/>
        </w:rPr>
        <w:t>of</w:t>
      </w:r>
      <w:r w:rsidRPr="00277350">
        <w:rPr>
          <w:rFonts w:ascii="Times New Roman" w:hAnsi="Times New Roman" w:cs="Times New Roman"/>
          <w:color w:val="000000" w:themeColor="text1"/>
        </w:rPr>
        <w:t xml:space="preserve"> 10,094 adult participants</w:t>
      </w:r>
      <w:r w:rsidR="001D5FBA" w:rsidRPr="00277350">
        <w:rPr>
          <w:rFonts w:ascii="Times New Roman" w:hAnsi="Times New Roman" w:cs="Times New Roman"/>
          <w:color w:val="000000" w:themeColor="text1"/>
        </w:rPr>
        <w:t xml:space="preserve"> with complete exposure, outcome and covariate data.</w:t>
      </w:r>
      <w:r w:rsidRPr="00277350">
        <w:rPr>
          <w:rFonts w:ascii="Times New Roman" w:hAnsi="Times New Roman" w:cs="Times New Roman"/>
          <w:color w:val="000000" w:themeColor="text1"/>
        </w:rPr>
        <w:t xml:space="preserve"> (Supplemental Figure 1). </w:t>
      </w:r>
    </w:p>
    <w:p w14:paraId="2BE29B9F" w14:textId="77777777" w:rsidR="003B10A7" w:rsidRPr="00277350" w:rsidRDefault="003B10A7" w:rsidP="003B10A7">
      <w:pPr>
        <w:spacing w:line="240" w:lineRule="auto"/>
        <w:rPr>
          <w:rFonts w:ascii="Times New Roman" w:hAnsi="Times New Roman" w:cs="Times New Roman"/>
          <w:b/>
          <w:bCs/>
          <w:i/>
          <w:iCs/>
        </w:rPr>
      </w:pPr>
      <w:r w:rsidRPr="00277350">
        <w:rPr>
          <w:rFonts w:ascii="Times New Roman" w:hAnsi="Times New Roman" w:cs="Times New Roman"/>
          <w:b/>
          <w:bCs/>
          <w:i/>
          <w:iCs/>
        </w:rPr>
        <w:t>Household Food Security</w:t>
      </w:r>
    </w:p>
    <w:p w14:paraId="2F78FBB4" w14:textId="69EA61B7" w:rsidR="003B10A7" w:rsidRPr="00277350" w:rsidRDefault="003B10A7" w:rsidP="003B10A7">
      <w:pPr>
        <w:spacing w:line="240" w:lineRule="auto"/>
        <w:rPr>
          <w:rFonts w:ascii="Times New Roman" w:hAnsi="Times New Roman" w:cs="Times New Roman"/>
        </w:rPr>
      </w:pPr>
      <w:r w:rsidRPr="00277350">
        <w:rPr>
          <w:rFonts w:ascii="Times New Roman" w:hAnsi="Times New Roman" w:cs="Times New Roman"/>
        </w:rPr>
        <w:t>Household food security was measured using the U.S. Department of Agriculture’s (USDA) Food Security Survey Module (FSSM), a well-validated 18-item questionnaire</w:t>
      </w:r>
      <w:r w:rsidR="00C854B7" w:rsidRPr="00277350">
        <w:rPr>
          <w:rFonts w:ascii="Times New Roman" w:hAnsi="Times New Roman" w:cs="Times New Roman"/>
        </w:rPr>
        <w:t>.</w:t>
      </w:r>
      <w:r w:rsidR="00C854B7" w:rsidRPr="00277350">
        <w:rPr>
          <w:rFonts w:ascii="Times New Roman" w:hAnsi="Times New Roman" w:cs="Times New Roman"/>
        </w:rPr>
        <w:fldChar w:fldCharType="begin"/>
      </w:r>
      <w:r w:rsidR="005C6FB8" w:rsidRPr="00277350">
        <w:rPr>
          <w:rFonts w:ascii="Times New Roman" w:hAnsi="Times New Roman" w:cs="Times New Roman"/>
        </w:rPr>
        <w:instrText xml:space="preserve"> ADDIN ZOTERO_ITEM CSL_CITATION {"citationID":"qTM2BsuP","properties":{"unsorted":false,"formattedCitation":"\\super 22\\nosupersub{}","plainCitation":"22","noteIndex":0},"citationItems":[{"id":77,"uris":["http://zotero.org/users/local/N9bAOqPz/items/I3ADENZ4"],"itemData":{"id":77,"type":"report","publisher":"United States Department of Agriculture (USDA)","title":"Food Security in the U.S. - Survey Tools","URL":"https://www.ers.usda.gov/topics/food-nutrition-assistance/food-security-in-the-us/survey-tools","issued":{"date-parts":[["2026"]]}}}],"schema":"https://github.com/citation-style-language/schema/raw/master/csl-citation.json"} </w:instrText>
      </w:r>
      <w:r w:rsidR="00C854B7" w:rsidRPr="00277350">
        <w:rPr>
          <w:rFonts w:ascii="Times New Roman" w:hAnsi="Times New Roman" w:cs="Times New Roman"/>
        </w:rPr>
        <w:fldChar w:fldCharType="separate"/>
      </w:r>
      <w:r w:rsidR="005C6FB8" w:rsidRPr="00277350">
        <w:rPr>
          <w:rFonts w:ascii="Times New Roman" w:hAnsi="Times New Roman" w:cs="Times New Roman"/>
          <w:kern w:val="0"/>
          <w:vertAlign w:val="superscript"/>
        </w:rPr>
        <w:t>22</w:t>
      </w:r>
      <w:r w:rsidR="00C854B7" w:rsidRPr="00277350">
        <w:rPr>
          <w:rFonts w:ascii="Times New Roman" w:hAnsi="Times New Roman" w:cs="Times New Roman"/>
        </w:rPr>
        <w:fldChar w:fldCharType="end"/>
      </w:r>
      <w:r w:rsidRPr="00277350">
        <w:rPr>
          <w:rFonts w:ascii="Times New Roman" w:hAnsi="Times New Roman" w:cs="Times New Roman"/>
        </w:rPr>
        <w:t xml:space="preserve"> Questionnaires were administered in participant’s home by an NHANES personnel, using computer assisted personal interview technology.</w:t>
      </w:r>
      <w:r w:rsidR="00616893" w:rsidRPr="00277350">
        <w:rPr>
          <w:rFonts w:ascii="Times New Roman" w:hAnsi="Times New Roman" w:cs="Times New Roman"/>
        </w:rPr>
        <w:fldChar w:fldCharType="begin"/>
      </w:r>
      <w:r w:rsidR="005C6FB8" w:rsidRPr="00277350">
        <w:rPr>
          <w:rFonts w:ascii="Times New Roman" w:hAnsi="Times New Roman" w:cs="Times New Roman"/>
        </w:rPr>
        <w:instrText xml:space="preserve"> ADDIN ZOTERO_ITEM CSL_CITATION {"citationID":"EIjqiDCF","properties":{"unsorted":false,"formattedCitation":"\\super 20,23\\nosupersub{}","plainCitation":"20,23","noteIndex":0},"citationItems":[{"id":68,"uris":["http://zotero.org/users/local/N9bAOqPz/items/IUFYFIDQ"],"itemData":{"id":68,"type":"report","title":"NHANES - About the National Health and Nutrition Examination Survey","URL":"https://www.cdc.gov/nchs/nhanes/about_nhanes.htm","issued":{"date-parts":[["2023",5]]}}},{"id":78,"uris":["http://zotero.org/users/local/N9bAOqPz/items/UIUAKCG4"],"itemData":{"id":78,"type":"document","publisher":"Center of Disease Control and Prevention","title":"NHANES 2019-2020 Questionnaire Data Overview","URL":"https://wwwn.cdc.gov/nchs/nhanes/continuousnhanes/overviewquex.aspx?BeginYear=2019","issued":{"literal":"National Health and Nutrition Examination"}}}],"schema":"https://github.com/citation-style-language/schema/raw/master/csl-citation.json"} </w:instrText>
      </w:r>
      <w:r w:rsidR="00616893" w:rsidRPr="00277350">
        <w:rPr>
          <w:rFonts w:ascii="Times New Roman" w:hAnsi="Times New Roman" w:cs="Times New Roman"/>
        </w:rPr>
        <w:fldChar w:fldCharType="separate"/>
      </w:r>
      <w:r w:rsidR="005C6FB8" w:rsidRPr="00277350">
        <w:rPr>
          <w:rFonts w:ascii="Times New Roman" w:hAnsi="Times New Roman" w:cs="Times New Roman"/>
          <w:kern w:val="0"/>
          <w:vertAlign w:val="superscript"/>
        </w:rPr>
        <w:t>20,23</w:t>
      </w:r>
      <w:r w:rsidR="00616893" w:rsidRPr="00277350">
        <w:rPr>
          <w:rFonts w:ascii="Times New Roman" w:hAnsi="Times New Roman" w:cs="Times New Roman"/>
        </w:rPr>
        <w:fldChar w:fldCharType="end"/>
      </w:r>
      <w:r w:rsidRPr="00277350">
        <w:rPr>
          <w:rFonts w:ascii="Times New Roman" w:hAnsi="Times New Roman" w:cs="Times New Roman"/>
        </w:rPr>
        <w:t xml:space="preserve"> Based on the survey module’s responses, a categorical variable was created with four household food security categories: </w:t>
      </w:r>
      <w:r w:rsidRPr="00277350">
        <w:rPr>
          <w:rFonts w:ascii="Times New Roman" w:hAnsi="Times New Roman" w:cs="Times New Roman"/>
          <w:i/>
          <w:iCs/>
        </w:rPr>
        <w:t>high food security (reference),</w:t>
      </w:r>
      <w:r w:rsidRPr="00277350">
        <w:rPr>
          <w:rFonts w:ascii="Times New Roman" w:hAnsi="Times New Roman" w:cs="Times New Roman"/>
        </w:rPr>
        <w:t xml:space="preserve"> </w:t>
      </w:r>
      <w:r w:rsidRPr="00277350">
        <w:rPr>
          <w:rFonts w:ascii="Times New Roman" w:hAnsi="Times New Roman" w:cs="Times New Roman"/>
          <w:i/>
          <w:iCs/>
        </w:rPr>
        <w:t>marginal food security, low food security, and very low food security.</w:t>
      </w:r>
      <w:r w:rsidR="003B444A" w:rsidRPr="00277350">
        <w:rPr>
          <w:rFonts w:ascii="Times New Roman" w:hAnsi="Times New Roman" w:cs="Times New Roman"/>
        </w:rPr>
        <w:fldChar w:fldCharType="begin"/>
      </w:r>
      <w:r w:rsidR="005C6FB8" w:rsidRPr="00277350">
        <w:rPr>
          <w:rFonts w:ascii="Times New Roman" w:hAnsi="Times New Roman" w:cs="Times New Roman"/>
        </w:rPr>
        <w:instrText xml:space="preserve"> ADDIN ZOTERO_ITEM CSL_CITATION {"citationID":"LbtCaBjv","properties":{"unsorted":false,"formattedCitation":"\\super 22\\nosupersub{}","plainCitation":"22","noteIndex":0},"citationItems":[{"id":77,"uris":["http://zotero.org/users/local/N9bAOqPz/items/I3ADENZ4"],"itemData":{"id":77,"type":"report","publisher":"United States Department of Agriculture (USDA)","title":"Food Security in the U.S. - Survey Tools","URL":"https://www.ers.usda.gov/topics/food-nutrition-assistance/food-security-in-the-us/survey-tools","issued":{"date-parts":[["2026"]]}}}],"schema":"https://github.com/citation-style-language/schema/raw/master/csl-citation.json"} </w:instrText>
      </w:r>
      <w:r w:rsidR="003B444A" w:rsidRPr="00277350">
        <w:rPr>
          <w:rFonts w:ascii="Times New Roman" w:hAnsi="Times New Roman" w:cs="Times New Roman"/>
        </w:rPr>
        <w:fldChar w:fldCharType="separate"/>
      </w:r>
      <w:r w:rsidR="005C6FB8" w:rsidRPr="00277350">
        <w:rPr>
          <w:rFonts w:ascii="Times New Roman" w:hAnsi="Times New Roman" w:cs="Times New Roman"/>
          <w:kern w:val="0"/>
          <w:vertAlign w:val="superscript"/>
        </w:rPr>
        <w:t>22</w:t>
      </w:r>
      <w:r w:rsidR="003B444A" w:rsidRPr="00277350">
        <w:rPr>
          <w:rFonts w:ascii="Times New Roman" w:hAnsi="Times New Roman" w:cs="Times New Roman"/>
        </w:rPr>
        <w:fldChar w:fldCharType="end"/>
      </w:r>
      <w:r w:rsidR="003B444A" w:rsidRPr="00277350">
        <w:rPr>
          <w:rFonts w:ascii="Times New Roman" w:hAnsi="Times New Roman" w:cs="Times New Roman"/>
        </w:rPr>
        <w:t xml:space="preserve"> </w:t>
      </w:r>
      <w:r w:rsidRPr="00277350">
        <w:rPr>
          <w:rFonts w:ascii="Times New Roman" w:hAnsi="Times New Roman" w:cs="Times New Roman"/>
        </w:rPr>
        <w:t xml:space="preserve">For the remainder of this paper, we will simply refer to food security levels as high, marginal, low, and very low food security. </w:t>
      </w:r>
    </w:p>
    <w:p w14:paraId="4F5CF32B" w14:textId="77777777" w:rsidR="003B10A7" w:rsidRPr="00277350" w:rsidRDefault="003B10A7" w:rsidP="003B10A7">
      <w:pPr>
        <w:spacing w:line="240" w:lineRule="auto"/>
        <w:rPr>
          <w:rFonts w:ascii="Times New Roman" w:hAnsi="Times New Roman" w:cs="Times New Roman"/>
          <w:b/>
          <w:bCs/>
          <w:i/>
          <w:iCs/>
        </w:rPr>
      </w:pPr>
      <w:r w:rsidRPr="00277350">
        <w:rPr>
          <w:rFonts w:ascii="Times New Roman" w:hAnsi="Times New Roman" w:cs="Times New Roman"/>
          <w:b/>
          <w:bCs/>
          <w:i/>
          <w:iCs/>
        </w:rPr>
        <w:t>Urinary Phenol Metabolite Concentrations</w:t>
      </w:r>
    </w:p>
    <w:p w14:paraId="3BE99D1A" w14:textId="32090753" w:rsidR="003B10A7" w:rsidRPr="00277350" w:rsidRDefault="003B10A7" w:rsidP="003B10A7">
      <w:pPr>
        <w:pStyle w:val="NormalWeb"/>
        <w:spacing w:before="0" w:beforeAutospacing="0" w:after="0" w:afterAutospacing="0"/>
        <w:rPr>
          <w:color w:val="212121"/>
          <w:sz w:val="22"/>
          <w:szCs w:val="22"/>
        </w:rPr>
      </w:pPr>
      <w:r w:rsidRPr="00277350">
        <w:t xml:space="preserve">NHANES measured urinary phenol metabolite concentrations (ng/mL) by collecting spot urine samples, assayed by the CDC National Center for Environmental Health Laboratory, utilizing </w:t>
      </w:r>
      <w:r w:rsidR="00B87A5F" w:rsidRPr="00277350">
        <w:t>solid phase extraction in conjunction with high performance liquid chromatography electrospray ionization tandem mass spectrometry (HPLC-ESI-MS/MS)27.</w:t>
      </w:r>
      <w:r w:rsidR="00476F3A" w:rsidRPr="00277350">
        <w:fldChar w:fldCharType="begin"/>
      </w:r>
      <w:r w:rsidR="005C6FB8" w:rsidRPr="00277350">
        <w:instrText xml:space="preserve"> ADDIN ZOTERO_ITEM CSL_CITATION {"citationID":"Tii4TpGX","properties":{"unsorted":false,"formattedCitation":"\\super 24\\nosupersub{}","plainCitation":"24","noteIndex":0},"citationItems":[{"id":80,"uris":["http://zotero.org/users/local/N9bAOqPz/items/Y2K7A2JN"],"itemData":{"id":80,"type":"document","genre":"Laboratory Procedure Manual","publisher":"The Centers for Disease Control and Prevention (CDC)","title":"Metabolites of phthalates and phthalate alternatives","URL":"https://wwwn.cdc.gov/nchs/data/nhanes/public/2017/labmethods/PHTHTE-J-MET-508.pdf"}}],"schema":"https://github.com/citation-style-language/schema/raw/master/csl-citation.json"} </w:instrText>
      </w:r>
      <w:r w:rsidR="00476F3A" w:rsidRPr="00277350">
        <w:fldChar w:fldCharType="separate"/>
      </w:r>
      <w:r w:rsidR="005C6FB8" w:rsidRPr="00277350">
        <w:rPr>
          <w:vertAlign w:val="superscript"/>
        </w:rPr>
        <w:t>24</w:t>
      </w:r>
      <w:r w:rsidR="00476F3A" w:rsidRPr="00277350">
        <w:fldChar w:fldCharType="end"/>
      </w:r>
      <w:r w:rsidRPr="00277350">
        <w:t xml:space="preserve"> </w:t>
      </w:r>
      <w:r w:rsidR="00B87A5F" w:rsidRPr="00277350">
        <w:t xml:space="preserve"> </w:t>
      </w:r>
      <w:r w:rsidR="007049FD" w:rsidRPr="00277350">
        <w:t>Since</w:t>
      </w:r>
      <w:r w:rsidR="00D41F63" w:rsidRPr="00277350">
        <w:t xml:space="preserve"> phenols are rapidly </w:t>
      </w:r>
      <w:r w:rsidR="00F7121E" w:rsidRPr="00277350">
        <w:t>metabolized</w:t>
      </w:r>
      <w:r w:rsidR="00D41F63" w:rsidRPr="00277350">
        <w:t xml:space="preserve"> and excreted in urine, we utilized urinary phenol metabolites as biomarkers of exposure rather than parent compounds to minimize potential </w:t>
      </w:r>
      <w:r w:rsidR="008A3493" w:rsidRPr="00277350">
        <w:t>exposure misclassification.</w:t>
      </w:r>
      <w:r w:rsidR="0093307D" w:rsidRPr="00277350">
        <w:fldChar w:fldCharType="begin"/>
      </w:r>
      <w:r w:rsidR="005C6FB8" w:rsidRPr="00277350">
        <w:instrText xml:space="preserve"> ADDIN ZOTERO_ITEM CSL_CITATION {"citationID":"PumhkMa0","properties":{"unsorted":false,"formattedCitation":"\\super 16,25,26\\nosupersub{}","plainCitation":"16,25,26","noteIndex":0},"citationItems":[{"id":61,"uris":["http://zotero.org/users/local/N9bAOqPz/items/CXZAPW5Z"],"itemData":{"id":61,"type":"report","genre":"Toxic Substances Portal","publisher":"Agency for Toxic Substances and Disease Registry","title":"Phenols/phenoxy acids","URL":"https://wwwn.cdc.gov/tsp/substances/ToxChemicalListing.aspx?toxid=40","issued":{"date-parts":[["2008"]]}}},{"id":81,"uris":["http://zotero.org/users/local/N9bAOqPz/items/D5ZZR3IE"],"itemData":{"id":81,"type":"document","genre":"2007-2008 Data Documentation, Codebook, and Frequencies","publisher":"National Health and Nutrition Examination Survey","title":"Environmental Phenols (EPH_E)","URL":"https://wwwn.cdc.gov/Nchs/Data/Nhanes/Public/2007/DataFiles/EPH_E.htm","issued":{"date-parts":[["2011"]]}}},{"id":65,"uris":["http://zotero.org/users/local/N9bAOqPz/items/JLPMC5HF"],"itemData":{"id":65,"type":"article-journal","abstract":"BACKGROUND: Previous studies have shown that women have higher urinary concentrations of several phthalate metabolites than do men, possibly because of a higher use of personal care products. Few studies have evaluated the association between phthalate metabolites, diabetes, and diabetes-related risk factors among women.\nOBJECTIVE: We explored the association between urinary phthalate metabolite concentrations and diabetes among women who participated in a cross-sectional study.\nMETHODS: We used urinary concentrations of phthalate metabolites, analyzed by the Centers for Disease Control and Prevention, and self-reported diabetes of 2,350 women between 20 and 79 years of age who participated in the NHANES (2001-2008). We used multiple logistic regression to estimate odds ratios (ORs) and 95% confidence intervals (CIs) and adjusted for urinary creatinine, sociodemographic characteristics, dietary factors, and body size. A secondary analysis was conducted for women who did not have diabetes to evaluate the association between phthalate metabolite concentrations and fasting blood glucose (FBG), homeostasis model assessment-estimated insulin resistance, and glycosylated hemoglobin A1c.\nRESULTS: After adjusting for potential confounders, women with higher levels of mono-n-butyl phthalate (MnBP), mono-isobutyl phthalate (MiBP), monobenzyl phthalate (MBzP), mono-(3-carboxypropyl) phthalate (MCPP), and three di-(2-ethylhexyl) phthalate metabolites (ΣDEHP) had an increased odds of diabetes compared with women with the lowest levels of these phthalates. Women in the highest quartile for MBzP and MiBP had almost twice the odds of diabetes [OR = 1.96 (95% CI: 1.11, 3.47) and OR = 1.95 (95% CI: 0.99, 3.85), respectively] compared with women in the lowest quartile. Nonmonotonic, positive associations were found for MnBP and ΣDEHP, whereas MCPP appeared to have a threshold effect. Certain phthalate metabolites were positively associated with FBG and insulin resistance.\nDISCUSSION: Urinary levels of several phthalates were associated with prevalent diabetes. Future prospective studies are needed to further explore these associations to determine whether phthalate exposure can alter glucose metabolism and increase the risk of insulin resistance and diabetes.","container-title":"Environmental Health Perspectives","DOI":"10.1289/ehp.1104717","ISSN":"1552-9924","issue":"9","journalAbbreviation":"Environ Health Perspect","language":"eng","page":"1307-1313","PMID":"22796563","PMCID":"PMC3440117","source":"PubMed","title":"Urinary phthalate metabolite concentrations and diabetes among women in the National Health and Nutrition Examination Survey (NHANES) 2001-2008","volume":"120","author":[{"family":"James-Todd","given":"Tamarra"},{"family":"Stahlhut","given":"Richard"},{"family":"Meeker","given":"John D."},{"family":"Powell","given":"Sheena-Gail"},{"family":"Hauser","given":"Russ"},{"family":"Huang","given":"Tianyi"},{"family":"Rich-Edwards","given":"Janet"}],"issued":{"date-parts":[["2012",9]]}}}],"schema":"https://github.com/citation-style-language/schema/raw/master/csl-citation.json"} </w:instrText>
      </w:r>
      <w:r w:rsidR="0093307D" w:rsidRPr="00277350">
        <w:fldChar w:fldCharType="separate"/>
      </w:r>
      <w:r w:rsidR="005C6FB8" w:rsidRPr="00277350">
        <w:rPr>
          <w:vertAlign w:val="superscript"/>
        </w:rPr>
        <w:t>16,25,26</w:t>
      </w:r>
      <w:r w:rsidR="0093307D" w:rsidRPr="00277350">
        <w:fldChar w:fldCharType="end"/>
      </w:r>
      <w:r w:rsidR="008A3493" w:rsidRPr="00277350">
        <w:t xml:space="preserve"> </w:t>
      </w:r>
      <w:r w:rsidRPr="00277350">
        <w:t xml:space="preserve">We </w:t>
      </w:r>
      <w:r w:rsidR="00155940" w:rsidRPr="00277350">
        <w:t xml:space="preserve">initially </w:t>
      </w:r>
      <w:r w:rsidRPr="00277350">
        <w:t xml:space="preserve">identified </w:t>
      </w:r>
      <w:r w:rsidR="00F9615E" w:rsidRPr="00277350">
        <w:t>nine</w:t>
      </w:r>
      <w:r w:rsidRPr="00277350">
        <w:t xml:space="preserve"> urinary phenol metabolites for the study analysis and removed metabolites that were not consistently found across cycle years or had detection frequencies below 50%. </w:t>
      </w:r>
      <w:r w:rsidR="00D41F63" w:rsidRPr="00277350">
        <w:t>W</w:t>
      </w:r>
      <w:r w:rsidRPr="00277350">
        <w:t xml:space="preserve">e restricted </w:t>
      </w:r>
      <w:r w:rsidR="00D41F63" w:rsidRPr="00277350">
        <w:t xml:space="preserve">our analysis </w:t>
      </w:r>
      <w:r w:rsidR="00F7121E" w:rsidRPr="00277350">
        <w:t>to six</w:t>
      </w:r>
      <w:r w:rsidRPr="00277350">
        <w:t xml:space="preserve"> urinary phenol metabolites measured across 2005-2016 cycle years: </w:t>
      </w:r>
      <w:r w:rsidRPr="00277350">
        <w:rPr>
          <w:i/>
          <w:iCs/>
        </w:rPr>
        <w:t xml:space="preserve">urinary Bisphenol A (BPA), urinary 2-Hydroxy-4-methoxybenzophenone or benzophenone-3 (BP3), urinary 2,4,4’-Trichloro-2’-hydroxyphenyl ether or Triclosan (TRS), urinary Ethyl Paraben (EPB), urinary Methyl Paraben (MPB), and urinary Propyl Paraben (PPB). </w:t>
      </w:r>
      <w:r w:rsidR="00D41F63" w:rsidRPr="00277350">
        <w:rPr>
          <w:i/>
          <w:iCs/>
        </w:rPr>
        <w:t>We used limit of detection values across cycle years reported by NHANES</w:t>
      </w:r>
      <w:r w:rsidR="00FD222E" w:rsidRPr="00277350">
        <w:rPr>
          <w:i/>
          <w:iCs/>
        </w:rPr>
        <w:fldChar w:fldCharType="begin"/>
      </w:r>
      <w:r w:rsidR="00BC1D61" w:rsidRPr="00277350">
        <w:rPr>
          <w:i/>
          <w:iCs/>
        </w:rPr>
        <w:instrText xml:space="preserve"> ADDIN ZOTERO_ITEM CSL_CITATION {"citationID":"yRD7g3Jz","properties":{"unsorted":false,"formattedCitation":"\\super 25\\nosupersub{}","plainCitation":"25","noteIndex":0},"citationItems":[{"id":81,"uris":["http://zotero.org/users/local/N9bAOqPz/items/D5ZZR3IE"],"itemData":{"id":81,"type":"document","genre":"2007-2008 Data Documentation, Codebook, and Frequencies","publisher":"National Health and Nutrition Examination Survey","title":"Environmental Phenols (EPH_E)","URL":"https://wwwn.cdc.gov/Nchs/Data/Nhanes/Public/2007/DataFiles/EPH_E.htm","issued":{"date-parts":[["2011"]]}}}],"schema":"https://github.com/citation-style-language/schema/raw/master/csl-citation.json"} </w:instrText>
      </w:r>
      <w:r w:rsidR="00FD222E" w:rsidRPr="00277350">
        <w:rPr>
          <w:i/>
          <w:iCs/>
        </w:rPr>
        <w:fldChar w:fldCharType="separate"/>
      </w:r>
      <w:r w:rsidR="00BC1D61" w:rsidRPr="00277350">
        <w:rPr>
          <w:vertAlign w:val="superscript"/>
        </w:rPr>
        <w:t>25</w:t>
      </w:r>
      <w:r w:rsidR="00FD222E" w:rsidRPr="00277350">
        <w:rPr>
          <w:i/>
          <w:iCs/>
        </w:rPr>
        <w:fldChar w:fldCharType="end"/>
      </w:r>
      <w:r w:rsidR="00D41F63" w:rsidRPr="00277350">
        <w:rPr>
          <w:i/>
          <w:iCs/>
        </w:rPr>
        <w:t xml:space="preserve">, for each urinary phenol. </w:t>
      </w:r>
      <w:r w:rsidRPr="00277350">
        <w:t>Values below the</w:t>
      </w:r>
      <w:r w:rsidR="00D41F63" w:rsidRPr="00277350">
        <w:t xml:space="preserve"> lower</w:t>
      </w:r>
      <w:r w:rsidRPr="00277350">
        <w:t xml:space="preserve"> </w:t>
      </w:r>
      <w:r w:rsidR="00D41F63" w:rsidRPr="00277350">
        <w:t>limit of detection (LLOD)</w:t>
      </w:r>
      <w:r w:rsidRPr="00277350">
        <w:t xml:space="preserve">were substituted with </w:t>
      </w:r>
      <w:r w:rsidRPr="00277350">
        <w:rPr>
          <w:color w:val="212121"/>
          <w:sz w:val="22"/>
          <w:szCs w:val="22"/>
          <w:shd w:val="clear" w:color="auto" w:fill="FFFFFF"/>
        </w:rPr>
        <w:t>LLOD</w:t>
      </w:r>
      <m:oMath>
        <m:r>
          <w:rPr>
            <w:rFonts w:ascii="Cambria Math" w:hAnsi="Cambria Math"/>
            <w:color w:val="212121"/>
            <w:sz w:val="22"/>
            <w:szCs w:val="22"/>
            <w:shd w:val="clear" w:color="auto" w:fill="FFFFFF"/>
          </w:rPr>
          <m:t>√</m:t>
        </m:r>
      </m:oMath>
      <w:r w:rsidRPr="00277350">
        <w:rPr>
          <w:color w:val="212121"/>
          <w:sz w:val="22"/>
          <w:szCs w:val="22"/>
          <w:shd w:val="clear" w:color="auto" w:fill="FFFFFF"/>
        </w:rPr>
        <w:t xml:space="preserve">2 </w:t>
      </w:r>
      <w:r w:rsidRPr="00277350">
        <w:rPr>
          <w:color w:val="212121"/>
          <w:sz w:val="22"/>
          <w:szCs w:val="22"/>
          <w:shd w:val="clear" w:color="auto" w:fill="FFFFFF"/>
        </w:rPr>
        <w:lastRenderedPageBreak/>
        <w:t>by NHANES.</w:t>
      </w:r>
      <w:r w:rsidR="00D40919" w:rsidRPr="00277350">
        <w:rPr>
          <w:color w:val="212121"/>
          <w:sz w:val="22"/>
          <w:szCs w:val="22"/>
          <w:shd w:val="clear" w:color="auto" w:fill="FFFFFF"/>
        </w:rPr>
        <w:fldChar w:fldCharType="begin"/>
      </w:r>
      <w:r w:rsidR="00A56288" w:rsidRPr="00277350">
        <w:rPr>
          <w:color w:val="212121"/>
          <w:sz w:val="22"/>
          <w:szCs w:val="22"/>
          <w:shd w:val="clear" w:color="auto" w:fill="FFFFFF"/>
        </w:rPr>
        <w:instrText xml:space="preserve"> ADDIN ZOTERO_ITEM CSL_CITATION {"citationID":"W7vWNpjQ","properties":{"unsorted":false,"formattedCitation":"\\super 27\\nosupersub{}","plainCitation":"27","noteIndex":0},"citationItems":[{"id":104,"uris":["http://zotero.org/users/local/N9bAOqPz/items/ABP24BW2"],"itemData":{"id":104,"type":"document","genre":"2015-2016 Data Documentation, Codebook, and Frequencies","publisher":"National Health and Nutrition Examination Survey","title":"Personal Care and Consumer Product Chemicals and Metabolites (EPHPP_I)","URL":"https://wwwn.cdc.gov/Nchs/Data/Nhanes/Public/2015/DataFiles/EPHPP_I.htm","issued":{"date-parts":[["2019",1]]}}}],"schema":"https://github.com/citation-style-language/schema/raw/master/csl-citation.json"} </w:instrText>
      </w:r>
      <w:r w:rsidR="00D40919" w:rsidRPr="00277350">
        <w:rPr>
          <w:color w:val="212121"/>
          <w:sz w:val="22"/>
          <w:szCs w:val="22"/>
          <w:shd w:val="clear" w:color="auto" w:fill="FFFFFF"/>
        </w:rPr>
        <w:fldChar w:fldCharType="separate"/>
      </w:r>
      <w:r w:rsidR="00A56288" w:rsidRPr="00277350">
        <w:rPr>
          <w:color w:val="000000"/>
          <w:sz w:val="22"/>
          <w:vertAlign w:val="superscript"/>
        </w:rPr>
        <w:t>27</w:t>
      </w:r>
      <w:r w:rsidR="00D40919" w:rsidRPr="00277350">
        <w:rPr>
          <w:color w:val="212121"/>
          <w:sz w:val="22"/>
          <w:szCs w:val="22"/>
          <w:shd w:val="clear" w:color="auto" w:fill="FFFFFF"/>
        </w:rPr>
        <w:fldChar w:fldCharType="end"/>
      </w:r>
      <w:r w:rsidR="00A56288" w:rsidRPr="00277350">
        <w:rPr>
          <w:color w:val="212121"/>
          <w:sz w:val="22"/>
          <w:szCs w:val="22"/>
          <w:shd w:val="clear" w:color="auto" w:fill="FFFFFF"/>
        </w:rPr>
        <w:t xml:space="preserve"> </w:t>
      </w:r>
      <w:r w:rsidR="00D41F63" w:rsidRPr="00277350">
        <w:rPr>
          <w:color w:val="212121"/>
          <w:sz w:val="22"/>
          <w:szCs w:val="22"/>
          <w:shd w:val="clear" w:color="auto" w:fill="FFFFFF"/>
        </w:rPr>
        <w:t>Urinary phenol concentrations were corrected for specific gravity to account for urine dilution.</w:t>
      </w:r>
      <w:r w:rsidR="00A56288" w:rsidRPr="00277350">
        <w:rPr>
          <w:color w:val="212121"/>
          <w:sz w:val="22"/>
          <w:szCs w:val="22"/>
          <w:shd w:val="clear" w:color="auto" w:fill="FFFFFF"/>
        </w:rPr>
        <w:fldChar w:fldCharType="begin"/>
      </w:r>
      <w:r w:rsidR="00A56288" w:rsidRPr="00277350">
        <w:rPr>
          <w:color w:val="212121"/>
          <w:sz w:val="22"/>
          <w:szCs w:val="22"/>
          <w:shd w:val="clear" w:color="auto" w:fill="FFFFFF"/>
        </w:rPr>
        <w:instrText xml:space="preserve"> ADDIN ZOTERO_ITEM CSL_CITATION {"citationID":"2PGjxwgH","properties":{"unsorted":false,"formattedCitation":"\\super 27\\nosupersub{}","plainCitation":"27","noteIndex":0},"citationItems":[{"id":104,"uris":["http://zotero.org/users/local/N9bAOqPz/items/ABP24BW2"],"itemData":{"id":104,"type":"document","genre":"2015-2016 Data Documentation, Codebook, and Frequencies","publisher":"National Health and Nutrition Examination Survey","title":"Personal Care and Consumer Product Chemicals and Metabolites (EPHPP_I)","URL":"https://wwwn.cdc.gov/Nchs/Data/Nhanes/Public/2015/DataFiles/EPHPP_I.htm","issued":{"date-parts":[["2019",1]]}}}],"schema":"https://github.com/citation-style-language/schema/raw/master/csl-citation.json"} </w:instrText>
      </w:r>
      <w:r w:rsidR="00A56288" w:rsidRPr="00277350">
        <w:rPr>
          <w:color w:val="212121"/>
          <w:sz w:val="22"/>
          <w:szCs w:val="22"/>
          <w:shd w:val="clear" w:color="auto" w:fill="FFFFFF"/>
        </w:rPr>
        <w:fldChar w:fldCharType="separate"/>
      </w:r>
      <w:r w:rsidR="00A56288" w:rsidRPr="00277350">
        <w:rPr>
          <w:color w:val="000000"/>
          <w:sz w:val="22"/>
          <w:vertAlign w:val="superscript"/>
        </w:rPr>
        <w:t>27</w:t>
      </w:r>
      <w:r w:rsidR="00A56288" w:rsidRPr="00277350">
        <w:rPr>
          <w:color w:val="212121"/>
          <w:sz w:val="22"/>
          <w:szCs w:val="22"/>
          <w:shd w:val="clear" w:color="auto" w:fill="FFFFFF"/>
        </w:rPr>
        <w:fldChar w:fldCharType="end"/>
      </w:r>
    </w:p>
    <w:p w14:paraId="4EF42016" w14:textId="77777777" w:rsidR="000B7464" w:rsidRPr="00277350" w:rsidRDefault="000B7464" w:rsidP="003B10A7">
      <w:pPr>
        <w:pStyle w:val="NormalWeb"/>
        <w:spacing w:before="0" w:beforeAutospacing="0" w:after="0" w:afterAutospacing="0"/>
        <w:textAlignment w:val="baseline"/>
        <w:rPr>
          <w:b/>
          <w:bCs/>
          <w:i/>
          <w:iCs/>
          <w:color w:val="212121"/>
          <w:shd w:val="clear" w:color="auto" w:fill="FFFFFF"/>
        </w:rPr>
      </w:pPr>
    </w:p>
    <w:p w14:paraId="28761F72" w14:textId="458700D6" w:rsidR="00D41F63" w:rsidRPr="00277350" w:rsidRDefault="003B10A7" w:rsidP="003B10A7">
      <w:pPr>
        <w:pStyle w:val="NormalWeb"/>
        <w:spacing w:before="0" w:beforeAutospacing="0" w:after="0" w:afterAutospacing="0"/>
        <w:textAlignment w:val="baseline"/>
        <w:rPr>
          <w:b/>
          <w:bCs/>
          <w:i/>
          <w:iCs/>
          <w:color w:val="212121"/>
          <w:shd w:val="clear" w:color="auto" w:fill="FFFFFF"/>
        </w:rPr>
      </w:pPr>
      <w:r w:rsidRPr="00277350">
        <w:rPr>
          <w:b/>
          <w:bCs/>
          <w:i/>
          <w:iCs/>
          <w:color w:val="212121"/>
          <w:shd w:val="clear" w:color="auto" w:fill="FFFFFF"/>
        </w:rPr>
        <w:t xml:space="preserve">Covariates </w:t>
      </w:r>
    </w:p>
    <w:p w14:paraId="0FBFC4B3" w14:textId="77777777" w:rsidR="003B10A7" w:rsidRPr="00277350" w:rsidRDefault="003B10A7" w:rsidP="00A35A31">
      <w:pPr>
        <w:pStyle w:val="NormalWeb"/>
        <w:spacing w:before="0" w:beforeAutospacing="0" w:after="0" w:afterAutospacing="0"/>
        <w:textAlignment w:val="baseline"/>
        <w:rPr>
          <w:b/>
          <w:bCs/>
          <w:i/>
          <w:iCs/>
          <w:color w:val="212121"/>
        </w:rPr>
      </w:pPr>
    </w:p>
    <w:p w14:paraId="4AE9D16E" w14:textId="5A775101" w:rsidR="003B10A7" w:rsidRPr="00277350" w:rsidRDefault="003B10A7" w:rsidP="003B10A7">
      <w:pPr>
        <w:pStyle w:val="NormalWeb"/>
        <w:spacing w:before="0" w:beforeAutospacing="0" w:after="0" w:afterAutospacing="0"/>
        <w:textAlignment w:val="baseline"/>
      </w:pPr>
      <w:r w:rsidRPr="00277350">
        <w:t>Covariates were identified a priori using existing literature</w:t>
      </w:r>
      <w:r w:rsidR="00F15130" w:rsidRPr="00277350">
        <w:fldChar w:fldCharType="begin"/>
      </w:r>
      <w:r w:rsidR="00A56288" w:rsidRPr="00277350">
        <w:instrText xml:space="preserve"> ADDIN ZOTERO_ITEM CSL_CITATION {"citationID":"SC1xJY5w","properties":{"unsorted":false,"formattedCitation":"\\super 12,26,28\\nosupersub{}","plainCitation":"12,26,28","noteIndex":0},"citationItems":[{"id":42,"uris":["http://zotero.org/users/local/N9bAOqPz/items/67LM76YC"],"itemData":{"id":42,"type":"article-journal","abstract":"BACKGROUND: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M."}],"issued":{"date-parts":[["2019",10]]}}},{"id":65,"uris":["http://zotero.org/users/local/N9bAOqPz/items/JLPMC5HF"],"itemData":{"id":65,"type":"article-journal","abstract":"BACKGROUND: Previous studies have shown that women have higher urinary concentrations of several phthalate metabolites than do men, possibly because of a higher use of personal care products. Few studies have evaluated the association between phthalate metabolites, diabetes, and diabetes-related risk factors among women.\nOBJECTIVE: We explored the association between urinary phthalate metabolite concentrations and diabetes among women who participated in a cross-sectional study.\nMETHODS: We used urinary concentrations of phthalate metabolites, analyzed by the Centers for Disease Control and Prevention, and self-reported diabetes of 2,350 women between 20 and 79 years of age who participated in the NHANES (2001-2008). We used multiple logistic regression to estimate odds ratios (ORs) and 95% confidence intervals (CIs) and adjusted for urinary creatinine, sociodemographic characteristics, dietary factors, and body size. A secondary analysis was conducted for women who did not have diabetes to evaluate the association between phthalate metabolite concentrations and fasting blood glucose (FBG), homeostasis model assessment-estimated insulin resistance, and glycosylated hemoglobin A1c.\nRESULTS: After adjusting for potential confounders, women with higher levels of mono-n-butyl phthalate (MnBP), mono-isobutyl phthalate (MiBP), monobenzyl phthalate (MBzP), mono-(3-carboxypropyl) phthalate (MCPP), and three di-(2-ethylhexyl) phthalate metabolites (ΣDEHP) had an increased odds of diabetes compared with women with the lowest levels of these phthalates. Women in the highest quartile for MBzP and MiBP had almost twice the odds of diabetes [OR = 1.96 (95% CI: 1.11, 3.47) and OR = 1.95 (95% CI: 0.99, 3.85), respectively] compared with women in the lowest quartile. Nonmonotonic, positive associations were found for MnBP and ΣDEHP, whereas MCPP appeared to have a threshold effect. Certain phthalate metabolites were positively associated with FBG and insulin resistance.\nDISCUSSION: Urinary levels of several phthalates were associated with prevalent diabetes. Future prospective studies are needed to further explore these associations to determine whether phthalate exposure can alter glucose metabolism and increase the risk of insulin resistance and diabetes.","container-title":"Environmental Health Perspectives","DOI":"10.1289/ehp.1104717","ISSN":"1552-9924","issue":"9","journalAbbreviation":"Environ Health Perspect","language":"eng","page":"1307-1313","PMID":"22796563","PMCID":"PMC3440117","source":"PubMed","title":"Urinary phthalate metabolite concentrations and diabetes among women in the National Health and Nutrition Examination Survey (NHANES) 2001-2008","volume":"120","author":[{"family":"James-Todd","given":"Tamarra"},{"family":"Stahlhut","given":"Richard"},{"family":"Meeker","given":"John D."},{"family":"Powell","given":"Sheena-Gail"},{"family":"Hauser","given":"Russ"},{"family":"Huang","given":"Tianyi"},{"family":"Rich-Edwards","given":"Janet"}],"issued":{"date-parts":[["2012",9]]}}},{"id":82,"uris":["http://zotero.org/users/local/N9bAOqPz/items/VPPNTEDI"],"itemData":{"id":82,"type":"article-journal","abstract":"BACKGROUND: Exposure to Bisphenol A (BPA) is ubiquitous and includes dietary and environmental pathways. BPA is rapidly glucuronidated in the body, and both BPA and its conjugates can be readily measured in urine.\nOBJECTIVES: To investigate the contribution of canned food and beverages, known sources of BPA contamination, to BPA biomarkers of exposure using dietary and urinary BPA concentration information in a representative sample of the U.S.\nMETHODS: We evaluated 7669 NHANES 2003-2008 participants 6 years and older with 24-h dietary recall information and urinary BPA concentrations available. Using linear regression models, we evaluated the associations between recent canned food and beverage consumption and urinary BPA concentrations, adjusting for potential confounders.\nRESULTS: We found 9% of our participants consumed one canned food in the past 24h and 2% consumed two or more canned foods. The consumption of one canned food vs. none was associated with 24% (95% CI 1.11, 1.38) higher urinary BPA concentrations. The consumption of two or more canned foods vs. none was associated with 54% (95% CI 1.27, 1.88) higher urinary BPA concentrations. The consumption of one or more of some specific types of canned foods vs. none were associated with higher urinary BPA concentrations: 41% (95% CI 1.23, 1.63) higher BPA for vegetable and fruit, 70% (95% CI 1.18, 2.44) higher for canned pasta, and 229% (95% CI 1.22, 4.30) higher for canned soup. Canned beverages were not associated with urinary BPA concentrations.\nCONCLUSIONS: Canned food, including some specific types such as canned vegetable and fruit, canned pasta, and canned soup were associated with higher levels of urinary BPA concentrations.","container-title":"Environmental Research","DOI":"10.1016/j.envres.2016.06.008","ISSN":"1096-0953","journalAbbreviation":"Environ Res","language":"eng","page":"375-382","PMID":"27362993","PMCID":"PMC5003675","source":"PubMed","title":"The consumption of canned food and beverages and urinary Bisphenol A concentrations in NHANES 2003-2008","volume":"150","author":[{"family":"Hartle","given":"Jennifer C."},{"family":"Navas-Acien","given":"Ana"},{"family":"Lawrence","given":"Robert S."}],"issued":{"date-parts":[["2016",10]]}}}],"schema":"https://github.com/citation-style-language/schema/raw/master/csl-citation.json"} </w:instrText>
      </w:r>
      <w:r w:rsidR="00F15130" w:rsidRPr="00277350">
        <w:fldChar w:fldCharType="separate"/>
      </w:r>
      <w:r w:rsidR="00A56288" w:rsidRPr="00277350">
        <w:rPr>
          <w:vertAlign w:val="superscript"/>
        </w:rPr>
        <w:t>12,26,28</w:t>
      </w:r>
      <w:r w:rsidR="00F15130" w:rsidRPr="00277350">
        <w:fldChar w:fldCharType="end"/>
      </w:r>
      <w:r w:rsidRPr="00277350">
        <w:t xml:space="preserve"> and directed acyclic graphs (DAGs) to identify potential confounders of the association between urinary phenol metabolite concentrations and household food security. Covariate data were obtained from computer-assisted demographic questionnaires administered by NHANES personnel.</w:t>
      </w:r>
      <w:r w:rsidR="008731CE" w:rsidRPr="00277350">
        <w:fldChar w:fldCharType="begin"/>
      </w:r>
      <w:r w:rsidR="005C6FB8" w:rsidRPr="00277350">
        <w:instrText xml:space="preserve"> ADDIN ZOTERO_ITEM CSL_CITATION {"citationID":"LS0sWBvG","properties":{"unsorted":false,"formattedCitation":"\\super 20\\nosupersub{}","plainCitation":"20","noteIndex":0},"citationItems":[{"id":68,"uris":["http://zotero.org/users/local/N9bAOqPz/items/IUFYFIDQ"],"itemData":{"id":68,"type":"report","title":"NHANES - About the National Health and Nutrition Examination Survey","URL":"https://www.cdc.gov/nchs/nhanes/about_nhanes.htm","issued":{"date-parts":[["2023",5]]}}}],"schema":"https://github.com/citation-style-language/schema/raw/master/csl-citation.json"} </w:instrText>
      </w:r>
      <w:r w:rsidR="008731CE" w:rsidRPr="00277350">
        <w:fldChar w:fldCharType="separate"/>
      </w:r>
      <w:r w:rsidR="005C6FB8" w:rsidRPr="00277350">
        <w:rPr>
          <w:vertAlign w:val="superscript"/>
        </w:rPr>
        <w:t>20</w:t>
      </w:r>
      <w:r w:rsidR="008731CE" w:rsidRPr="00277350">
        <w:fldChar w:fldCharType="end"/>
      </w:r>
      <w:r w:rsidRPr="00277350">
        <w:t xml:space="preserve"> We included </w:t>
      </w:r>
      <w:r w:rsidR="00D41F63" w:rsidRPr="00277350">
        <w:t xml:space="preserve">self-reported </w:t>
      </w:r>
      <w:r w:rsidRPr="00277350">
        <w:t xml:space="preserve">age, sex, race/ethnicity, highest educational attainment, and poverty income ratio (PIR) as covariates of </w:t>
      </w:r>
      <w:r w:rsidR="00CF00EB" w:rsidRPr="00277350">
        <w:t>interest</w:t>
      </w:r>
      <w:r w:rsidRPr="00277350">
        <w:t xml:space="preserve">. </w:t>
      </w:r>
      <w:r w:rsidR="00D41F63" w:rsidRPr="00277350">
        <w:t xml:space="preserve">Self-reported age was </w:t>
      </w:r>
      <w:r w:rsidR="001D5FBA" w:rsidRPr="00277350">
        <w:t xml:space="preserve">measured </w:t>
      </w:r>
      <w:r w:rsidR="00B80C18" w:rsidRPr="00277350">
        <w:t>continuously and</w:t>
      </w:r>
      <w:r w:rsidR="001D5FBA" w:rsidRPr="00277350">
        <w:t xml:space="preserve"> later categorized in quartiles according to the sample distribution. Highest educational attainment was initially categorized as </w:t>
      </w:r>
      <w:r w:rsidR="00303A7A" w:rsidRPr="00277350">
        <w:t>(</w:t>
      </w:r>
      <w:r w:rsidR="0033188F" w:rsidRPr="00277350">
        <w:t>less than 9</w:t>
      </w:r>
      <w:r w:rsidR="0033188F" w:rsidRPr="00277350">
        <w:rPr>
          <w:vertAlign w:val="superscript"/>
        </w:rPr>
        <w:t>th</w:t>
      </w:r>
      <w:r w:rsidR="0033188F" w:rsidRPr="00277350">
        <w:t xml:space="preserve"> grade, 9</w:t>
      </w:r>
      <w:r w:rsidR="0033188F" w:rsidRPr="00277350">
        <w:rPr>
          <w:vertAlign w:val="superscript"/>
        </w:rPr>
        <w:t>th</w:t>
      </w:r>
      <w:r w:rsidR="0033188F" w:rsidRPr="00277350">
        <w:t>-11</w:t>
      </w:r>
      <w:r w:rsidR="0033188F" w:rsidRPr="00277350">
        <w:rPr>
          <w:vertAlign w:val="superscript"/>
        </w:rPr>
        <w:t>th</w:t>
      </w:r>
      <w:r w:rsidR="0033188F" w:rsidRPr="00277350">
        <w:t xml:space="preserve"> grade, </w:t>
      </w:r>
      <w:r w:rsidR="005453EB" w:rsidRPr="00277350">
        <w:t>high school</w:t>
      </w:r>
      <w:r w:rsidR="0033188F" w:rsidRPr="00277350">
        <w:t xml:space="preserve"> </w:t>
      </w:r>
      <w:r w:rsidR="005453EB" w:rsidRPr="00277350">
        <w:t xml:space="preserve">grad/GED or equivalent, some college or AA degree, college graduate or </w:t>
      </w:r>
      <w:r w:rsidR="00CB1C47" w:rsidRPr="00277350">
        <w:t>above</w:t>
      </w:r>
      <w:r w:rsidR="00303A7A" w:rsidRPr="00277350">
        <w:t>)</w:t>
      </w:r>
      <w:r w:rsidR="001D5FBA" w:rsidRPr="00277350">
        <w:t xml:space="preserve"> and was later recategorized as </w:t>
      </w:r>
      <w:r w:rsidR="00303A7A" w:rsidRPr="00277350">
        <w:t>(</w:t>
      </w:r>
      <w:r w:rsidR="00B75550" w:rsidRPr="00277350">
        <w:rPr>
          <w:color w:val="000000" w:themeColor="text1"/>
        </w:rPr>
        <w:t>&lt; 9</w:t>
      </w:r>
      <w:r w:rsidR="00B75550" w:rsidRPr="00277350">
        <w:rPr>
          <w:color w:val="000000" w:themeColor="text1"/>
          <w:vertAlign w:val="superscript"/>
        </w:rPr>
        <w:t>th</w:t>
      </w:r>
      <w:r w:rsidR="00B75550" w:rsidRPr="00277350">
        <w:rPr>
          <w:color w:val="000000" w:themeColor="text1"/>
        </w:rPr>
        <w:t xml:space="preserve"> grade, high school graduate or equivalent, some college, ≥ college</w:t>
      </w:r>
      <w:r w:rsidR="00303A7A" w:rsidRPr="00277350">
        <w:t>)</w:t>
      </w:r>
      <w:r w:rsidR="001D5FBA" w:rsidRPr="00277350">
        <w:t xml:space="preserve"> due to small stratum sizes. Sex (male/female)</w:t>
      </w:r>
      <w:r w:rsidR="001D5FBA" w:rsidRPr="00277350">
        <w:rPr>
          <w:b/>
          <w:bCs/>
        </w:rPr>
        <w:t xml:space="preserve"> </w:t>
      </w:r>
      <w:r w:rsidR="001D5FBA" w:rsidRPr="00277350">
        <w:t>and race/ethnicity (</w:t>
      </w:r>
      <w:r w:rsidR="00A96837" w:rsidRPr="00277350">
        <w:t>n</w:t>
      </w:r>
      <w:r w:rsidR="00303A7A" w:rsidRPr="00277350">
        <w:t>on-</w:t>
      </w:r>
      <w:r w:rsidR="00A96837" w:rsidRPr="00277350">
        <w:t>Hispanic</w:t>
      </w:r>
      <w:r w:rsidR="00303A7A" w:rsidRPr="00277350">
        <w:t xml:space="preserve"> </w:t>
      </w:r>
      <w:r w:rsidR="00A96837" w:rsidRPr="00277350">
        <w:t>w</w:t>
      </w:r>
      <w:r w:rsidR="00303A7A" w:rsidRPr="00277350">
        <w:t>hi</w:t>
      </w:r>
      <w:r w:rsidR="00A96837" w:rsidRPr="00277350">
        <w:t>te, non-Hispanic Black, Mexican American, other Hispanic, other race – including Multi-Racial</w:t>
      </w:r>
      <w:r w:rsidR="001D5FBA" w:rsidRPr="00277350">
        <w:t xml:space="preserve">) were measured as categorical variables, and analytic categories were consistent with NHANES categorizations. Similarly, </w:t>
      </w:r>
      <w:r w:rsidRPr="00277350">
        <w:t>PIR is calculated by NHANES using U.S. Department of Health and Human Services poverty guidelines</w:t>
      </w:r>
      <w:r w:rsidR="00CF00EB" w:rsidRPr="00277350">
        <w:fldChar w:fldCharType="begin"/>
      </w:r>
      <w:r w:rsidR="005C6FB8" w:rsidRPr="00277350">
        <w:instrText xml:space="preserve"> ADDIN ZOTERO_ITEM CSL_CITATION {"citationID":"ibaN8K0R","properties":{"unsorted":false,"formattedCitation":"\\super 20\\nosupersub{}","plainCitation":"20","noteIndex":0},"citationItems":[{"id":68,"uris":["http://zotero.org/users/local/N9bAOqPz/items/IUFYFIDQ"],"itemData":{"id":68,"type":"report","title":"NHANES - About the National Health and Nutrition Examination Survey","URL":"https://www.cdc.gov/nchs/nhanes/about_nhanes.htm","issued":{"date-parts":[["2023",5]]}}}],"schema":"https://github.com/citation-style-language/schema/raw/master/csl-citation.json"} </w:instrText>
      </w:r>
      <w:r w:rsidR="00CF00EB" w:rsidRPr="00277350">
        <w:fldChar w:fldCharType="separate"/>
      </w:r>
      <w:r w:rsidR="005C6FB8" w:rsidRPr="00277350">
        <w:rPr>
          <w:vertAlign w:val="superscript"/>
        </w:rPr>
        <w:t>20</w:t>
      </w:r>
      <w:r w:rsidR="00CF00EB" w:rsidRPr="00277350">
        <w:fldChar w:fldCharType="end"/>
      </w:r>
      <w:r w:rsidRPr="00277350">
        <w:t>. We additionally created survey cycle year as a categorical variable to account for temporal differences across cycles.</w:t>
      </w:r>
      <w:r w:rsidR="004A0E96" w:rsidRPr="00277350">
        <w:fldChar w:fldCharType="begin"/>
      </w:r>
      <w:r w:rsidR="00A56288" w:rsidRPr="00277350">
        <w:instrText xml:space="preserve"> ADDIN ZOTERO_ITEM CSL_CITATION {"citationID":"Vf8vlAuB","properties":{"unsorted":false,"formattedCitation":"\\super 29\\nosupersub{}","plainCitation":"29","noteIndex":0},"citationItems":[{"id":79,"uris":["http://zotero.org/users/local/N9bAOqPz/items/RBY9WJAN"],"itemData":{"id":79,"type":"document","publisher":"Center of Disease Control and Prevention","title":"NHANES Demographics Variable List","URL":"https://wwwn.cdc.gov/nchs/nhanes/search/variablelist.aspx?Component=Demographics&amp;Cycle="}}],"schema":"https://github.com/citation-style-language/schema/raw/master/csl-citation.json"} </w:instrText>
      </w:r>
      <w:r w:rsidR="004A0E96" w:rsidRPr="00277350">
        <w:fldChar w:fldCharType="separate"/>
      </w:r>
      <w:r w:rsidR="00A56288" w:rsidRPr="00277350">
        <w:rPr>
          <w:vertAlign w:val="superscript"/>
        </w:rPr>
        <w:t>29</w:t>
      </w:r>
      <w:r w:rsidR="004A0E96" w:rsidRPr="00277350">
        <w:fldChar w:fldCharType="end"/>
      </w:r>
      <w:r w:rsidRPr="00277350">
        <w:t xml:space="preserve"> Urinary creatinine concentration (ng/mL) was included to adjust for urinary dilution, consistent with prior NHANES-based analyses.</w:t>
      </w:r>
      <w:r w:rsidR="000B7464" w:rsidRPr="00277350">
        <w:fldChar w:fldCharType="begin"/>
      </w:r>
      <w:r w:rsidR="005C6FB8" w:rsidRPr="00277350">
        <w:instrText xml:space="preserve"> ADDIN ZOTERO_ITEM CSL_CITATION {"citationID":"WRtonIT9","properties":{"unsorted":false,"formattedCitation":"\\super 25\\nosupersub{}","plainCitation":"25","noteIndex":0},"citationItems":[{"id":81,"uris":["http://zotero.org/users/local/N9bAOqPz/items/D5ZZR3IE"],"itemData":{"id":81,"type":"document","genre":"2007-2008 Data Documentation, Codebook, and Frequencies","publisher":"National Health and Nutrition Examination Survey","title":"Environmental Phenols (EPH_E)","URL":"https://wwwn.cdc.gov/Nchs/Data/Nhanes/Public/2007/DataFiles/EPH_E.htm","issued":{"date-parts":[["2011"]]}}}],"schema":"https://github.com/citation-style-language/schema/raw/master/csl-citation.json"} </w:instrText>
      </w:r>
      <w:r w:rsidR="000B7464" w:rsidRPr="00277350">
        <w:fldChar w:fldCharType="separate"/>
      </w:r>
      <w:r w:rsidR="005C6FB8" w:rsidRPr="00277350">
        <w:rPr>
          <w:vertAlign w:val="superscript"/>
        </w:rPr>
        <w:t>25</w:t>
      </w:r>
      <w:r w:rsidR="000B7464" w:rsidRPr="00277350">
        <w:fldChar w:fldCharType="end"/>
      </w:r>
    </w:p>
    <w:p w14:paraId="071450F7" w14:textId="77777777" w:rsidR="003B10A7" w:rsidRPr="00277350" w:rsidRDefault="003B10A7" w:rsidP="003B10A7">
      <w:pPr>
        <w:pStyle w:val="NormalWeb"/>
        <w:spacing w:before="0" w:beforeAutospacing="0" w:after="0" w:afterAutospacing="0"/>
        <w:textAlignment w:val="baseline"/>
      </w:pPr>
    </w:p>
    <w:p w14:paraId="3172CBB4" w14:textId="77777777" w:rsidR="003B10A7" w:rsidRPr="00277350" w:rsidRDefault="003B10A7" w:rsidP="003B10A7">
      <w:pPr>
        <w:pStyle w:val="NormalWeb"/>
        <w:spacing w:before="0" w:beforeAutospacing="0" w:after="0" w:afterAutospacing="0" w:line="276" w:lineRule="auto"/>
        <w:textAlignment w:val="baseline"/>
        <w:rPr>
          <w:b/>
          <w:bCs/>
          <w:i/>
          <w:iCs/>
        </w:rPr>
      </w:pPr>
      <w:r w:rsidRPr="00277350">
        <w:rPr>
          <w:b/>
          <w:bCs/>
          <w:i/>
          <w:iCs/>
        </w:rPr>
        <w:t>Statistical Analysis</w:t>
      </w:r>
    </w:p>
    <w:p w14:paraId="205E08E8" w14:textId="77777777" w:rsidR="00277350" w:rsidRPr="00277350" w:rsidRDefault="00277350" w:rsidP="003B10A7">
      <w:pPr>
        <w:pStyle w:val="NormalWeb"/>
        <w:spacing w:before="0" w:beforeAutospacing="0" w:after="0" w:afterAutospacing="0" w:line="276" w:lineRule="auto"/>
        <w:textAlignment w:val="baseline"/>
        <w:rPr>
          <w:b/>
          <w:bCs/>
          <w:i/>
          <w:iCs/>
        </w:rPr>
      </w:pPr>
    </w:p>
    <w:p w14:paraId="1BFD862B" w14:textId="6737E3DD" w:rsidR="003B10A7" w:rsidRPr="00277350" w:rsidRDefault="003B10A7" w:rsidP="003B10A7">
      <w:pPr>
        <w:spacing w:after="0" w:line="276" w:lineRule="auto"/>
        <w:ind w:firstLine="360"/>
        <w:rPr>
          <w:rFonts w:ascii="Times New Roman" w:hAnsi="Times New Roman" w:cs="Times New Roman"/>
          <w:color w:val="000000" w:themeColor="text1"/>
        </w:rPr>
      </w:pPr>
      <w:r w:rsidRPr="00277350">
        <w:rPr>
          <w:rFonts w:ascii="Times New Roman" w:hAnsi="Times New Roman" w:cs="Times New Roman"/>
          <w:color w:val="000000" w:themeColor="text1"/>
        </w:rPr>
        <w:t xml:space="preserve">Descriptive statistics including frequencies (percentages) and means were calculated to analyze the analytic study populations’ sociodemographic factors and other covariate groups by </w:t>
      </w:r>
      <w:r w:rsidR="001D5FBA" w:rsidRPr="00277350">
        <w:rPr>
          <w:rFonts w:ascii="Times New Roman" w:hAnsi="Times New Roman" w:cs="Times New Roman"/>
          <w:color w:val="000000" w:themeColor="text1"/>
        </w:rPr>
        <w:t xml:space="preserve">household </w:t>
      </w:r>
      <w:r w:rsidRPr="00277350">
        <w:rPr>
          <w:rFonts w:ascii="Times New Roman" w:hAnsi="Times New Roman" w:cs="Times New Roman"/>
          <w:color w:val="000000" w:themeColor="text1"/>
        </w:rPr>
        <w:t xml:space="preserve">food security status. Urinary phenol metabolite concentrations were log normally distributed and </w:t>
      </w:r>
      <w:r w:rsidR="001D5FBA" w:rsidRPr="00277350">
        <w:rPr>
          <w:rFonts w:ascii="Times New Roman" w:hAnsi="Times New Roman" w:cs="Times New Roman"/>
          <w:color w:val="000000" w:themeColor="text1"/>
        </w:rPr>
        <w:t xml:space="preserve">later </w:t>
      </w:r>
      <w:r w:rsidRPr="00277350">
        <w:rPr>
          <w:rFonts w:ascii="Times New Roman" w:hAnsi="Times New Roman" w:cs="Times New Roman"/>
          <w:color w:val="000000" w:themeColor="text1"/>
        </w:rPr>
        <w:t>natural log transformed.   Detection percentages, geometric means (GM) and the 25</w:t>
      </w:r>
      <w:r w:rsidRPr="00277350">
        <w:rPr>
          <w:rFonts w:ascii="Times New Roman" w:hAnsi="Times New Roman" w:cs="Times New Roman"/>
          <w:color w:val="000000" w:themeColor="text1"/>
          <w:vertAlign w:val="superscript"/>
        </w:rPr>
        <w:t xml:space="preserve">th </w:t>
      </w:r>
      <w:r w:rsidRPr="00277350">
        <w:rPr>
          <w:rFonts w:ascii="Times New Roman" w:hAnsi="Times New Roman" w:cs="Times New Roman"/>
          <w:color w:val="000000" w:themeColor="text1"/>
        </w:rPr>
        <w:t>and 75</w:t>
      </w:r>
      <w:r w:rsidRPr="00277350">
        <w:rPr>
          <w:rFonts w:ascii="Times New Roman" w:hAnsi="Times New Roman" w:cs="Times New Roman"/>
          <w:color w:val="000000" w:themeColor="text1"/>
          <w:vertAlign w:val="superscript"/>
        </w:rPr>
        <w:t>th</w:t>
      </w:r>
      <w:r w:rsidRPr="00277350">
        <w:rPr>
          <w:rFonts w:ascii="Times New Roman" w:hAnsi="Times New Roman" w:cs="Times New Roman"/>
          <w:color w:val="000000" w:themeColor="text1"/>
        </w:rPr>
        <w:t xml:space="preserve"> percentile were reported. Spearman correlation coefficients were used to assess correlations between individual metabolites. For our main analysis we used multivariable linear regression models to evaluate the association between log transformed urinary phenol concentrations and food security levels. We first ran urinary creatinine-adjusted models only followed by models adjusted for our confounders of interest. Covariates in fully adjusted models were defined according to their NHANES categorization: sex (female (ref), male), education level (&lt; 9</w:t>
      </w:r>
      <w:r w:rsidRPr="00277350">
        <w:rPr>
          <w:rFonts w:ascii="Times New Roman" w:hAnsi="Times New Roman" w:cs="Times New Roman"/>
          <w:color w:val="000000" w:themeColor="text1"/>
          <w:vertAlign w:val="superscript"/>
        </w:rPr>
        <w:t>th</w:t>
      </w:r>
      <w:r w:rsidRPr="00277350">
        <w:rPr>
          <w:rFonts w:ascii="Times New Roman" w:hAnsi="Times New Roman" w:cs="Times New Roman"/>
          <w:color w:val="000000" w:themeColor="text1"/>
        </w:rPr>
        <w:t xml:space="preserve"> grade, high school graduate or equivalent, some college, ≥ college), age (continuous),  race/ethnicity (non-Hispanic White (ref), non-Hispanic Black, Mexican American, other Hispanic, Other including Multi-Racial), poverty income ratio (</w:t>
      </w:r>
      <w:r w:rsidR="00A648CB" w:rsidRPr="00277350">
        <w:rPr>
          <w:rFonts w:ascii="Times New Roman" w:hAnsi="Times New Roman" w:cs="Times New Roman"/>
          <w:color w:val="000000" w:themeColor="text1"/>
        </w:rPr>
        <w:t>0-0.99, 1-1.99, 2-2.99</w:t>
      </w:r>
      <w:r w:rsidR="00484F2E" w:rsidRPr="00277350">
        <w:rPr>
          <w:rFonts w:ascii="Times New Roman" w:hAnsi="Times New Roman" w:cs="Times New Roman"/>
          <w:color w:val="000000" w:themeColor="text1"/>
        </w:rPr>
        <w:t>, 3-4.99, and 5.0 or greater)</w:t>
      </w:r>
      <w:r w:rsidRPr="00277350">
        <w:rPr>
          <w:rFonts w:ascii="Times New Roman" w:hAnsi="Times New Roman" w:cs="Times New Roman"/>
          <w:color w:val="000000" w:themeColor="text1"/>
        </w:rPr>
        <w:t xml:space="preserve">. We also included a generated cycle year variable (2005-2006, 2007-2008, 2009-2010, 2011-2012, 2013-2014, and 2015-2016) as well as measured urinary creatinine. Exponentiated estimated coefficients were presented as the percent (%) difference, computed as 100*(exp(β)-1). Higher concentrations in the comparison group (marginal, low, and very low food security) to the reference group (high food security) indicated a positive percent differences; negative percent differences indicated lower concentrations. </w:t>
      </w:r>
      <w:r w:rsidRPr="00277350">
        <w:rPr>
          <w:rFonts w:ascii="Times New Roman" w:hAnsi="Times New Roman" w:cs="Times New Roman"/>
          <w:color w:val="000000" w:themeColor="text1"/>
          <w:kern w:val="0"/>
        </w:rPr>
        <w:t xml:space="preserve"> </w:t>
      </w:r>
    </w:p>
    <w:p w14:paraId="796B7C09" w14:textId="77777777" w:rsidR="006F2BD4" w:rsidRPr="00277350" w:rsidRDefault="003B10A7" w:rsidP="006F2BD4">
      <w:pPr>
        <w:spacing w:after="0" w:line="276" w:lineRule="auto"/>
        <w:ind w:firstLine="360"/>
        <w:rPr>
          <w:rFonts w:ascii="Times New Roman" w:hAnsi="Times New Roman" w:cs="Times New Roman"/>
        </w:rPr>
      </w:pPr>
      <w:r w:rsidRPr="00277350">
        <w:rPr>
          <w:rFonts w:ascii="Times New Roman" w:hAnsi="Times New Roman" w:cs="Times New Roman"/>
        </w:rPr>
        <w:lastRenderedPageBreak/>
        <w:t xml:space="preserve">To assess potential effect measure modification by sex, race, and ethnicity, </w:t>
      </w:r>
      <w:r w:rsidR="009F4A91" w:rsidRPr="00277350">
        <w:rPr>
          <w:rFonts w:ascii="Times New Roman" w:hAnsi="Times New Roman" w:cs="Times New Roman"/>
        </w:rPr>
        <w:t xml:space="preserve">household </w:t>
      </w:r>
      <w:r w:rsidRPr="00277350">
        <w:rPr>
          <w:rFonts w:ascii="Times New Roman" w:hAnsi="Times New Roman" w:cs="Times New Roman"/>
        </w:rPr>
        <w:t xml:space="preserve">food security was modeled categorically as a nominal variable with a product term for household food security status*sex and </w:t>
      </w:r>
      <w:r w:rsidR="009F4A91" w:rsidRPr="00277350">
        <w:rPr>
          <w:rFonts w:ascii="Times New Roman" w:hAnsi="Times New Roman" w:cs="Times New Roman"/>
        </w:rPr>
        <w:t xml:space="preserve">household </w:t>
      </w:r>
      <w:r w:rsidRPr="00277350">
        <w:rPr>
          <w:rFonts w:ascii="Times New Roman" w:hAnsi="Times New Roman" w:cs="Times New Roman"/>
        </w:rPr>
        <w:t>food security*race and ethnicity respectively. Estimated adjusted marginal means were extracted and reported as percent differences by sex or race and ethnicity.  Next, to test for overall interaction, and obtain a p</w:t>
      </w:r>
      <w:r w:rsidRPr="00277350">
        <w:rPr>
          <w:rFonts w:ascii="Times New Roman" w:hAnsi="Times New Roman" w:cs="Times New Roman"/>
          <w:vertAlign w:val="subscript"/>
        </w:rPr>
        <w:t xml:space="preserve">interaction </w:t>
      </w:r>
      <w:r w:rsidRPr="00277350">
        <w:rPr>
          <w:rFonts w:ascii="Times New Roman" w:hAnsi="Times New Roman" w:cs="Times New Roman"/>
        </w:rPr>
        <w:t xml:space="preserve">for each analyte, we modeled the four-level </w:t>
      </w:r>
      <w:r w:rsidR="004D01B5" w:rsidRPr="00277350">
        <w:rPr>
          <w:rFonts w:ascii="Times New Roman" w:hAnsi="Times New Roman" w:cs="Times New Roman"/>
        </w:rPr>
        <w:t xml:space="preserve">household </w:t>
      </w:r>
      <w:r w:rsidRPr="00277350">
        <w:rPr>
          <w:rFonts w:ascii="Times New Roman" w:hAnsi="Times New Roman" w:cs="Times New Roman"/>
        </w:rPr>
        <w:t xml:space="preserve">food security variable as an ordinal variable, with a single cross-product term, assuming equal spacing between categories and linear trends across categories.  We then examined whether these linear trends across ordinal categories of </w:t>
      </w:r>
      <w:r w:rsidR="004D01B5" w:rsidRPr="00277350">
        <w:rPr>
          <w:rFonts w:ascii="Times New Roman" w:hAnsi="Times New Roman" w:cs="Times New Roman"/>
        </w:rPr>
        <w:t xml:space="preserve">household </w:t>
      </w:r>
      <w:r w:rsidRPr="00277350">
        <w:rPr>
          <w:rFonts w:ascii="Times New Roman" w:hAnsi="Times New Roman" w:cs="Times New Roman"/>
        </w:rPr>
        <w:t xml:space="preserve">food security, differed by sex or race and ethnicity for each analyte.  We used a conservative p-value of </w:t>
      </w:r>
      <m:oMath>
        <m:r>
          <w:rPr>
            <w:rFonts w:ascii="Cambria Math" w:hAnsi="Cambria Math" w:cs="Times New Roman"/>
          </w:rPr>
          <m:t>&lt;</m:t>
        </m:r>
      </m:oMath>
      <w:r w:rsidRPr="00277350">
        <w:rPr>
          <w:rFonts w:ascii="Times New Roman" w:hAnsi="Times New Roman" w:cs="Times New Roman"/>
        </w:rPr>
        <w:t>0.10 for statistical significance. All statistical analyses were performed in R studio 4.5.1</w:t>
      </w:r>
      <w:r w:rsidR="001D5FBA" w:rsidRPr="00277350">
        <w:rPr>
          <w:rFonts w:ascii="Times New Roman" w:hAnsi="Times New Roman" w:cs="Times New Roman"/>
        </w:rPr>
        <w:t xml:space="preserve">. </w:t>
      </w:r>
    </w:p>
    <w:p w14:paraId="42E3BC55" w14:textId="008172CB" w:rsidR="006F2BD4" w:rsidRPr="00E84535" w:rsidRDefault="006F2BD4" w:rsidP="00E84535">
      <w:pPr>
        <w:pStyle w:val="Heading1"/>
        <w:jc w:val="center"/>
        <w:rPr>
          <w:rFonts w:ascii="Times New Roman" w:hAnsi="Times New Roman" w:cs="Times New Roman"/>
          <w:b/>
          <w:bCs/>
          <w:color w:val="000000" w:themeColor="text1"/>
          <w:sz w:val="24"/>
          <w:szCs w:val="24"/>
        </w:rPr>
      </w:pPr>
      <w:r w:rsidRPr="00277350">
        <w:rPr>
          <w:rFonts w:ascii="Times New Roman" w:hAnsi="Times New Roman" w:cs="Times New Roman"/>
          <w:b/>
          <w:bCs/>
          <w:color w:val="000000" w:themeColor="text1"/>
        </w:rPr>
        <w:t xml:space="preserve"> </w:t>
      </w:r>
      <w:r w:rsidR="00E84535" w:rsidRPr="00345562">
        <w:rPr>
          <w:rFonts w:ascii="Times New Roman" w:hAnsi="Times New Roman" w:cs="Times New Roman"/>
          <w:b/>
          <w:bCs/>
          <w:color w:val="000000" w:themeColor="text1"/>
          <w:sz w:val="24"/>
          <w:szCs w:val="24"/>
        </w:rPr>
        <w:t xml:space="preserve">Table 1: Unweighted Demographic Characteristics of the Analytic Study Population </w:t>
      </w:r>
    </w:p>
    <w:tbl>
      <w:tblPr>
        <w:tblStyle w:val="TableGrid"/>
        <w:tblpPr w:leftFromText="180" w:rightFromText="180" w:vertAnchor="text" w:horzAnchor="margin" w:tblpXSpec="center" w:tblpY="412"/>
        <w:tblOverlap w:val="never"/>
        <w:tblW w:w="10905" w:type="dxa"/>
        <w:tblBorders>
          <w:insideH w:val="none" w:sz="0" w:space="0" w:color="auto"/>
          <w:insideV w:val="none" w:sz="0" w:space="0" w:color="auto"/>
        </w:tblBorders>
        <w:tblLook w:val="04A0" w:firstRow="1" w:lastRow="0" w:firstColumn="1" w:lastColumn="0" w:noHBand="0" w:noVBand="1"/>
      </w:tblPr>
      <w:tblGrid>
        <w:gridCol w:w="2894"/>
        <w:gridCol w:w="1627"/>
        <w:gridCol w:w="1565"/>
        <w:gridCol w:w="1566"/>
        <w:gridCol w:w="1569"/>
        <w:gridCol w:w="1684"/>
      </w:tblGrid>
      <w:tr w:rsidR="00E84535" w:rsidRPr="001C2628" w14:paraId="1C028020" w14:textId="77777777" w:rsidTr="00547A4B">
        <w:trPr>
          <w:trHeight w:val="285"/>
        </w:trPr>
        <w:tc>
          <w:tcPr>
            <w:tcW w:w="2894" w:type="dxa"/>
            <w:shd w:val="clear" w:color="auto" w:fill="000000" w:themeFill="text1"/>
            <w:noWrap/>
          </w:tcPr>
          <w:p w14:paraId="4D05457D" w14:textId="77777777" w:rsidR="00E84535" w:rsidRPr="00616452" w:rsidRDefault="00E84535" w:rsidP="00547A4B">
            <w:pPr>
              <w:jc w:val="center"/>
              <w:rPr>
                <w:rFonts w:ascii="Times New Roman" w:hAnsi="Times New Roman" w:cs="Times New Roman"/>
                <w:b/>
                <w:bCs/>
                <w:sz w:val="28"/>
                <w:szCs w:val="28"/>
              </w:rPr>
            </w:pPr>
          </w:p>
        </w:tc>
        <w:tc>
          <w:tcPr>
            <w:tcW w:w="1627" w:type="dxa"/>
            <w:shd w:val="clear" w:color="auto" w:fill="000000" w:themeFill="text1"/>
            <w:noWrap/>
            <w:vAlign w:val="center"/>
          </w:tcPr>
          <w:p w14:paraId="5E47B17D"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Full (Ref)</w:t>
            </w:r>
          </w:p>
          <w:p w14:paraId="7F70E385"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N=7,019</w:t>
            </w:r>
          </w:p>
        </w:tc>
        <w:tc>
          <w:tcPr>
            <w:tcW w:w="1565" w:type="dxa"/>
            <w:shd w:val="clear" w:color="auto" w:fill="000000" w:themeFill="text1"/>
            <w:noWrap/>
            <w:vAlign w:val="center"/>
          </w:tcPr>
          <w:p w14:paraId="28D560BA" w14:textId="77777777" w:rsidR="00E84535" w:rsidRPr="001C2628" w:rsidRDefault="00E84535" w:rsidP="00547A4B">
            <w:pPr>
              <w:jc w:val="center"/>
              <w:rPr>
                <w:rFonts w:ascii="Times New Roman" w:hAnsi="Times New Roman" w:cs="Times New Roman"/>
                <w:sz w:val="22"/>
                <w:szCs w:val="22"/>
              </w:rPr>
            </w:pPr>
          </w:p>
          <w:p w14:paraId="1CEC7958"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Marginal</w:t>
            </w:r>
          </w:p>
          <w:p w14:paraId="36F7DA2B"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N=1,136</w:t>
            </w:r>
          </w:p>
          <w:p w14:paraId="5D797C1C" w14:textId="77777777" w:rsidR="00E84535" w:rsidRPr="001C2628" w:rsidRDefault="00E84535" w:rsidP="00547A4B">
            <w:pPr>
              <w:jc w:val="center"/>
              <w:rPr>
                <w:rFonts w:ascii="Times New Roman" w:hAnsi="Times New Roman" w:cs="Times New Roman"/>
                <w:sz w:val="22"/>
                <w:szCs w:val="22"/>
              </w:rPr>
            </w:pPr>
          </w:p>
        </w:tc>
        <w:tc>
          <w:tcPr>
            <w:tcW w:w="1566" w:type="dxa"/>
            <w:shd w:val="clear" w:color="auto" w:fill="000000" w:themeFill="text1"/>
            <w:vAlign w:val="center"/>
          </w:tcPr>
          <w:p w14:paraId="189B2BDF" w14:textId="77777777" w:rsidR="00E84535" w:rsidRPr="001C2628" w:rsidRDefault="00E84535" w:rsidP="00547A4B">
            <w:pPr>
              <w:jc w:val="center"/>
              <w:rPr>
                <w:rFonts w:ascii="Times New Roman" w:hAnsi="Times New Roman" w:cs="Times New Roman"/>
                <w:sz w:val="22"/>
                <w:szCs w:val="22"/>
              </w:rPr>
            </w:pPr>
          </w:p>
          <w:p w14:paraId="13EEBA7E"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Low</w:t>
            </w:r>
          </w:p>
          <w:p w14:paraId="48753B41"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N=1,218</w:t>
            </w:r>
          </w:p>
          <w:p w14:paraId="546F1164" w14:textId="77777777" w:rsidR="00E84535" w:rsidRPr="001C2628" w:rsidRDefault="00E84535" w:rsidP="00547A4B">
            <w:pPr>
              <w:jc w:val="center"/>
              <w:rPr>
                <w:rFonts w:ascii="Times New Roman" w:hAnsi="Times New Roman" w:cs="Times New Roman"/>
                <w:sz w:val="22"/>
                <w:szCs w:val="22"/>
              </w:rPr>
            </w:pPr>
          </w:p>
        </w:tc>
        <w:tc>
          <w:tcPr>
            <w:tcW w:w="1569" w:type="dxa"/>
            <w:shd w:val="clear" w:color="auto" w:fill="000000" w:themeFill="text1"/>
            <w:noWrap/>
            <w:vAlign w:val="center"/>
          </w:tcPr>
          <w:p w14:paraId="43FB0EEE"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Very Low</w:t>
            </w:r>
          </w:p>
          <w:p w14:paraId="1178A5FE"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N=721</w:t>
            </w:r>
          </w:p>
        </w:tc>
        <w:tc>
          <w:tcPr>
            <w:tcW w:w="1684" w:type="dxa"/>
            <w:shd w:val="clear" w:color="auto" w:fill="000000" w:themeFill="text1"/>
          </w:tcPr>
          <w:p w14:paraId="5C84B978" w14:textId="77777777" w:rsidR="00E84535" w:rsidRPr="001C2628" w:rsidRDefault="00E84535" w:rsidP="00547A4B">
            <w:pPr>
              <w:jc w:val="center"/>
              <w:rPr>
                <w:rFonts w:ascii="Times New Roman" w:hAnsi="Times New Roman" w:cs="Times New Roman"/>
                <w:sz w:val="22"/>
                <w:szCs w:val="22"/>
              </w:rPr>
            </w:pPr>
          </w:p>
          <w:p w14:paraId="6ACC1346"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Overall</w:t>
            </w:r>
          </w:p>
          <w:p w14:paraId="320C46BD"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(N=10,094)</w:t>
            </w:r>
          </w:p>
        </w:tc>
      </w:tr>
      <w:tr w:rsidR="00E84535" w:rsidRPr="001C2628" w14:paraId="7E4694F8" w14:textId="77777777" w:rsidTr="00547A4B">
        <w:trPr>
          <w:trHeight w:val="285"/>
        </w:trPr>
        <w:tc>
          <w:tcPr>
            <w:tcW w:w="2894" w:type="dxa"/>
            <w:shd w:val="clear" w:color="auto" w:fill="000000" w:themeFill="text1"/>
            <w:noWrap/>
          </w:tcPr>
          <w:p w14:paraId="26FA1FB2" w14:textId="77777777" w:rsidR="00E84535" w:rsidRPr="001C2628" w:rsidRDefault="00E84535" w:rsidP="00547A4B">
            <w:pPr>
              <w:rPr>
                <w:rFonts w:ascii="Times New Roman" w:hAnsi="Times New Roman" w:cs="Times New Roman"/>
                <w:b/>
                <w:bCs/>
                <w:sz w:val="28"/>
                <w:szCs w:val="28"/>
              </w:rPr>
            </w:pPr>
          </w:p>
        </w:tc>
        <w:tc>
          <w:tcPr>
            <w:tcW w:w="1627" w:type="dxa"/>
            <w:shd w:val="clear" w:color="auto" w:fill="000000" w:themeFill="text1"/>
            <w:noWrap/>
            <w:vAlign w:val="center"/>
          </w:tcPr>
          <w:p w14:paraId="649EC1DC"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565" w:type="dxa"/>
            <w:shd w:val="clear" w:color="auto" w:fill="000000" w:themeFill="text1"/>
            <w:noWrap/>
            <w:vAlign w:val="center"/>
          </w:tcPr>
          <w:p w14:paraId="397FF8BA"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566" w:type="dxa"/>
            <w:shd w:val="clear" w:color="auto" w:fill="000000" w:themeFill="text1"/>
            <w:vAlign w:val="center"/>
          </w:tcPr>
          <w:p w14:paraId="7D75CF4F"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569" w:type="dxa"/>
            <w:shd w:val="clear" w:color="auto" w:fill="000000" w:themeFill="text1"/>
            <w:noWrap/>
            <w:vAlign w:val="center"/>
          </w:tcPr>
          <w:p w14:paraId="2B9EFE70"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684" w:type="dxa"/>
            <w:shd w:val="clear" w:color="auto" w:fill="000000" w:themeFill="text1"/>
          </w:tcPr>
          <w:p w14:paraId="0D93E861"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 (%)</w:t>
            </w:r>
          </w:p>
        </w:tc>
      </w:tr>
      <w:tr w:rsidR="00E84535" w:rsidRPr="00345562" w14:paraId="27C4A71F" w14:textId="77777777" w:rsidTr="00547A4B">
        <w:trPr>
          <w:trHeight w:val="285"/>
        </w:trPr>
        <w:tc>
          <w:tcPr>
            <w:tcW w:w="2894" w:type="dxa"/>
            <w:noWrap/>
            <w:vAlign w:val="bottom"/>
          </w:tcPr>
          <w:p w14:paraId="74CDF616" w14:textId="77777777" w:rsidR="00E84535" w:rsidRPr="00345562" w:rsidRDefault="00E84535" w:rsidP="00547A4B">
            <w:pPr>
              <w:rPr>
                <w:rFonts w:ascii="Times New Roman" w:hAnsi="Times New Roman" w:cs="Times New Roman"/>
                <w:i/>
                <w:iCs/>
              </w:rPr>
            </w:pPr>
            <w:r w:rsidRPr="00345562">
              <w:rPr>
                <w:rStyle w:val="Strong"/>
                <w:rFonts w:ascii="Times New Roman" w:hAnsi="Times New Roman" w:cs="Times New Roman"/>
                <w:color w:val="424242"/>
                <w:sz w:val="21"/>
                <w:szCs w:val="21"/>
                <w:bdr w:val="single" w:sz="2" w:space="0" w:color="E3E3E3" w:frame="1"/>
              </w:rPr>
              <w:t>Sex</w:t>
            </w:r>
          </w:p>
        </w:tc>
        <w:tc>
          <w:tcPr>
            <w:tcW w:w="8011" w:type="dxa"/>
            <w:gridSpan w:val="5"/>
            <w:noWrap/>
            <w:vAlign w:val="bottom"/>
          </w:tcPr>
          <w:p w14:paraId="1C669DE9" w14:textId="77777777" w:rsidR="00E84535" w:rsidRPr="00345562" w:rsidRDefault="00E84535" w:rsidP="00547A4B">
            <w:pPr>
              <w:jc w:val="center"/>
              <w:rPr>
                <w:rFonts w:ascii="Times New Roman" w:hAnsi="Times New Roman" w:cs="Times New Roman"/>
                <w:color w:val="333333"/>
              </w:rPr>
            </w:pPr>
          </w:p>
        </w:tc>
      </w:tr>
      <w:tr w:rsidR="00E84535" w:rsidRPr="00345562" w14:paraId="416ADDD7" w14:textId="77777777" w:rsidTr="00547A4B">
        <w:trPr>
          <w:trHeight w:val="285"/>
        </w:trPr>
        <w:tc>
          <w:tcPr>
            <w:tcW w:w="2894" w:type="dxa"/>
            <w:noWrap/>
            <w:vAlign w:val="bottom"/>
            <w:hideMark/>
          </w:tcPr>
          <w:p w14:paraId="3E4C21EF"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Male</w:t>
            </w:r>
          </w:p>
        </w:tc>
        <w:tc>
          <w:tcPr>
            <w:tcW w:w="1627" w:type="dxa"/>
            <w:noWrap/>
            <w:vAlign w:val="bottom"/>
            <w:hideMark/>
          </w:tcPr>
          <w:p w14:paraId="09BEA738"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3509 (50)</w:t>
            </w:r>
          </w:p>
        </w:tc>
        <w:tc>
          <w:tcPr>
            <w:tcW w:w="1565" w:type="dxa"/>
            <w:noWrap/>
            <w:vAlign w:val="bottom"/>
            <w:hideMark/>
          </w:tcPr>
          <w:p w14:paraId="7221B734"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533 (46.9)</w:t>
            </w:r>
          </w:p>
        </w:tc>
        <w:tc>
          <w:tcPr>
            <w:tcW w:w="1566" w:type="dxa"/>
            <w:vAlign w:val="bottom"/>
          </w:tcPr>
          <w:p w14:paraId="127E3802"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569 (51.5)</w:t>
            </w:r>
          </w:p>
        </w:tc>
        <w:tc>
          <w:tcPr>
            <w:tcW w:w="1569" w:type="dxa"/>
            <w:noWrap/>
            <w:vAlign w:val="bottom"/>
            <w:hideMark/>
          </w:tcPr>
          <w:p w14:paraId="0F3770C8"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569 (46.7)</w:t>
            </w:r>
          </w:p>
        </w:tc>
        <w:tc>
          <w:tcPr>
            <w:tcW w:w="1684" w:type="dxa"/>
            <w:vAlign w:val="bottom"/>
          </w:tcPr>
          <w:p w14:paraId="5CEE6A24"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4,954 (49.1)</w:t>
            </w:r>
          </w:p>
        </w:tc>
      </w:tr>
      <w:tr w:rsidR="00E84535" w:rsidRPr="00345562" w14:paraId="72CFBA4C" w14:textId="77777777" w:rsidTr="00547A4B">
        <w:trPr>
          <w:trHeight w:val="285"/>
        </w:trPr>
        <w:tc>
          <w:tcPr>
            <w:tcW w:w="2894" w:type="dxa"/>
            <w:noWrap/>
            <w:vAlign w:val="bottom"/>
            <w:hideMark/>
          </w:tcPr>
          <w:p w14:paraId="3BCD5720"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Female</w:t>
            </w:r>
          </w:p>
        </w:tc>
        <w:tc>
          <w:tcPr>
            <w:tcW w:w="1627" w:type="dxa"/>
            <w:noWrap/>
            <w:vAlign w:val="bottom"/>
            <w:hideMark/>
          </w:tcPr>
          <w:p w14:paraId="4F942E2E"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3,510 (50.0)</w:t>
            </w:r>
          </w:p>
        </w:tc>
        <w:tc>
          <w:tcPr>
            <w:tcW w:w="1565" w:type="dxa"/>
            <w:noWrap/>
            <w:vAlign w:val="bottom"/>
            <w:hideMark/>
          </w:tcPr>
          <w:p w14:paraId="02BC8676"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603 (53.1)</w:t>
            </w:r>
          </w:p>
        </w:tc>
        <w:tc>
          <w:tcPr>
            <w:tcW w:w="1566" w:type="dxa"/>
            <w:vAlign w:val="bottom"/>
          </w:tcPr>
          <w:p w14:paraId="157F17FD"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649 (53.3)</w:t>
            </w:r>
          </w:p>
        </w:tc>
        <w:tc>
          <w:tcPr>
            <w:tcW w:w="1569" w:type="dxa"/>
            <w:noWrap/>
            <w:vAlign w:val="bottom"/>
            <w:hideMark/>
          </w:tcPr>
          <w:p w14:paraId="47C80474"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378 (52.4)</w:t>
            </w:r>
          </w:p>
        </w:tc>
        <w:tc>
          <w:tcPr>
            <w:tcW w:w="1684" w:type="dxa"/>
            <w:vAlign w:val="bottom"/>
          </w:tcPr>
          <w:p w14:paraId="5F5FA1D1"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5,140 (50.9)</w:t>
            </w:r>
          </w:p>
        </w:tc>
      </w:tr>
      <w:tr w:rsidR="00E84535" w:rsidRPr="00345562" w14:paraId="3C61917E" w14:textId="77777777" w:rsidTr="00547A4B">
        <w:trPr>
          <w:trHeight w:val="285"/>
        </w:trPr>
        <w:tc>
          <w:tcPr>
            <w:tcW w:w="2894" w:type="dxa"/>
            <w:noWrap/>
            <w:vAlign w:val="bottom"/>
          </w:tcPr>
          <w:p w14:paraId="262ADA9D" w14:textId="77777777" w:rsidR="00E84535" w:rsidRPr="00345562" w:rsidRDefault="00E84535" w:rsidP="00547A4B">
            <w:pPr>
              <w:rPr>
                <w:rFonts w:ascii="Times New Roman" w:hAnsi="Times New Roman" w:cs="Times New Roman"/>
                <w:i/>
                <w:iCs/>
              </w:rPr>
            </w:pPr>
            <w:r w:rsidRPr="00345562">
              <w:rPr>
                <w:rStyle w:val="Strong"/>
                <w:rFonts w:ascii="Times New Roman" w:hAnsi="Times New Roman" w:cs="Times New Roman"/>
                <w:color w:val="424242"/>
                <w:sz w:val="21"/>
                <w:szCs w:val="21"/>
                <w:bdr w:val="single" w:sz="2" w:space="0" w:color="E3E3E3" w:frame="1"/>
              </w:rPr>
              <w:t>Age (years)</w:t>
            </w:r>
          </w:p>
        </w:tc>
        <w:tc>
          <w:tcPr>
            <w:tcW w:w="1627" w:type="dxa"/>
            <w:noWrap/>
            <w:vAlign w:val="bottom"/>
          </w:tcPr>
          <w:p w14:paraId="55118D2E" w14:textId="77777777" w:rsidR="00E84535" w:rsidRPr="00345562" w:rsidRDefault="00E84535" w:rsidP="00547A4B">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49 (19)</w:t>
            </w:r>
          </w:p>
        </w:tc>
        <w:tc>
          <w:tcPr>
            <w:tcW w:w="1565" w:type="dxa"/>
            <w:noWrap/>
            <w:vAlign w:val="bottom"/>
          </w:tcPr>
          <w:p w14:paraId="1D61F6E1" w14:textId="77777777" w:rsidR="00E84535" w:rsidRPr="00345562" w:rsidRDefault="00E84535" w:rsidP="00547A4B">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42 (18)</w:t>
            </w:r>
          </w:p>
        </w:tc>
        <w:tc>
          <w:tcPr>
            <w:tcW w:w="1566" w:type="dxa"/>
            <w:vAlign w:val="bottom"/>
          </w:tcPr>
          <w:p w14:paraId="5248CF0F" w14:textId="77777777" w:rsidR="00E84535" w:rsidRPr="00345562" w:rsidRDefault="00E84535" w:rsidP="00547A4B">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42 (17)</w:t>
            </w:r>
          </w:p>
        </w:tc>
        <w:tc>
          <w:tcPr>
            <w:tcW w:w="1569" w:type="dxa"/>
            <w:noWrap/>
            <w:vAlign w:val="bottom"/>
          </w:tcPr>
          <w:p w14:paraId="4E3C4A90" w14:textId="77777777" w:rsidR="00E84535" w:rsidRPr="00345562" w:rsidRDefault="00E84535" w:rsidP="00547A4B">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42 (16)</w:t>
            </w:r>
          </w:p>
        </w:tc>
        <w:tc>
          <w:tcPr>
            <w:tcW w:w="1684" w:type="dxa"/>
            <w:vAlign w:val="bottom"/>
          </w:tcPr>
          <w:p w14:paraId="7A056787" w14:textId="77777777" w:rsidR="00E84535" w:rsidRPr="00345562" w:rsidRDefault="00E84535" w:rsidP="00547A4B">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47 (19)</w:t>
            </w:r>
          </w:p>
        </w:tc>
      </w:tr>
      <w:tr w:rsidR="00E84535" w:rsidRPr="00345562" w14:paraId="3650EAAA" w14:textId="77777777" w:rsidTr="00547A4B">
        <w:trPr>
          <w:trHeight w:val="285"/>
        </w:trPr>
        <w:tc>
          <w:tcPr>
            <w:tcW w:w="2894" w:type="dxa"/>
            <w:noWrap/>
            <w:vAlign w:val="bottom"/>
          </w:tcPr>
          <w:p w14:paraId="06175463" w14:textId="77777777" w:rsidR="00E84535" w:rsidRPr="00345562" w:rsidRDefault="00E84535" w:rsidP="00547A4B">
            <w:pPr>
              <w:rPr>
                <w:rFonts w:ascii="Times New Roman" w:hAnsi="Times New Roman" w:cs="Times New Roman"/>
                <w:i/>
                <w:iCs/>
                <w:color w:val="000000"/>
              </w:rPr>
            </w:pPr>
            <w:r w:rsidRPr="00345562">
              <w:rPr>
                <w:rStyle w:val="Strong"/>
                <w:rFonts w:ascii="Times New Roman" w:hAnsi="Times New Roman" w:cs="Times New Roman"/>
                <w:color w:val="424242"/>
                <w:sz w:val="21"/>
                <w:szCs w:val="21"/>
                <w:bdr w:val="single" w:sz="2" w:space="0" w:color="E3E3E3" w:frame="1"/>
              </w:rPr>
              <w:t>Race/Ethnicity</w:t>
            </w:r>
          </w:p>
        </w:tc>
        <w:tc>
          <w:tcPr>
            <w:tcW w:w="8011" w:type="dxa"/>
            <w:gridSpan w:val="5"/>
            <w:noWrap/>
            <w:vAlign w:val="bottom"/>
          </w:tcPr>
          <w:p w14:paraId="480D03A0" w14:textId="77777777" w:rsidR="00E84535" w:rsidRPr="00345562" w:rsidRDefault="00E84535" w:rsidP="00547A4B">
            <w:pPr>
              <w:jc w:val="center"/>
              <w:rPr>
                <w:rFonts w:ascii="Times New Roman" w:hAnsi="Times New Roman" w:cs="Times New Roman"/>
                <w:color w:val="333333"/>
              </w:rPr>
            </w:pPr>
          </w:p>
        </w:tc>
      </w:tr>
      <w:tr w:rsidR="00E84535" w:rsidRPr="00345562" w14:paraId="2556F8FA" w14:textId="77777777" w:rsidTr="00547A4B">
        <w:trPr>
          <w:trHeight w:val="476"/>
        </w:trPr>
        <w:tc>
          <w:tcPr>
            <w:tcW w:w="2894" w:type="dxa"/>
            <w:noWrap/>
            <w:vAlign w:val="bottom"/>
            <w:hideMark/>
          </w:tcPr>
          <w:p w14:paraId="594757EB"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NH White</w:t>
            </w:r>
          </w:p>
        </w:tc>
        <w:tc>
          <w:tcPr>
            <w:tcW w:w="1627" w:type="dxa"/>
            <w:noWrap/>
            <w:vAlign w:val="bottom"/>
            <w:hideMark/>
          </w:tcPr>
          <w:p w14:paraId="2104BC3F"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3,412 (48.6)</w:t>
            </w:r>
          </w:p>
        </w:tc>
        <w:tc>
          <w:tcPr>
            <w:tcW w:w="1565" w:type="dxa"/>
            <w:noWrap/>
            <w:vAlign w:val="bottom"/>
            <w:hideMark/>
          </w:tcPr>
          <w:p w14:paraId="4DB6899D"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345 (30.4)</w:t>
            </w:r>
          </w:p>
        </w:tc>
        <w:tc>
          <w:tcPr>
            <w:tcW w:w="1566" w:type="dxa"/>
            <w:vAlign w:val="bottom"/>
          </w:tcPr>
          <w:p w14:paraId="6ECA25DF"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318 (26.1)</w:t>
            </w:r>
          </w:p>
        </w:tc>
        <w:tc>
          <w:tcPr>
            <w:tcW w:w="1569" w:type="dxa"/>
            <w:noWrap/>
            <w:vAlign w:val="bottom"/>
            <w:hideMark/>
          </w:tcPr>
          <w:p w14:paraId="5C1BD40C"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250 (34.7)</w:t>
            </w:r>
          </w:p>
        </w:tc>
        <w:tc>
          <w:tcPr>
            <w:tcW w:w="1684" w:type="dxa"/>
            <w:vAlign w:val="bottom"/>
          </w:tcPr>
          <w:p w14:paraId="32A2A9C0"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4,325 (42.8)</w:t>
            </w:r>
          </w:p>
        </w:tc>
      </w:tr>
      <w:tr w:rsidR="00E84535" w:rsidRPr="00345562" w14:paraId="3495BD0F" w14:textId="77777777" w:rsidTr="00547A4B">
        <w:trPr>
          <w:trHeight w:val="285"/>
        </w:trPr>
        <w:tc>
          <w:tcPr>
            <w:tcW w:w="2894" w:type="dxa"/>
            <w:noWrap/>
            <w:vAlign w:val="bottom"/>
            <w:hideMark/>
          </w:tcPr>
          <w:p w14:paraId="149A5A93" w14:textId="77777777" w:rsidR="00E84535" w:rsidRPr="00345562" w:rsidRDefault="00E84535" w:rsidP="00547A4B">
            <w:pPr>
              <w:rPr>
                <w:rFonts w:ascii="Times New Roman" w:hAnsi="Times New Roman" w:cs="Times New Roman"/>
                <w:i/>
              </w:rPr>
            </w:pPr>
            <w:r w:rsidRPr="00345562">
              <w:rPr>
                <w:rFonts w:ascii="Times New Roman" w:hAnsi="Times New Roman" w:cs="Times New Roman"/>
                <w:color w:val="424242"/>
                <w:sz w:val="21"/>
                <w:szCs w:val="21"/>
              </w:rPr>
              <w:t>NH Black</w:t>
            </w:r>
          </w:p>
        </w:tc>
        <w:tc>
          <w:tcPr>
            <w:tcW w:w="1627" w:type="dxa"/>
            <w:noWrap/>
            <w:vAlign w:val="bottom"/>
            <w:hideMark/>
          </w:tcPr>
          <w:p w14:paraId="00918562"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1,441 (20.5)</w:t>
            </w:r>
          </w:p>
        </w:tc>
        <w:tc>
          <w:tcPr>
            <w:tcW w:w="1565" w:type="dxa"/>
            <w:noWrap/>
            <w:vAlign w:val="bottom"/>
            <w:hideMark/>
          </w:tcPr>
          <w:p w14:paraId="69B6BB1E"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297 (26.1)</w:t>
            </w:r>
          </w:p>
        </w:tc>
        <w:tc>
          <w:tcPr>
            <w:tcW w:w="1566" w:type="dxa"/>
            <w:vAlign w:val="bottom"/>
          </w:tcPr>
          <w:p w14:paraId="223568C9"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331 (27.2)</w:t>
            </w:r>
          </w:p>
        </w:tc>
        <w:tc>
          <w:tcPr>
            <w:tcW w:w="1569" w:type="dxa"/>
            <w:noWrap/>
            <w:vAlign w:val="bottom"/>
            <w:hideMark/>
          </w:tcPr>
          <w:p w14:paraId="7601A1C3"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194 (26.9)</w:t>
            </w:r>
          </w:p>
        </w:tc>
        <w:tc>
          <w:tcPr>
            <w:tcW w:w="1684" w:type="dxa"/>
            <w:vAlign w:val="bottom"/>
          </w:tcPr>
          <w:p w14:paraId="37A79F44"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2,263 (22.4)</w:t>
            </w:r>
          </w:p>
        </w:tc>
      </w:tr>
      <w:tr w:rsidR="00E84535" w:rsidRPr="00345562" w14:paraId="72502B17" w14:textId="77777777" w:rsidTr="00547A4B">
        <w:trPr>
          <w:trHeight w:val="285"/>
        </w:trPr>
        <w:tc>
          <w:tcPr>
            <w:tcW w:w="2894" w:type="dxa"/>
            <w:noWrap/>
            <w:vAlign w:val="bottom"/>
            <w:hideMark/>
          </w:tcPr>
          <w:p w14:paraId="6F82BB9E" w14:textId="77777777" w:rsidR="00E84535" w:rsidRPr="00345562" w:rsidRDefault="00E84535" w:rsidP="00547A4B">
            <w:pPr>
              <w:rPr>
                <w:rFonts w:ascii="Times New Roman" w:hAnsi="Times New Roman" w:cs="Times New Roman"/>
                <w:i/>
              </w:rPr>
            </w:pPr>
            <w:r w:rsidRPr="00345562">
              <w:rPr>
                <w:rFonts w:ascii="Times New Roman" w:hAnsi="Times New Roman" w:cs="Times New Roman"/>
                <w:color w:val="424242"/>
                <w:sz w:val="21"/>
                <w:szCs w:val="21"/>
              </w:rPr>
              <w:t>Mexican-American</w:t>
            </w:r>
          </w:p>
        </w:tc>
        <w:tc>
          <w:tcPr>
            <w:tcW w:w="1627" w:type="dxa"/>
            <w:noWrap/>
            <w:vAlign w:val="bottom"/>
            <w:hideMark/>
          </w:tcPr>
          <w:p w14:paraId="05648E12"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868 (12.4)</w:t>
            </w:r>
          </w:p>
        </w:tc>
        <w:tc>
          <w:tcPr>
            <w:tcW w:w="1565" w:type="dxa"/>
            <w:noWrap/>
            <w:vAlign w:val="bottom"/>
            <w:hideMark/>
          </w:tcPr>
          <w:p w14:paraId="7DAAEAC7"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267 (23.5)</w:t>
            </w:r>
          </w:p>
        </w:tc>
        <w:tc>
          <w:tcPr>
            <w:tcW w:w="1566" w:type="dxa"/>
            <w:vAlign w:val="bottom"/>
          </w:tcPr>
          <w:p w14:paraId="20FDD4DF"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294 (24.1)</w:t>
            </w:r>
          </w:p>
        </w:tc>
        <w:tc>
          <w:tcPr>
            <w:tcW w:w="1569" w:type="dxa"/>
            <w:noWrap/>
            <w:vAlign w:val="bottom"/>
            <w:hideMark/>
          </w:tcPr>
          <w:p w14:paraId="44DC3D29"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139 (19.3)</w:t>
            </w:r>
          </w:p>
        </w:tc>
        <w:tc>
          <w:tcPr>
            <w:tcW w:w="1684" w:type="dxa"/>
            <w:vAlign w:val="bottom"/>
          </w:tcPr>
          <w:p w14:paraId="5023390B"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1,568 (15.5)</w:t>
            </w:r>
          </w:p>
        </w:tc>
      </w:tr>
      <w:tr w:rsidR="00E84535" w:rsidRPr="00345562" w14:paraId="0DDCBCF6" w14:textId="77777777" w:rsidTr="00547A4B">
        <w:trPr>
          <w:trHeight w:val="285"/>
        </w:trPr>
        <w:tc>
          <w:tcPr>
            <w:tcW w:w="2894" w:type="dxa"/>
            <w:noWrap/>
            <w:vAlign w:val="bottom"/>
            <w:hideMark/>
          </w:tcPr>
          <w:p w14:paraId="0892183B"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Other Hispanic</w:t>
            </w:r>
          </w:p>
        </w:tc>
        <w:tc>
          <w:tcPr>
            <w:tcW w:w="1627" w:type="dxa"/>
            <w:noWrap/>
            <w:vAlign w:val="bottom"/>
            <w:hideMark/>
          </w:tcPr>
          <w:p w14:paraId="67B8411C"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520 (7.4)</w:t>
            </w:r>
          </w:p>
        </w:tc>
        <w:tc>
          <w:tcPr>
            <w:tcW w:w="1565" w:type="dxa"/>
            <w:noWrap/>
            <w:vAlign w:val="bottom"/>
            <w:hideMark/>
          </w:tcPr>
          <w:p w14:paraId="22A6B96C"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126 (11.1)</w:t>
            </w:r>
          </w:p>
        </w:tc>
        <w:tc>
          <w:tcPr>
            <w:tcW w:w="1566" w:type="dxa"/>
            <w:vAlign w:val="bottom"/>
          </w:tcPr>
          <w:p w14:paraId="71242D70"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165 (13.5)</w:t>
            </w:r>
          </w:p>
        </w:tc>
        <w:tc>
          <w:tcPr>
            <w:tcW w:w="1569" w:type="dxa"/>
            <w:noWrap/>
            <w:vAlign w:val="bottom"/>
            <w:hideMark/>
          </w:tcPr>
          <w:p w14:paraId="13F00D4A"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95 (13.2)</w:t>
            </w:r>
          </w:p>
        </w:tc>
        <w:tc>
          <w:tcPr>
            <w:tcW w:w="1684" w:type="dxa"/>
            <w:vAlign w:val="bottom"/>
          </w:tcPr>
          <w:p w14:paraId="7B3A7D10"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906 (9.0)</w:t>
            </w:r>
          </w:p>
        </w:tc>
      </w:tr>
      <w:tr w:rsidR="00E84535" w:rsidRPr="00345562" w14:paraId="2079EA8C" w14:textId="77777777" w:rsidTr="00547A4B">
        <w:trPr>
          <w:trHeight w:val="285"/>
        </w:trPr>
        <w:tc>
          <w:tcPr>
            <w:tcW w:w="2894" w:type="dxa"/>
            <w:noWrap/>
            <w:vAlign w:val="bottom"/>
          </w:tcPr>
          <w:p w14:paraId="6849DD4A"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Other, incl. Multi-Racial</w:t>
            </w:r>
          </w:p>
        </w:tc>
        <w:tc>
          <w:tcPr>
            <w:tcW w:w="1627" w:type="dxa"/>
            <w:noWrap/>
            <w:vAlign w:val="bottom"/>
          </w:tcPr>
          <w:p w14:paraId="74BB5B5D" w14:textId="77777777" w:rsidR="00E84535" w:rsidRPr="00345562" w:rsidRDefault="00E84535" w:rsidP="00547A4B">
            <w:pPr>
              <w:rPr>
                <w:rFonts w:ascii="Times New Roman" w:hAnsi="Times New Roman" w:cs="Times New Roman"/>
                <w:sz w:val="22"/>
                <w:szCs w:val="22"/>
              </w:rPr>
            </w:pPr>
            <w:r w:rsidRPr="00345562">
              <w:rPr>
                <w:rFonts w:ascii="Times New Roman" w:hAnsi="Times New Roman" w:cs="Times New Roman"/>
                <w:color w:val="424242"/>
                <w:sz w:val="22"/>
                <w:szCs w:val="22"/>
              </w:rPr>
              <w:t xml:space="preserve">     778 (11.1)</w:t>
            </w:r>
          </w:p>
        </w:tc>
        <w:tc>
          <w:tcPr>
            <w:tcW w:w="1565" w:type="dxa"/>
            <w:noWrap/>
            <w:vAlign w:val="bottom"/>
          </w:tcPr>
          <w:p w14:paraId="52ACE5D0"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101 (8.9)</w:t>
            </w:r>
          </w:p>
        </w:tc>
        <w:tc>
          <w:tcPr>
            <w:tcW w:w="1566" w:type="dxa"/>
            <w:vAlign w:val="bottom"/>
          </w:tcPr>
          <w:p w14:paraId="4DF92D1C"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110 (9.0)</w:t>
            </w:r>
          </w:p>
        </w:tc>
        <w:tc>
          <w:tcPr>
            <w:tcW w:w="1569" w:type="dxa"/>
            <w:noWrap/>
            <w:vAlign w:val="bottom"/>
          </w:tcPr>
          <w:p w14:paraId="6B446F20"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43 (6.0)</w:t>
            </w:r>
          </w:p>
        </w:tc>
        <w:tc>
          <w:tcPr>
            <w:tcW w:w="1684" w:type="dxa"/>
            <w:vAlign w:val="bottom"/>
          </w:tcPr>
          <w:p w14:paraId="3B68044E"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1,032 (10.3)</w:t>
            </w:r>
          </w:p>
        </w:tc>
      </w:tr>
      <w:tr w:rsidR="00E84535" w:rsidRPr="00345562" w14:paraId="0EC6F7DB" w14:textId="77777777" w:rsidTr="00547A4B">
        <w:trPr>
          <w:trHeight w:val="285"/>
        </w:trPr>
        <w:tc>
          <w:tcPr>
            <w:tcW w:w="10905" w:type="dxa"/>
            <w:gridSpan w:val="6"/>
            <w:noWrap/>
            <w:vAlign w:val="bottom"/>
          </w:tcPr>
          <w:p w14:paraId="0027B7E8" w14:textId="77777777" w:rsidR="00E84535" w:rsidRPr="00345562" w:rsidRDefault="00E84535" w:rsidP="00547A4B">
            <w:pPr>
              <w:rPr>
                <w:rFonts w:ascii="Times New Roman" w:hAnsi="Times New Roman" w:cs="Times New Roman"/>
                <w:color w:val="333333"/>
              </w:rPr>
            </w:pPr>
            <w:r w:rsidRPr="00345562">
              <w:rPr>
                <w:rStyle w:val="Strong"/>
                <w:rFonts w:ascii="Times New Roman" w:hAnsi="Times New Roman" w:cs="Times New Roman"/>
                <w:color w:val="424242"/>
                <w:sz w:val="21"/>
                <w:szCs w:val="21"/>
                <w:bdr w:val="single" w:sz="2" w:space="0" w:color="E3E3E3" w:frame="1"/>
              </w:rPr>
              <w:t>Highest Educational Attainment</w:t>
            </w:r>
          </w:p>
        </w:tc>
      </w:tr>
      <w:tr w:rsidR="00E84535" w:rsidRPr="00345562" w14:paraId="66225CB8" w14:textId="77777777" w:rsidTr="00547A4B">
        <w:trPr>
          <w:trHeight w:val="285"/>
        </w:trPr>
        <w:tc>
          <w:tcPr>
            <w:tcW w:w="2894" w:type="dxa"/>
            <w:noWrap/>
            <w:vAlign w:val="bottom"/>
            <w:hideMark/>
          </w:tcPr>
          <w:p w14:paraId="021F455C"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Less than 9</w:t>
            </w:r>
            <w:r w:rsidRPr="00345562">
              <w:rPr>
                <w:rFonts w:ascii="Times New Roman" w:hAnsi="Times New Roman" w:cs="Times New Roman"/>
                <w:color w:val="424242"/>
                <w:sz w:val="21"/>
                <w:szCs w:val="21"/>
                <w:vertAlign w:val="superscript"/>
              </w:rPr>
              <w:t>th</w:t>
            </w:r>
            <w:r w:rsidRPr="00345562">
              <w:rPr>
                <w:rFonts w:ascii="Times New Roman" w:hAnsi="Times New Roman" w:cs="Times New Roman"/>
                <w:color w:val="424242"/>
                <w:sz w:val="21"/>
                <w:szCs w:val="21"/>
              </w:rPr>
              <w:t xml:space="preserve"> Grade</w:t>
            </w:r>
          </w:p>
        </w:tc>
        <w:tc>
          <w:tcPr>
            <w:tcW w:w="1627" w:type="dxa"/>
            <w:noWrap/>
            <w:vAlign w:val="bottom"/>
            <w:hideMark/>
          </w:tcPr>
          <w:p w14:paraId="04B49021"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1,382 (19.7)</w:t>
            </w:r>
          </w:p>
        </w:tc>
        <w:tc>
          <w:tcPr>
            <w:tcW w:w="1565" w:type="dxa"/>
            <w:noWrap/>
            <w:vAlign w:val="bottom"/>
            <w:hideMark/>
          </w:tcPr>
          <w:p w14:paraId="1E0A0662"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396 (34.9)</w:t>
            </w:r>
          </w:p>
        </w:tc>
        <w:tc>
          <w:tcPr>
            <w:tcW w:w="1566" w:type="dxa"/>
            <w:vAlign w:val="bottom"/>
          </w:tcPr>
          <w:p w14:paraId="01A3A9B6"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504 (41.4)</w:t>
            </w:r>
          </w:p>
        </w:tc>
        <w:tc>
          <w:tcPr>
            <w:tcW w:w="1569" w:type="dxa"/>
            <w:noWrap/>
            <w:vAlign w:val="bottom"/>
            <w:hideMark/>
          </w:tcPr>
          <w:p w14:paraId="7EB24D6E"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284 (39.4)</w:t>
            </w:r>
          </w:p>
        </w:tc>
        <w:tc>
          <w:tcPr>
            <w:tcW w:w="1684" w:type="dxa"/>
            <w:vAlign w:val="bottom"/>
          </w:tcPr>
          <w:p w14:paraId="19517C83"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2,566 (25.4)</w:t>
            </w:r>
          </w:p>
        </w:tc>
      </w:tr>
      <w:tr w:rsidR="00E84535" w:rsidRPr="00345562" w14:paraId="4A561374" w14:textId="77777777" w:rsidTr="00547A4B">
        <w:trPr>
          <w:trHeight w:val="360"/>
        </w:trPr>
        <w:tc>
          <w:tcPr>
            <w:tcW w:w="2894" w:type="dxa"/>
            <w:noWrap/>
            <w:vAlign w:val="bottom"/>
            <w:hideMark/>
          </w:tcPr>
          <w:p w14:paraId="4F4BE259"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High School Graduate or Equivalent</w:t>
            </w:r>
          </w:p>
        </w:tc>
        <w:tc>
          <w:tcPr>
            <w:tcW w:w="1627" w:type="dxa"/>
            <w:noWrap/>
            <w:vAlign w:val="bottom"/>
            <w:hideMark/>
          </w:tcPr>
          <w:p w14:paraId="2D375291"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1,730 (24.6)</w:t>
            </w:r>
          </w:p>
        </w:tc>
        <w:tc>
          <w:tcPr>
            <w:tcW w:w="1565" w:type="dxa"/>
            <w:noWrap/>
            <w:vAlign w:val="center"/>
            <w:hideMark/>
          </w:tcPr>
          <w:p w14:paraId="3E673D2C" w14:textId="77777777" w:rsidR="00E84535" w:rsidRPr="00345562" w:rsidRDefault="00E84535" w:rsidP="00547A4B">
            <w:pPr>
              <w:jc w:val="center"/>
              <w:rPr>
                <w:rFonts w:ascii="Times New Roman" w:hAnsi="Times New Roman" w:cs="Times New Roman"/>
                <w:color w:val="333333"/>
                <w:sz w:val="22"/>
                <w:szCs w:val="22"/>
              </w:rPr>
            </w:pPr>
          </w:p>
          <w:p w14:paraId="19A2992D"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320 (28.2)</w:t>
            </w:r>
          </w:p>
        </w:tc>
        <w:tc>
          <w:tcPr>
            <w:tcW w:w="1566" w:type="dxa"/>
            <w:vAlign w:val="center"/>
          </w:tcPr>
          <w:p w14:paraId="0DDB252C" w14:textId="77777777" w:rsidR="00E84535" w:rsidRPr="00345562" w:rsidRDefault="00E84535" w:rsidP="00547A4B">
            <w:pPr>
              <w:jc w:val="center"/>
              <w:rPr>
                <w:rFonts w:ascii="Times New Roman" w:hAnsi="Times New Roman" w:cs="Times New Roman"/>
                <w:color w:val="333333"/>
                <w:sz w:val="22"/>
                <w:szCs w:val="22"/>
              </w:rPr>
            </w:pPr>
          </w:p>
          <w:p w14:paraId="2B2DC9F3"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327 (26.8)</w:t>
            </w:r>
          </w:p>
        </w:tc>
        <w:tc>
          <w:tcPr>
            <w:tcW w:w="1569" w:type="dxa"/>
            <w:noWrap/>
            <w:vAlign w:val="center"/>
            <w:hideMark/>
          </w:tcPr>
          <w:p w14:paraId="16A93543" w14:textId="77777777" w:rsidR="00E84535" w:rsidRPr="00345562" w:rsidRDefault="00E84535" w:rsidP="00547A4B">
            <w:pPr>
              <w:jc w:val="center"/>
              <w:rPr>
                <w:rFonts w:ascii="Times New Roman" w:hAnsi="Times New Roman" w:cs="Times New Roman"/>
                <w:color w:val="333333"/>
                <w:sz w:val="22"/>
                <w:szCs w:val="22"/>
              </w:rPr>
            </w:pPr>
          </w:p>
          <w:p w14:paraId="746D17D7"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197 (27.3)</w:t>
            </w:r>
          </w:p>
        </w:tc>
        <w:tc>
          <w:tcPr>
            <w:tcW w:w="1684" w:type="dxa"/>
            <w:vAlign w:val="bottom"/>
          </w:tcPr>
          <w:p w14:paraId="18387E68"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2,574 (25.5)</w:t>
            </w:r>
          </w:p>
        </w:tc>
      </w:tr>
      <w:tr w:rsidR="00E84535" w:rsidRPr="00345562" w14:paraId="20229F84" w14:textId="77777777" w:rsidTr="00547A4B">
        <w:trPr>
          <w:trHeight w:val="285"/>
        </w:trPr>
        <w:tc>
          <w:tcPr>
            <w:tcW w:w="2894" w:type="dxa"/>
            <w:noWrap/>
            <w:vAlign w:val="bottom"/>
            <w:hideMark/>
          </w:tcPr>
          <w:p w14:paraId="63352168"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Some College</w:t>
            </w:r>
          </w:p>
        </w:tc>
        <w:tc>
          <w:tcPr>
            <w:tcW w:w="1627" w:type="dxa"/>
            <w:noWrap/>
            <w:vAlign w:val="bottom"/>
            <w:hideMark/>
          </w:tcPr>
          <w:p w14:paraId="084F6B93"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1,939 (27.6)</w:t>
            </w:r>
          </w:p>
        </w:tc>
        <w:tc>
          <w:tcPr>
            <w:tcW w:w="1565" w:type="dxa"/>
            <w:noWrap/>
            <w:vAlign w:val="center"/>
            <w:hideMark/>
          </w:tcPr>
          <w:p w14:paraId="69DEA33E"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313 (27.6)</w:t>
            </w:r>
          </w:p>
        </w:tc>
        <w:tc>
          <w:tcPr>
            <w:tcW w:w="1566" w:type="dxa"/>
            <w:vAlign w:val="center"/>
          </w:tcPr>
          <w:p w14:paraId="1D296E3F"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303 (24.9)</w:t>
            </w:r>
          </w:p>
        </w:tc>
        <w:tc>
          <w:tcPr>
            <w:tcW w:w="1569" w:type="dxa"/>
            <w:noWrap/>
            <w:vAlign w:val="center"/>
            <w:hideMark/>
          </w:tcPr>
          <w:p w14:paraId="59772FDE"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210 (29.1)</w:t>
            </w:r>
          </w:p>
        </w:tc>
        <w:tc>
          <w:tcPr>
            <w:tcW w:w="1684" w:type="dxa"/>
            <w:vAlign w:val="bottom"/>
          </w:tcPr>
          <w:p w14:paraId="4C742E57"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2,756 (27.4)</w:t>
            </w:r>
          </w:p>
        </w:tc>
      </w:tr>
      <w:tr w:rsidR="00E84535" w:rsidRPr="00345562" w14:paraId="65198866" w14:textId="77777777" w:rsidTr="00547A4B">
        <w:trPr>
          <w:trHeight w:val="285"/>
        </w:trPr>
        <w:tc>
          <w:tcPr>
            <w:tcW w:w="2894" w:type="dxa"/>
            <w:noWrap/>
            <w:vAlign w:val="bottom"/>
            <w:hideMark/>
          </w:tcPr>
          <w:p w14:paraId="6B4E519C"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College or Above</w:t>
            </w:r>
          </w:p>
        </w:tc>
        <w:tc>
          <w:tcPr>
            <w:tcW w:w="1627" w:type="dxa"/>
            <w:noWrap/>
            <w:vAlign w:val="bottom"/>
            <w:hideMark/>
          </w:tcPr>
          <w:p w14:paraId="369DB287"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1,968 (28.0)</w:t>
            </w:r>
          </w:p>
        </w:tc>
        <w:tc>
          <w:tcPr>
            <w:tcW w:w="1565" w:type="dxa"/>
            <w:noWrap/>
            <w:vAlign w:val="bottom"/>
            <w:hideMark/>
          </w:tcPr>
          <w:p w14:paraId="5AD6AB40"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107 (9.4)</w:t>
            </w:r>
          </w:p>
        </w:tc>
        <w:tc>
          <w:tcPr>
            <w:tcW w:w="1566" w:type="dxa"/>
            <w:vAlign w:val="bottom"/>
          </w:tcPr>
          <w:p w14:paraId="787497A7"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84 (6.9)</w:t>
            </w:r>
          </w:p>
        </w:tc>
        <w:tc>
          <w:tcPr>
            <w:tcW w:w="1569" w:type="dxa"/>
            <w:noWrap/>
            <w:vAlign w:val="bottom"/>
            <w:hideMark/>
          </w:tcPr>
          <w:p w14:paraId="2BEAE6F8"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30 (4.2)</w:t>
            </w:r>
          </w:p>
        </w:tc>
        <w:tc>
          <w:tcPr>
            <w:tcW w:w="1684" w:type="dxa"/>
            <w:vAlign w:val="bottom"/>
          </w:tcPr>
          <w:p w14:paraId="6DAB70F6"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2,189 (21.7)</w:t>
            </w:r>
          </w:p>
        </w:tc>
      </w:tr>
      <w:tr w:rsidR="00E84535" w:rsidRPr="00345562" w14:paraId="555CF40D" w14:textId="77777777" w:rsidTr="00547A4B">
        <w:trPr>
          <w:trHeight w:val="285"/>
        </w:trPr>
        <w:tc>
          <w:tcPr>
            <w:tcW w:w="10905" w:type="dxa"/>
            <w:gridSpan w:val="6"/>
            <w:noWrap/>
            <w:vAlign w:val="bottom"/>
          </w:tcPr>
          <w:p w14:paraId="1F9294A3" w14:textId="77777777" w:rsidR="00E84535" w:rsidRPr="00345562" w:rsidRDefault="00E84535" w:rsidP="00547A4B">
            <w:pPr>
              <w:rPr>
                <w:rFonts w:ascii="Times New Roman" w:hAnsi="Times New Roman" w:cs="Times New Roman"/>
                <w:b/>
                <w:bCs/>
                <w:color w:val="333333"/>
                <w:sz w:val="21"/>
                <w:szCs w:val="21"/>
              </w:rPr>
            </w:pPr>
            <w:r w:rsidRPr="00345562">
              <w:rPr>
                <w:rFonts w:ascii="Times New Roman" w:hAnsi="Times New Roman" w:cs="Times New Roman"/>
                <w:b/>
                <w:bCs/>
                <w:color w:val="333333"/>
                <w:sz w:val="21"/>
                <w:szCs w:val="21"/>
              </w:rPr>
              <w:t>Poverty Income Ratio</w:t>
            </w:r>
          </w:p>
        </w:tc>
      </w:tr>
      <w:tr w:rsidR="00E84535" w:rsidRPr="00345562" w14:paraId="53E84459" w14:textId="77777777" w:rsidTr="00547A4B">
        <w:trPr>
          <w:trHeight w:val="285"/>
        </w:trPr>
        <w:tc>
          <w:tcPr>
            <w:tcW w:w="2894" w:type="dxa"/>
            <w:noWrap/>
            <w:vAlign w:val="bottom"/>
            <w:hideMark/>
          </w:tcPr>
          <w:p w14:paraId="6A0B7175"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Low Poverty</w:t>
            </w:r>
          </w:p>
        </w:tc>
        <w:tc>
          <w:tcPr>
            <w:tcW w:w="1627" w:type="dxa"/>
            <w:noWrap/>
            <w:vAlign w:val="center"/>
            <w:hideMark/>
          </w:tcPr>
          <w:p w14:paraId="540C946E"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993 (14.1%)</w:t>
            </w:r>
          </w:p>
        </w:tc>
        <w:tc>
          <w:tcPr>
            <w:tcW w:w="1565" w:type="dxa"/>
            <w:noWrap/>
            <w:vAlign w:val="center"/>
            <w:hideMark/>
          </w:tcPr>
          <w:p w14:paraId="01A734A1"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397 (34.9%)</w:t>
            </w:r>
          </w:p>
        </w:tc>
        <w:tc>
          <w:tcPr>
            <w:tcW w:w="1566" w:type="dxa"/>
            <w:vAlign w:val="center"/>
          </w:tcPr>
          <w:p w14:paraId="069AB0DA"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528 (43.3%)</w:t>
            </w:r>
          </w:p>
        </w:tc>
        <w:tc>
          <w:tcPr>
            <w:tcW w:w="1569" w:type="dxa"/>
            <w:noWrap/>
            <w:vAlign w:val="center"/>
            <w:hideMark/>
          </w:tcPr>
          <w:p w14:paraId="777F3CB0"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375 (52.0%)</w:t>
            </w:r>
          </w:p>
        </w:tc>
        <w:tc>
          <w:tcPr>
            <w:tcW w:w="1684" w:type="dxa"/>
            <w:vAlign w:val="bottom"/>
          </w:tcPr>
          <w:p w14:paraId="674818B2"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shd w:val="clear" w:color="auto" w:fill="FFFFFF"/>
              </w:rPr>
              <w:t>2,293 (22.7%)</w:t>
            </w:r>
          </w:p>
        </w:tc>
      </w:tr>
      <w:tr w:rsidR="00E84535" w:rsidRPr="00345562" w14:paraId="1DD436E2" w14:textId="77777777" w:rsidTr="00547A4B">
        <w:trPr>
          <w:trHeight w:val="285"/>
        </w:trPr>
        <w:tc>
          <w:tcPr>
            <w:tcW w:w="2894" w:type="dxa"/>
            <w:noWrap/>
            <w:vAlign w:val="bottom"/>
            <w:hideMark/>
          </w:tcPr>
          <w:p w14:paraId="1092E273"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Near Poverty</w:t>
            </w:r>
          </w:p>
        </w:tc>
        <w:tc>
          <w:tcPr>
            <w:tcW w:w="1627" w:type="dxa"/>
            <w:noWrap/>
            <w:vAlign w:val="center"/>
            <w:hideMark/>
          </w:tcPr>
          <w:p w14:paraId="6E0620A1"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1,560 (22.2%)</w:t>
            </w:r>
          </w:p>
        </w:tc>
        <w:tc>
          <w:tcPr>
            <w:tcW w:w="1565" w:type="dxa"/>
            <w:noWrap/>
            <w:vAlign w:val="center"/>
            <w:hideMark/>
          </w:tcPr>
          <w:p w14:paraId="7C1EABEF"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405 (35.7%)</w:t>
            </w:r>
          </w:p>
        </w:tc>
        <w:tc>
          <w:tcPr>
            <w:tcW w:w="1566" w:type="dxa"/>
            <w:vAlign w:val="center"/>
          </w:tcPr>
          <w:p w14:paraId="3FB6DBCC"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458 (37.6%)</w:t>
            </w:r>
          </w:p>
        </w:tc>
        <w:tc>
          <w:tcPr>
            <w:tcW w:w="1569" w:type="dxa"/>
            <w:noWrap/>
            <w:vAlign w:val="center"/>
            <w:hideMark/>
          </w:tcPr>
          <w:p w14:paraId="651AF135"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262 (36.3%)</w:t>
            </w:r>
          </w:p>
        </w:tc>
        <w:tc>
          <w:tcPr>
            <w:tcW w:w="1684" w:type="dxa"/>
            <w:vAlign w:val="bottom"/>
          </w:tcPr>
          <w:p w14:paraId="55A45EC3"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shd w:val="clear" w:color="auto" w:fill="FFFFFF"/>
              </w:rPr>
              <w:t>2,685 (26.6%)</w:t>
            </w:r>
          </w:p>
        </w:tc>
      </w:tr>
      <w:tr w:rsidR="00E84535" w:rsidRPr="00345562" w14:paraId="7C0206C3" w14:textId="77777777" w:rsidTr="00547A4B">
        <w:trPr>
          <w:trHeight w:val="285"/>
        </w:trPr>
        <w:tc>
          <w:tcPr>
            <w:tcW w:w="2894" w:type="dxa"/>
            <w:noWrap/>
            <w:vAlign w:val="bottom"/>
            <w:hideMark/>
          </w:tcPr>
          <w:p w14:paraId="714A3FFC"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Middle Income</w:t>
            </w:r>
          </w:p>
        </w:tc>
        <w:tc>
          <w:tcPr>
            <w:tcW w:w="1627" w:type="dxa"/>
            <w:noWrap/>
            <w:vAlign w:val="center"/>
            <w:hideMark/>
          </w:tcPr>
          <w:p w14:paraId="4885961D"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1,085 (15.5%)</w:t>
            </w:r>
          </w:p>
        </w:tc>
        <w:tc>
          <w:tcPr>
            <w:tcW w:w="1565" w:type="dxa"/>
            <w:noWrap/>
            <w:vAlign w:val="center"/>
            <w:hideMark/>
          </w:tcPr>
          <w:p w14:paraId="47DCC235"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178 (15.7%)</w:t>
            </w:r>
          </w:p>
        </w:tc>
        <w:tc>
          <w:tcPr>
            <w:tcW w:w="1566" w:type="dxa"/>
            <w:vAlign w:val="center"/>
          </w:tcPr>
          <w:p w14:paraId="7B1345C4"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127 (10.4%)</w:t>
            </w:r>
          </w:p>
        </w:tc>
        <w:tc>
          <w:tcPr>
            <w:tcW w:w="1569" w:type="dxa"/>
            <w:noWrap/>
            <w:vAlign w:val="center"/>
            <w:hideMark/>
          </w:tcPr>
          <w:p w14:paraId="2D685A3A"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53 (7.4%)</w:t>
            </w:r>
          </w:p>
        </w:tc>
        <w:tc>
          <w:tcPr>
            <w:tcW w:w="1684" w:type="dxa"/>
            <w:vAlign w:val="bottom"/>
          </w:tcPr>
          <w:p w14:paraId="175A3DD0"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shd w:val="clear" w:color="auto" w:fill="FFFFFF"/>
              </w:rPr>
              <w:t>1,443 (14.3%)</w:t>
            </w:r>
          </w:p>
        </w:tc>
      </w:tr>
      <w:tr w:rsidR="00E84535" w:rsidRPr="00345562" w14:paraId="18928AD0" w14:textId="77777777" w:rsidTr="00547A4B">
        <w:trPr>
          <w:trHeight w:val="285"/>
        </w:trPr>
        <w:tc>
          <w:tcPr>
            <w:tcW w:w="2894" w:type="dxa"/>
            <w:noWrap/>
            <w:vAlign w:val="bottom"/>
          </w:tcPr>
          <w:p w14:paraId="74CA5B80" w14:textId="77777777" w:rsidR="00E84535" w:rsidRPr="00345562" w:rsidRDefault="00E84535" w:rsidP="00547A4B">
            <w:pPr>
              <w:rPr>
                <w:rFonts w:ascii="Times New Roman" w:hAnsi="Times New Roman" w:cs="Times New Roman"/>
                <w:color w:val="424242"/>
                <w:sz w:val="21"/>
                <w:szCs w:val="21"/>
              </w:rPr>
            </w:pPr>
            <w:r w:rsidRPr="00345562">
              <w:rPr>
                <w:rFonts w:ascii="Times New Roman" w:hAnsi="Times New Roman" w:cs="Times New Roman"/>
                <w:color w:val="424242"/>
                <w:sz w:val="21"/>
                <w:szCs w:val="21"/>
              </w:rPr>
              <w:t>Upper-Middle Income</w:t>
            </w:r>
          </w:p>
        </w:tc>
        <w:tc>
          <w:tcPr>
            <w:tcW w:w="1627" w:type="dxa"/>
            <w:noWrap/>
            <w:vAlign w:val="center"/>
          </w:tcPr>
          <w:p w14:paraId="122536AA"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1,679 (23.9%)</w:t>
            </w:r>
          </w:p>
        </w:tc>
        <w:tc>
          <w:tcPr>
            <w:tcW w:w="1565" w:type="dxa"/>
            <w:noWrap/>
            <w:vAlign w:val="center"/>
          </w:tcPr>
          <w:p w14:paraId="38AEC04B"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124 (10.9%)</w:t>
            </w:r>
          </w:p>
        </w:tc>
        <w:tc>
          <w:tcPr>
            <w:tcW w:w="1566" w:type="dxa"/>
            <w:vAlign w:val="center"/>
          </w:tcPr>
          <w:p w14:paraId="2313E15A"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91 (7.5%)</w:t>
            </w:r>
          </w:p>
        </w:tc>
        <w:tc>
          <w:tcPr>
            <w:tcW w:w="1569" w:type="dxa"/>
            <w:noWrap/>
            <w:vAlign w:val="center"/>
          </w:tcPr>
          <w:p w14:paraId="4CB906F2"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27 (3.7%)</w:t>
            </w:r>
          </w:p>
        </w:tc>
        <w:tc>
          <w:tcPr>
            <w:tcW w:w="1684" w:type="dxa"/>
            <w:vAlign w:val="bottom"/>
          </w:tcPr>
          <w:p w14:paraId="714C562A" w14:textId="77777777" w:rsidR="00E84535" w:rsidRPr="00345562" w:rsidRDefault="00E84535" w:rsidP="00547A4B">
            <w:pPr>
              <w:jc w:val="center"/>
              <w:rPr>
                <w:rFonts w:ascii="Times New Roman" w:hAnsi="Times New Roman" w:cs="Times New Roman"/>
                <w:color w:val="424242"/>
                <w:sz w:val="22"/>
                <w:szCs w:val="22"/>
              </w:rPr>
            </w:pPr>
            <w:r w:rsidRPr="00345562">
              <w:rPr>
                <w:rFonts w:ascii="Times New Roman" w:hAnsi="Times New Roman" w:cs="Times New Roman"/>
                <w:color w:val="333333"/>
                <w:sz w:val="22"/>
                <w:szCs w:val="22"/>
                <w:shd w:val="clear" w:color="auto" w:fill="FFFFFF"/>
              </w:rPr>
              <w:t>1,921 (19.0%)</w:t>
            </w:r>
          </w:p>
        </w:tc>
      </w:tr>
      <w:tr w:rsidR="00E84535" w:rsidRPr="00345562" w14:paraId="7CDC170E" w14:textId="77777777" w:rsidTr="00547A4B">
        <w:trPr>
          <w:trHeight w:val="285"/>
        </w:trPr>
        <w:tc>
          <w:tcPr>
            <w:tcW w:w="2894" w:type="dxa"/>
            <w:noWrap/>
            <w:vAlign w:val="bottom"/>
          </w:tcPr>
          <w:p w14:paraId="48E40349" w14:textId="77777777" w:rsidR="00E84535" w:rsidRPr="00345562" w:rsidRDefault="00E84535" w:rsidP="00547A4B">
            <w:pPr>
              <w:rPr>
                <w:rFonts w:ascii="Times New Roman" w:hAnsi="Times New Roman" w:cs="Times New Roman"/>
                <w:color w:val="424242"/>
                <w:sz w:val="21"/>
                <w:szCs w:val="21"/>
              </w:rPr>
            </w:pPr>
            <w:r w:rsidRPr="00345562">
              <w:rPr>
                <w:rFonts w:ascii="Times New Roman" w:hAnsi="Times New Roman" w:cs="Times New Roman"/>
                <w:color w:val="424242"/>
                <w:sz w:val="21"/>
                <w:szCs w:val="21"/>
              </w:rPr>
              <w:t>High Income</w:t>
            </w:r>
          </w:p>
        </w:tc>
        <w:tc>
          <w:tcPr>
            <w:tcW w:w="1627" w:type="dxa"/>
            <w:noWrap/>
            <w:vAlign w:val="center"/>
          </w:tcPr>
          <w:p w14:paraId="6E5EEA6C"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1,702 (24.2%)</w:t>
            </w:r>
          </w:p>
        </w:tc>
        <w:tc>
          <w:tcPr>
            <w:tcW w:w="1565" w:type="dxa"/>
            <w:noWrap/>
            <w:vAlign w:val="center"/>
          </w:tcPr>
          <w:p w14:paraId="4A542872"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32 (2.8%)</w:t>
            </w:r>
          </w:p>
        </w:tc>
        <w:tc>
          <w:tcPr>
            <w:tcW w:w="1566" w:type="dxa"/>
            <w:vAlign w:val="center"/>
          </w:tcPr>
          <w:p w14:paraId="19A076F5"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14 (1.1%)</w:t>
            </w:r>
          </w:p>
        </w:tc>
        <w:tc>
          <w:tcPr>
            <w:tcW w:w="1569" w:type="dxa"/>
            <w:noWrap/>
            <w:vAlign w:val="center"/>
          </w:tcPr>
          <w:p w14:paraId="3C004ACE"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4 (0.6%)</w:t>
            </w:r>
          </w:p>
        </w:tc>
        <w:tc>
          <w:tcPr>
            <w:tcW w:w="1684" w:type="dxa"/>
            <w:vAlign w:val="bottom"/>
          </w:tcPr>
          <w:p w14:paraId="72428458" w14:textId="77777777" w:rsidR="00E84535" w:rsidRPr="00345562" w:rsidRDefault="00E84535" w:rsidP="00547A4B">
            <w:pPr>
              <w:jc w:val="center"/>
              <w:rPr>
                <w:rFonts w:ascii="Times New Roman" w:hAnsi="Times New Roman" w:cs="Times New Roman"/>
                <w:color w:val="424242"/>
                <w:sz w:val="22"/>
                <w:szCs w:val="22"/>
              </w:rPr>
            </w:pPr>
            <w:r w:rsidRPr="00345562">
              <w:rPr>
                <w:rFonts w:ascii="Times New Roman" w:hAnsi="Times New Roman" w:cs="Times New Roman"/>
                <w:color w:val="333333"/>
                <w:sz w:val="22"/>
                <w:szCs w:val="22"/>
                <w:shd w:val="clear" w:color="auto" w:fill="FFFFFF"/>
              </w:rPr>
              <w:t>1,752 (17.4%)</w:t>
            </w:r>
          </w:p>
        </w:tc>
      </w:tr>
      <w:tr w:rsidR="00E84535" w:rsidRPr="00345562" w14:paraId="61D85CD8" w14:textId="77777777" w:rsidTr="00547A4B">
        <w:trPr>
          <w:trHeight w:val="285"/>
        </w:trPr>
        <w:tc>
          <w:tcPr>
            <w:tcW w:w="2894" w:type="dxa"/>
            <w:noWrap/>
            <w:vAlign w:val="bottom"/>
          </w:tcPr>
          <w:p w14:paraId="226D744A" w14:textId="77777777" w:rsidR="00E84535" w:rsidRPr="00345562" w:rsidRDefault="00E84535" w:rsidP="00547A4B">
            <w:pPr>
              <w:rPr>
                <w:rFonts w:ascii="Times New Roman" w:hAnsi="Times New Roman" w:cs="Times New Roman"/>
                <w:b/>
                <w:bCs/>
              </w:rPr>
            </w:pPr>
            <w:r w:rsidRPr="00345562">
              <w:rPr>
                <w:rStyle w:val="Strong"/>
                <w:rFonts w:ascii="Times New Roman" w:hAnsi="Times New Roman" w:cs="Times New Roman"/>
                <w:color w:val="424242"/>
                <w:sz w:val="21"/>
                <w:szCs w:val="21"/>
                <w:bdr w:val="single" w:sz="2" w:space="0" w:color="E3E3E3" w:frame="1"/>
              </w:rPr>
              <w:t>Cycle Year</w:t>
            </w:r>
          </w:p>
        </w:tc>
        <w:tc>
          <w:tcPr>
            <w:tcW w:w="8011" w:type="dxa"/>
            <w:gridSpan w:val="5"/>
            <w:noWrap/>
            <w:vAlign w:val="bottom"/>
          </w:tcPr>
          <w:p w14:paraId="5C130CA1" w14:textId="77777777" w:rsidR="00E84535" w:rsidRPr="00345562" w:rsidRDefault="00E84535" w:rsidP="00547A4B">
            <w:pPr>
              <w:jc w:val="center"/>
              <w:rPr>
                <w:rFonts w:ascii="Times New Roman" w:hAnsi="Times New Roman" w:cs="Times New Roman"/>
                <w:sz w:val="22"/>
                <w:szCs w:val="22"/>
              </w:rPr>
            </w:pPr>
          </w:p>
        </w:tc>
      </w:tr>
      <w:tr w:rsidR="00E84535" w:rsidRPr="00345562" w14:paraId="43A6F29B" w14:textId="77777777" w:rsidTr="00547A4B">
        <w:trPr>
          <w:trHeight w:val="285"/>
        </w:trPr>
        <w:tc>
          <w:tcPr>
            <w:tcW w:w="2894" w:type="dxa"/>
            <w:noWrap/>
            <w:vAlign w:val="bottom"/>
          </w:tcPr>
          <w:p w14:paraId="446EBAF0"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2005–2006</w:t>
            </w:r>
          </w:p>
        </w:tc>
        <w:tc>
          <w:tcPr>
            <w:tcW w:w="1627" w:type="dxa"/>
            <w:noWrap/>
            <w:vAlign w:val="center"/>
          </w:tcPr>
          <w:p w14:paraId="67065550"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1,179 (16.8)</w:t>
            </w:r>
          </w:p>
        </w:tc>
        <w:tc>
          <w:tcPr>
            <w:tcW w:w="1565" w:type="dxa"/>
            <w:noWrap/>
            <w:vAlign w:val="center"/>
          </w:tcPr>
          <w:p w14:paraId="7903CCE1"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154 (13.6)</w:t>
            </w:r>
          </w:p>
        </w:tc>
        <w:tc>
          <w:tcPr>
            <w:tcW w:w="1566" w:type="dxa"/>
            <w:vAlign w:val="center"/>
          </w:tcPr>
          <w:p w14:paraId="21D7C661"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148 (12.2)</w:t>
            </w:r>
          </w:p>
        </w:tc>
        <w:tc>
          <w:tcPr>
            <w:tcW w:w="1569" w:type="dxa"/>
            <w:noWrap/>
            <w:vAlign w:val="center"/>
          </w:tcPr>
          <w:p w14:paraId="6DE24DA1"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70 (9.7)</w:t>
            </w:r>
          </w:p>
        </w:tc>
        <w:tc>
          <w:tcPr>
            <w:tcW w:w="1684" w:type="dxa"/>
            <w:vAlign w:val="bottom"/>
          </w:tcPr>
          <w:p w14:paraId="1DC903E4"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1,551 (15.4)</w:t>
            </w:r>
          </w:p>
        </w:tc>
      </w:tr>
      <w:tr w:rsidR="00E84535" w:rsidRPr="00345562" w14:paraId="09C1E4F2" w14:textId="77777777" w:rsidTr="00547A4B">
        <w:trPr>
          <w:trHeight w:val="285"/>
        </w:trPr>
        <w:tc>
          <w:tcPr>
            <w:tcW w:w="2894" w:type="dxa"/>
            <w:noWrap/>
            <w:vAlign w:val="bottom"/>
          </w:tcPr>
          <w:p w14:paraId="76B607A9"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2007–2008</w:t>
            </w:r>
          </w:p>
        </w:tc>
        <w:tc>
          <w:tcPr>
            <w:tcW w:w="1627" w:type="dxa"/>
            <w:noWrap/>
            <w:vAlign w:val="center"/>
          </w:tcPr>
          <w:p w14:paraId="4050D90D"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1,313 (18.7)</w:t>
            </w:r>
          </w:p>
        </w:tc>
        <w:tc>
          <w:tcPr>
            <w:tcW w:w="1565" w:type="dxa"/>
            <w:noWrap/>
            <w:vAlign w:val="center"/>
          </w:tcPr>
          <w:p w14:paraId="78A3AEE5"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175 (15.4)</w:t>
            </w:r>
          </w:p>
        </w:tc>
        <w:tc>
          <w:tcPr>
            <w:tcW w:w="1566" w:type="dxa"/>
            <w:vAlign w:val="center"/>
          </w:tcPr>
          <w:p w14:paraId="3A798BF7"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168 (13.8)</w:t>
            </w:r>
          </w:p>
        </w:tc>
        <w:tc>
          <w:tcPr>
            <w:tcW w:w="1569" w:type="dxa"/>
            <w:noWrap/>
            <w:vAlign w:val="center"/>
          </w:tcPr>
          <w:p w14:paraId="63FB5779"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93 (12.9)</w:t>
            </w:r>
          </w:p>
        </w:tc>
        <w:tc>
          <w:tcPr>
            <w:tcW w:w="1684" w:type="dxa"/>
            <w:vAlign w:val="bottom"/>
          </w:tcPr>
          <w:p w14:paraId="3C57A781"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1,749 (17.3)</w:t>
            </w:r>
          </w:p>
        </w:tc>
      </w:tr>
      <w:tr w:rsidR="00E84535" w:rsidRPr="00345562" w14:paraId="28D5BF02" w14:textId="77777777" w:rsidTr="00547A4B">
        <w:trPr>
          <w:trHeight w:val="285"/>
        </w:trPr>
        <w:tc>
          <w:tcPr>
            <w:tcW w:w="2894" w:type="dxa"/>
            <w:noWrap/>
            <w:vAlign w:val="bottom"/>
          </w:tcPr>
          <w:p w14:paraId="6E78CCA9"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lastRenderedPageBreak/>
              <w:t>2009–2010</w:t>
            </w:r>
          </w:p>
        </w:tc>
        <w:tc>
          <w:tcPr>
            <w:tcW w:w="1627" w:type="dxa"/>
            <w:noWrap/>
            <w:vAlign w:val="center"/>
          </w:tcPr>
          <w:p w14:paraId="2B506ACE"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1,246 (17.8)</w:t>
            </w:r>
          </w:p>
        </w:tc>
        <w:tc>
          <w:tcPr>
            <w:tcW w:w="1565" w:type="dxa"/>
            <w:noWrap/>
            <w:vAlign w:val="center"/>
          </w:tcPr>
          <w:p w14:paraId="471E1A9B"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197 (17.3)</w:t>
            </w:r>
          </w:p>
        </w:tc>
        <w:tc>
          <w:tcPr>
            <w:tcW w:w="1566" w:type="dxa"/>
            <w:vAlign w:val="center"/>
          </w:tcPr>
          <w:p w14:paraId="68EF87DE"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234 (19.2)</w:t>
            </w:r>
          </w:p>
        </w:tc>
        <w:tc>
          <w:tcPr>
            <w:tcW w:w="1569" w:type="dxa"/>
            <w:noWrap/>
            <w:vAlign w:val="center"/>
          </w:tcPr>
          <w:p w14:paraId="483C4E80"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148 (20.5)</w:t>
            </w:r>
          </w:p>
        </w:tc>
        <w:tc>
          <w:tcPr>
            <w:tcW w:w="1684" w:type="dxa"/>
            <w:vAlign w:val="bottom"/>
          </w:tcPr>
          <w:p w14:paraId="4C9C7232"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1,825 (18.1)</w:t>
            </w:r>
          </w:p>
        </w:tc>
      </w:tr>
      <w:tr w:rsidR="00E84535" w:rsidRPr="00345562" w14:paraId="196461A4" w14:textId="77777777" w:rsidTr="00547A4B">
        <w:trPr>
          <w:trHeight w:val="285"/>
        </w:trPr>
        <w:tc>
          <w:tcPr>
            <w:tcW w:w="2894" w:type="dxa"/>
            <w:noWrap/>
            <w:vAlign w:val="bottom"/>
          </w:tcPr>
          <w:p w14:paraId="2B0D7736"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2011–2012</w:t>
            </w:r>
          </w:p>
        </w:tc>
        <w:tc>
          <w:tcPr>
            <w:tcW w:w="1627" w:type="dxa"/>
            <w:noWrap/>
            <w:vAlign w:val="center"/>
          </w:tcPr>
          <w:p w14:paraId="3EA31108"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1,109 (15.8)</w:t>
            </w:r>
          </w:p>
        </w:tc>
        <w:tc>
          <w:tcPr>
            <w:tcW w:w="1565" w:type="dxa"/>
            <w:noWrap/>
            <w:vAlign w:val="center"/>
          </w:tcPr>
          <w:p w14:paraId="10D14583"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195 (17.2)</w:t>
            </w:r>
          </w:p>
        </w:tc>
        <w:tc>
          <w:tcPr>
            <w:tcW w:w="1566" w:type="dxa"/>
            <w:vAlign w:val="center"/>
          </w:tcPr>
          <w:p w14:paraId="476471C1"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192 (15.8)</w:t>
            </w:r>
          </w:p>
        </w:tc>
        <w:tc>
          <w:tcPr>
            <w:tcW w:w="1569" w:type="dxa"/>
            <w:noWrap/>
            <w:vAlign w:val="center"/>
          </w:tcPr>
          <w:p w14:paraId="736CD7AC"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127 (17.6)</w:t>
            </w:r>
          </w:p>
        </w:tc>
        <w:tc>
          <w:tcPr>
            <w:tcW w:w="1684" w:type="dxa"/>
            <w:vAlign w:val="bottom"/>
          </w:tcPr>
          <w:p w14:paraId="319AC42B"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1,623 (16.1)</w:t>
            </w:r>
          </w:p>
        </w:tc>
      </w:tr>
      <w:tr w:rsidR="00E84535" w:rsidRPr="00345562" w14:paraId="612534B0" w14:textId="77777777" w:rsidTr="00547A4B">
        <w:trPr>
          <w:trHeight w:val="285"/>
        </w:trPr>
        <w:tc>
          <w:tcPr>
            <w:tcW w:w="2894" w:type="dxa"/>
            <w:noWrap/>
            <w:vAlign w:val="bottom"/>
          </w:tcPr>
          <w:p w14:paraId="3B029703"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2013–2014</w:t>
            </w:r>
          </w:p>
        </w:tc>
        <w:tc>
          <w:tcPr>
            <w:tcW w:w="1627" w:type="dxa"/>
            <w:noWrap/>
            <w:vAlign w:val="center"/>
          </w:tcPr>
          <w:p w14:paraId="6D681E09"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1,203 (17.1)</w:t>
            </w:r>
          </w:p>
        </w:tc>
        <w:tc>
          <w:tcPr>
            <w:tcW w:w="1565" w:type="dxa"/>
            <w:noWrap/>
            <w:vAlign w:val="center"/>
          </w:tcPr>
          <w:p w14:paraId="4E553834"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199 (17.5)</w:t>
            </w:r>
          </w:p>
        </w:tc>
        <w:tc>
          <w:tcPr>
            <w:tcW w:w="1566" w:type="dxa"/>
            <w:vAlign w:val="center"/>
          </w:tcPr>
          <w:p w14:paraId="365A032D"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218 (17.9)</w:t>
            </w:r>
          </w:p>
        </w:tc>
        <w:tc>
          <w:tcPr>
            <w:tcW w:w="1569" w:type="dxa"/>
            <w:noWrap/>
            <w:vAlign w:val="center"/>
          </w:tcPr>
          <w:p w14:paraId="3638987C"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138 (19.1)</w:t>
            </w:r>
          </w:p>
        </w:tc>
        <w:tc>
          <w:tcPr>
            <w:tcW w:w="1684" w:type="dxa"/>
            <w:vAlign w:val="bottom"/>
          </w:tcPr>
          <w:p w14:paraId="343E9D4C"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1,758 (17.4)</w:t>
            </w:r>
          </w:p>
        </w:tc>
      </w:tr>
      <w:tr w:rsidR="00E84535" w:rsidRPr="00345562" w14:paraId="79B95B10" w14:textId="77777777" w:rsidTr="00547A4B">
        <w:trPr>
          <w:trHeight w:val="285"/>
        </w:trPr>
        <w:tc>
          <w:tcPr>
            <w:tcW w:w="2894" w:type="dxa"/>
            <w:noWrap/>
            <w:vAlign w:val="bottom"/>
          </w:tcPr>
          <w:p w14:paraId="6B633A19"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2015–2016</w:t>
            </w:r>
          </w:p>
        </w:tc>
        <w:tc>
          <w:tcPr>
            <w:tcW w:w="1627" w:type="dxa"/>
            <w:noWrap/>
            <w:vAlign w:val="center"/>
          </w:tcPr>
          <w:p w14:paraId="58B8BC14"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969 (13.8)</w:t>
            </w:r>
          </w:p>
        </w:tc>
        <w:tc>
          <w:tcPr>
            <w:tcW w:w="1565" w:type="dxa"/>
            <w:noWrap/>
            <w:vAlign w:val="center"/>
          </w:tcPr>
          <w:p w14:paraId="421433CA"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216 (19.0)</w:t>
            </w:r>
          </w:p>
        </w:tc>
        <w:tc>
          <w:tcPr>
            <w:tcW w:w="1566" w:type="dxa"/>
            <w:vAlign w:val="center"/>
          </w:tcPr>
          <w:p w14:paraId="1C13B523"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258 (21.2)</w:t>
            </w:r>
          </w:p>
        </w:tc>
        <w:tc>
          <w:tcPr>
            <w:tcW w:w="1569" w:type="dxa"/>
            <w:noWrap/>
            <w:vAlign w:val="center"/>
          </w:tcPr>
          <w:p w14:paraId="3B18B0A5"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145 (20.1)</w:t>
            </w:r>
          </w:p>
        </w:tc>
        <w:tc>
          <w:tcPr>
            <w:tcW w:w="1684" w:type="dxa"/>
            <w:vAlign w:val="bottom"/>
          </w:tcPr>
          <w:p w14:paraId="3D3D74DF"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1,588 (15.7)</w:t>
            </w:r>
          </w:p>
        </w:tc>
      </w:tr>
    </w:tbl>
    <w:p w14:paraId="5A413AAB" w14:textId="34E8773C" w:rsidR="00CE1027" w:rsidRPr="00E84535" w:rsidRDefault="00E84535" w:rsidP="007F5055">
      <w:pPr>
        <w:pStyle w:val="ListParagraph"/>
        <w:numPr>
          <w:ilvl w:val="0"/>
          <w:numId w:val="1"/>
        </w:numPr>
        <w:spacing w:after="0" w:line="240" w:lineRule="auto"/>
        <w:rPr>
          <w:rFonts w:ascii="Times New Roman" w:hAnsi="Times New Roman" w:cs="Times New Roman"/>
          <w:i/>
          <w:iCs/>
        </w:rPr>
      </w:pPr>
      <w:r w:rsidRPr="00345562">
        <w:rPr>
          <w:rFonts w:ascii="Times New Roman" w:hAnsi="Times New Roman" w:cs="Times New Roman"/>
          <w:i/>
          <w:iCs/>
        </w:rPr>
        <w:t>Unweighted descriptive statistics count (frequency) and proportion (percentage) per food security</w:t>
      </w:r>
      <w:r w:rsidRPr="001C2628">
        <w:rPr>
          <w:rFonts w:ascii="Times New Roman" w:hAnsi="Times New Roman" w:cs="Times New Roman"/>
          <w:i/>
          <w:iCs/>
        </w:rPr>
        <w:t xml:space="preserve"> category reported.</w:t>
      </w:r>
    </w:p>
    <w:p w14:paraId="268C7FD2" w14:textId="77777777" w:rsidR="00E84535" w:rsidRDefault="00E84535" w:rsidP="00CE1027">
      <w:pPr>
        <w:autoSpaceDE w:val="0"/>
        <w:autoSpaceDN w:val="0"/>
        <w:adjustRightInd w:val="0"/>
        <w:rPr>
          <w:rFonts w:ascii="Times New Roman" w:hAnsi="Times New Roman" w:cs="Times New Roman"/>
          <w:i/>
          <w:iCs/>
          <w:kern w:val="0"/>
        </w:rPr>
      </w:pPr>
    </w:p>
    <w:p w14:paraId="14B80954" w14:textId="3C91202F" w:rsidR="00E84535" w:rsidRPr="00277350" w:rsidRDefault="0086036C" w:rsidP="00CE1027">
      <w:pPr>
        <w:autoSpaceDE w:val="0"/>
        <w:autoSpaceDN w:val="0"/>
        <w:adjustRightInd w:val="0"/>
        <w:rPr>
          <w:rFonts w:ascii="Times New Roman" w:hAnsi="Times New Roman" w:cs="Times New Roman"/>
          <w:i/>
          <w:iCs/>
          <w:kern w:val="0"/>
        </w:rPr>
      </w:pPr>
      <w:r w:rsidRPr="00277350">
        <w:rPr>
          <w:rFonts w:ascii="Times New Roman" w:hAnsi="Times New Roman" w:cs="Times New Roman"/>
          <w:i/>
          <w:iCs/>
          <w:kern w:val="0"/>
        </w:rPr>
        <w:t xml:space="preserve">Study Population </w:t>
      </w:r>
    </w:p>
    <w:p w14:paraId="0F36C1FC" w14:textId="6F2DEF68" w:rsidR="00CE1027" w:rsidRPr="00277350" w:rsidRDefault="0086036C" w:rsidP="00CE1027">
      <w:pPr>
        <w:autoSpaceDE w:val="0"/>
        <w:autoSpaceDN w:val="0"/>
        <w:adjustRightInd w:val="0"/>
        <w:spacing w:after="0" w:line="240" w:lineRule="auto"/>
        <w:ind w:firstLine="720"/>
        <w:rPr>
          <w:rFonts w:ascii="Times New Roman" w:hAnsi="Times New Roman" w:cs="Times New Roman"/>
          <w:kern w:val="0"/>
        </w:rPr>
      </w:pPr>
      <w:r w:rsidRPr="00277350">
        <w:rPr>
          <w:rFonts w:ascii="Times New Roman" w:hAnsi="Times New Roman" w:cs="Times New Roman"/>
          <w:kern w:val="0"/>
        </w:rPr>
        <w:t xml:space="preserve">A total of 10,094 adults were included in the final analytic study (Table 1). Participants were approximately evenly distributed by sex (male 49.1%, female: 50.9%). The median age was 47 years overall; adults with reduced food security (marginal, low and very low) were on average younger (n=42 years) than those with high food security (n=49 years). Non-Hispanic White adults were the largest racial/ethnic group overall (42.8%), followed by Non-Hispanic Black (22.4%) and Mexican American (15.5%).  but were distributed differently across food security categories. Among adults with low food security, non-Hispanic Black (27.2%) and Mexican- American (24.1%) participants represented the largest proportions, whereas non-Hispanic White adults remained the largest group in high, marginal and very low categories. </w:t>
      </w:r>
      <w:r w:rsidR="001D5FBA" w:rsidRPr="00277350">
        <w:rPr>
          <w:rFonts w:ascii="Times New Roman" w:hAnsi="Times New Roman" w:cs="Times New Roman"/>
          <w:kern w:val="0"/>
        </w:rPr>
        <w:t>Compared with adults with high food security (19.7%), p</w:t>
      </w:r>
      <w:r w:rsidRPr="00277350">
        <w:rPr>
          <w:rFonts w:ascii="Times New Roman" w:hAnsi="Times New Roman" w:cs="Times New Roman"/>
          <w:kern w:val="0"/>
        </w:rPr>
        <w:t>articipants with marginal, low and very low security had lower educational attainment, with a higher proportion having less than 9</w:t>
      </w:r>
      <w:r w:rsidRPr="00277350">
        <w:rPr>
          <w:rFonts w:ascii="Times New Roman" w:hAnsi="Times New Roman" w:cs="Times New Roman"/>
          <w:kern w:val="0"/>
          <w:vertAlign w:val="superscript"/>
        </w:rPr>
        <w:t>th</w:t>
      </w:r>
      <w:r w:rsidRPr="00277350">
        <w:rPr>
          <w:rFonts w:ascii="Times New Roman" w:hAnsi="Times New Roman" w:cs="Times New Roman"/>
          <w:kern w:val="0"/>
        </w:rPr>
        <w:t xml:space="preserve"> grade (marginal: 34.9%, low: 41.4%%, very low: 39.4%%)</w:t>
      </w:r>
      <w:r w:rsidR="001D5FBA" w:rsidRPr="00277350">
        <w:rPr>
          <w:rFonts w:ascii="Times New Roman" w:hAnsi="Times New Roman" w:cs="Times New Roman"/>
          <w:kern w:val="0"/>
        </w:rPr>
        <w:t xml:space="preserve">. </w:t>
      </w:r>
      <w:r w:rsidRPr="00277350">
        <w:rPr>
          <w:rFonts w:ascii="Times New Roman" w:hAnsi="Times New Roman" w:cs="Times New Roman"/>
          <w:kern w:val="0"/>
        </w:rPr>
        <w:t xml:space="preserve">Similarly, </w:t>
      </w:r>
      <w:r w:rsidR="001D5FBA" w:rsidRPr="00277350">
        <w:rPr>
          <w:rFonts w:ascii="Times New Roman" w:hAnsi="Times New Roman" w:cs="Times New Roman"/>
          <w:kern w:val="0"/>
        </w:rPr>
        <w:t>across</w:t>
      </w:r>
      <w:r w:rsidRPr="00277350">
        <w:rPr>
          <w:rFonts w:ascii="Times New Roman" w:hAnsi="Times New Roman" w:cs="Times New Roman"/>
          <w:kern w:val="0"/>
        </w:rPr>
        <w:t xml:space="preserve"> food security</w:t>
      </w:r>
      <w:r w:rsidR="001D5FBA" w:rsidRPr="00277350">
        <w:rPr>
          <w:rFonts w:ascii="Times New Roman" w:hAnsi="Times New Roman" w:cs="Times New Roman"/>
          <w:kern w:val="0"/>
        </w:rPr>
        <w:t xml:space="preserve"> groups, those with marginal, low, and very low</w:t>
      </w:r>
      <w:r w:rsidRPr="00277350">
        <w:rPr>
          <w:rFonts w:ascii="Times New Roman" w:hAnsi="Times New Roman" w:cs="Times New Roman"/>
          <w:kern w:val="0"/>
        </w:rPr>
        <w:t xml:space="preserve"> were more likely to live in low- or near-poverty households compared with adults with high food security. </w:t>
      </w:r>
    </w:p>
    <w:p w14:paraId="37582E15" w14:textId="77777777" w:rsidR="00CE1027" w:rsidRPr="00277350" w:rsidRDefault="00CE1027" w:rsidP="00CE1027">
      <w:pPr>
        <w:autoSpaceDE w:val="0"/>
        <w:autoSpaceDN w:val="0"/>
        <w:adjustRightInd w:val="0"/>
        <w:spacing w:after="0" w:line="240" w:lineRule="auto"/>
        <w:ind w:firstLine="720"/>
        <w:rPr>
          <w:rFonts w:ascii="Times New Roman" w:hAnsi="Times New Roman" w:cs="Times New Roman"/>
          <w:kern w:val="0"/>
        </w:rPr>
      </w:pPr>
    </w:p>
    <w:p w14:paraId="69219536" w14:textId="77777777" w:rsidR="00CE1027" w:rsidRPr="00277350" w:rsidRDefault="00CE1027" w:rsidP="00CE1027">
      <w:pPr>
        <w:autoSpaceDE w:val="0"/>
        <w:autoSpaceDN w:val="0"/>
        <w:adjustRightInd w:val="0"/>
        <w:spacing w:after="0" w:line="240" w:lineRule="auto"/>
        <w:ind w:firstLine="720"/>
        <w:rPr>
          <w:rFonts w:ascii="Times New Roman" w:hAnsi="Times New Roman" w:cs="Times New Roman"/>
          <w:kern w:val="0"/>
        </w:rPr>
      </w:pPr>
    </w:p>
    <w:p w14:paraId="25EE529D" w14:textId="77777777" w:rsidR="00CE1027" w:rsidRPr="00277350" w:rsidRDefault="0086036C" w:rsidP="00CE1027">
      <w:pPr>
        <w:autoSpaceDE w:val="0"/>
        <w:autoSpaceDN w:val="0"/>
        <w:adjustRightInd w:val="0"/>
        <w:spacing w:after="0" w:line="240" w:lineRule="auto"/>
        <w:rPr>
          <w:rFonts w:ascii="Times New Roman" w:hAnsi="Times New Roman" w:cs="Times New Roman"/>
          <w:b/>
          <w:bCs/>
          <w:color w:val="000000" w:themeColor="text1"/>
          <w:sz w:val="26"/>
          <w:szCs w:val="26"/>
        </w:rPr>
      </w:pPr>
      <w:r w:rsidRPr="00277350">
        <w:rPr>
          <w:rFonts w:ascii="Times New Roman" w:hAnsi="Times New Roman" w:cs="Times New Roman"/>
          <w:b/>
          <w:bCs/>
          <w:color w:val="000000" w:themeColor="text1"/>
          <w:sz w:val="26"/>
          <w:szCs w:val="26"/>
        </w:rPr>
        <w:t xml:space="preserve">Table 2: Detection Frequency and Distribution of Urinary Phenol </w:t>
      </w:r>
    </w:p>
    <w:p w14:paraId="58506FEE" w14:textId="46B4ECD4" w:rsidR="0086036C" w:rsidRDefault="0086036C" w:rsidP="00CE1027">
      <w:pPr>
        <w:autoSpaceDE w:val="0"/>
        <w:autoSpaceDN w:val="0"/>
        <w:adjustRightInd w:val="0"/>
        <w:spacing w:after="0" w:line="240" w:lineRule="auto"/>
        <w:rPr>
          <w:rFonts w:ascii="Times New Roman" w:hAnsi="Times New Roman" w:cs="Times New Roman"/>
          <w:b/>
          <w:bCs/>
          <w:color w:val="000000" w:themeColor="text1"/>
          <w:sz w:val="26"/>
          <w:szCs w:val="26"/>
        </w:rPr>
      </w:pPr>
      <w:r w:rsidRPr="00277350">
        <w:rPr>
          <w:rFonts w:ascii="Times New Roman" w:hAnsi="Times New Roman" w:cs="Times New Roman"/>
          <w:b/>
          <w:bCs/>
          <w:color w:val="000000" w:themeColor="text1"/>
          <w:sz w:val="26"/>
          <w:szCs w:val="26"/>
        </w:rPr>
        <w:t>Concentrations (ng/mL)</w:t>
      </w:r>
    </w:p>
    <w:p w14:paraId="38F52ECB" w14:textId="77777777" w:rsidR="00E84535" w:rsidRPr="00277350" w:rsidRDefault="00E84535" w:rsidP="00CE1027">
      <w:pPr>
        <w:autoSpaceDE w:val="0"/>
        <w:autoSpaceDN w:val="0"/>
        <w:adjustRightInd w:val="0"/>
        <w:spacing w:after="0" w:line="240" w:lineRule="auto"/>
        <w:rPr>
          <w:rFonts w:ascii="Times New Roman" w:hAnsi="Times New Roman" w:cs="Times New Roman"/>
          <w:kern w:val="0"/>
          <w:sz w:val="26"/>
          <w:szCs w:val="26"/>
        </w:rPr>
      </w:pPr>
    </w:p>
    <w:tbl>
      <w:tblPr>
        <w:tblStyle w:val="TableGrid"/>
        <w:tblW w:w="4648" w:type="pct"/>
        <w:jc w:val="center"/>
        <w:tblBorders>
          <w:insideH w:val="none" w:sz="0" w:space="0" w:color="auto"/>
          <w:insideV w:val="none" w:sz="0" w:space="0" w:color="auto"/>
        </w:tblBorders>
        <w:tblLook w:val="04A0" w:firstRow="1" w:lastRow="0" w:firstColumn="1" w:lastColumn="0" w:noHBand="0" w:noVBand="1"/>
      </w:tblPr>
      <w:tblGrid>
        <w:gridCol w:w="2798"/>
        <w:gridCol w:w="1784"/>
        <w:gridCol w:w="1153"/>
        <w:gridCol w:w="1024"/>
        <w:gridCol w:w="1026"/>
        <w:gridCol w:w="907"/>
      </w:tblGrid>
      <w:tr w:rsidR="0086036C" w:rsidRPr="00277350" w14:paraId="10044525" w14:textId="77777777" w:rsidTr="00ED67FD">
        <w:trPr>
          <w:trHeight w:val="367"/>
          <w:jc w:val="center"/>
        </w:trPr>
        <w:tc>
          <w:tcPr>
            <w:tcW w:w="1610" w:type="pct"/>
            <w:shd w:val="clear" w:color="auto" w:fill="000000" w:themeFill="text1"/>
          </w:tcPr>
          <w:p w14:paraId="20E2E457" w14:textId="77777777" w:rsidR="0086036C" w:rsidRPr="00277350" w:rsidRDefault="0086036C" w:rsidP="002903D1">
            <w:pPr>
              <w:rPr>
                <w:rFonts w:ascii="Times New Roman" w:hAnsi="Times New Roman" w:cs="Times New Roman"/>
                <w:b/>
                <w:bCs/>
                <w:color w:val="FFFFFF" w:themeColor="background1"/>
              </w:rPr>
            </w:pPr>
            <w:r w:rsidRPr="00277350">
              <w:rPr>
                <w:rFonts w:ascii="Times New Roman" w:hAnsi="Times New Roman" w:cs="Times New Roman"/>
                <w:b/>
                <w:bCs/>
                <w:color w:val="FFFFFF" w:themeColor="background1"/>
              </w:rPr>
              <w:t xml:space="preserve">Urinary Metabolite </w:t>
            </w:r>
          </w:p>
        </w:tc>
        <w:tc>
          <w:tcPr>
            <w:tcW w:w="1026" w:type="pct"/>
            <w:shd w:val="clear" w:color="auto" w:fill="000000" w:themeFill="text1"/>
          </w:tcPr>
          <w:p w14:paraId="3B5EA024" w14:textId="77777777" w:rsidR="0086036C" w:rsidRPr="00277350" w:rsidRDefault="0086036C" w:rsidP="002903D1">
            <w:pPr>
              <w:jc w:val="center"/>
              <w:rPr>
                <w:rFonts w:ascii="Times New Roman" w:hAnsi="Times New Roman" w:cs="Times New Roman"/>
                <w:b/>
                <w:bCs/>
                <w:color w:val="FFFFFF" w:themeColor="background1"/>
              </w:rPr>
            </w:pPr>
            <w:r w:rsidRPr="00277350">
              <w:rPr>
                <w:rFonts w:ascii="Times New Roman" w:hAnsi="Times New Roman" w:cs="Times New Roman"/>
                <w:b/>
                <w:bCs/>
                <w:color w:val="FFFFFF" w:themeColor="background1"/>
              </w:rPr>
              <w:t>Abbreviation</w:t>
            </w:r>
          </w:p>
        </w:tc>
        <w:tc>
          <w:tcPr>
            <w:tcW w:w="663" w:type="pct"/>
            <w:shd w:val="clear" w:color="auto" w:fill="000000" w:themeFill="text1"/>
          </w:tcPr>
          <w:p w14:paraId="38326A4F" w14:textId="77777777" w:rsidR="0086036C" w:rsidRPr="00277350" w:rsidRDefault="0086036C" w:rsidP="002903D1">
            <w:pPr>
              <w:jc w:val="center"/>
              <w:rPr>
                <w:rFonts w:ascii="Times New Roman" w:hAnsi="Times New Roman" w:cs="Times New Roman"/>
                <w:b/>
                <w:bCs/>
                <w:color w:val="FFFFFF" w:themeColor="background1"/>
              </w:rPr>
            </w:pPr>
            <w:r w:rsidRPr="00277350">
              <w:rPr>
                <w:rFonts w:ascii="Times New Roman" w:hAnsi="Times New Roman" w:cs="Times New Roman"/>
                <w:b/>
                <w:bCs/>
                <w:color w:val="FFFFFF" w:themeColor="background1"/>
              </w:rPr>
              <w:t>%&gt;LOD</w:t>
            </w:r>
          </w:p>
        </w:tc>
        <w:tc>
          <w:tcPr>
            <w:tcW w:w="589" w:type="pct"/>
            <w:shd w:val="clear" w:color="auto" w:fill="000000" w:themeFill="text1"/>
          </w:tcPr>
          <w:p w14:paraId="01251B64" w14:textId="77777777" w:rsidR="0086036C" w:rsidRPr="00277350" w:rsidRDefault="0086036C" w:rsidP="002903D1">
            <w:pPr>
              <w:jc w:val="center"/>
              <w:rPr>
                <w:rFonts w:ascii="Times New Roman" w:hAnsi="Times New Roman" w:cs="Times New Roman"/>
                <w:b/>
                <w:bCs/>
                <w:color w:val="FFFFFF" w:themeColor="background1"/>
              </w:rPr>
            </w:pPr>
            <w:r w:rsidRPr="00277350">
              <w:rPr>
                <w:rFonts w:ascii="Times New Roman" w:hAnsi="Times New Roman" w:cs="Times New Roman"/>
                <w:b/>
                <w:bCs/>
                <w:color w:val="FFFFFF" w:themeColor="background1"/>
              </w:rPr>
              <w:t>25</w:t>
            </w:r>
            <w:r w:rsidRPr="00277350">
              <w:rPr>
                <w:rFonts w:ascii="Times New Roman" w:hAnsi="Times New Roman" w:cs="Times New Roman"/>
                <w:b/>
                <w:bCs/>
                <w:color w:val="FFFFFF" w:themeColor="background1"/>
                <w:vertAlign w:val="superscript"/>
              </w:rPr>
              <w:t>th</w:t>
            </w:r>
          </w:p>
        </w:tc>
        <w:tc>
          <w:tcPr>
            <w:tcW w:w="590" w:type="pct"/>
            <w:shd w:val="clear" w:color="auto" w:fill="000000" w:themeFill="text1"/>
          </w:tcPr>
          <w:p w14:paraId="079871C5" w14:textId="77777777" w:rsidR="0086036C" w:rsidRPr="00277350" w:rsidRDefault="0086036C" w:rsidP="002903D1">
            <w:pPr>
              <w:jc w:val="center"/>
              <w:rPr>
                <w:rFonts w:ascii="Times New Roman" w:hAnsi="Times New Roman" w:cs="Times New Roman"/>
                <w:b/>
                <w:bCs/>
                <w:color w:val="FFFFFF" w:themeColor="background1"/>
              </w:rPr>
            </w:pPr>
            <w:r w:rsidRPr="00277350">
              <w:rPr>
                <w:rFonts w:ascii="Times New Roman" w:hAnsi="Times New Roman" w:cs="Times New Roman"/>
                <w:b/>
                <w:bCs/>
                <w:color w:val="FFFFFF" w:themeColor="background1"/>
              </w:rPr>
              <w:t>GM</w:t>
            </w:r>
          </w:p>
        </w:tc>
        <w:tc>
          <w:tcPr>
            <w:tcW w:w="522" w:type="pct"/>
            <w:shd w:val="clear" w:color="auto" w:fill="000000" w:themeFill="text1"/>
          </w:tcPr>
          <w:p w14:paraId="7E514D02" w14:textId="77777777" w:rsidR="0086036C" w:rsidRPr="00277350" w:rsidRDefault="0086036C" w:rsidP="002903D1">
            <w:pPr>
              <w:jc w:val="center"/>
              <w:rPr>
                <w:rFonts w:ascii="Times New Roman" w:hAnsi="Times New Roman" w:cs="Times New Roman"/>
                <w:b/>
                <w:bCs/>
                <w:color w:val="FFFFFF" w:themeColor="background1"/>
              </w:rPr>
            </w:pPr>
            <w:r w:rsidRPr="00277350">
              <w:rPr>
                <w:rFonts w:ascii="Times New Roman" w:hAnsi="Times New Roman" w:cs="Times New Roman"/>
                <w:b/>
                <w:bCs/>
                <w:color w:val="FFFFFF" w:themeColor="background1"/>
              </w:rPr>
              <w:t>75</w:t>
            </w:r>
            <w:r w:rsidRPr="00277350">
              <w:rPr>
                <w:rFonts w:ascii="Times New Roman" w:hAnsi="Times New Roman" w:cs="Times New Roman"/>
                <w:b/>
                <w:bCs/>
                <w:color w:val="FFFFFF" w:themeColor="background1"/>
                <w:vertAlign w:val="superscript"/>
              </w:rPr>
              <w:t>th</w:t>
            </w:r>
          </w:p>
        </w:tc>
      </w:tr>
      <w:tr w:rsidR="0086036C" w:rsidRPr="00277350" w14:paraId="58224BC4" w14:textId="77777777" w:rsidTr="00ED67FD">
        <w:trPr>
          <w:trHeight w:val="367"/>
          <w:jc w:val="center"/>
        </w:trPr>
        <w:tc>
          <w:tcPr>
            <w:tcW w:w="1610" w:type="pct"/>
          </w:tcPr>
          <w:p w14:paraId="0EDD5E75" w14:textId="77777777" w:rsidR="0086036C" w:rsidRPr="00277350" w:rsidRDefault="0086036C" w:rsidP="002903D1">
            <w:pPr>
              <w:rPr>
                <w:rFonts w:ascii="Times New Roman" w:hAnsi="Times New Roman" w:cs="Times New Roman"/>
                <w:color w:val="000000" w:themeColor="text1"/>
              </w:rPr>
            </w:pPr>
            <w:r w:rsidRPr="00277350">
              <w:rPr>
                <w:rFonts w:ascii="Times New Roman" w:hAnsi="Times New Roman" w:cs="Times New Roman"/>
                <w:color w:val="000000" w:themeColor="text1"/>
              </w:rPr>
              <w:t>Bisphenol A</w:t>
            </w:r>
          </w:p>
          <w:p w14:paraId="5D7D62F4" w14:textId="77777777" w:rsidR="0086036C" w:rsidRPr="00277350" w:rsidRDefault="0086036C" w:rsidP="002903D1">
            <w:pPr>
              <w:rPr>
                <w:rFonts w:ascii="Times New Roman" w:hAnsi="Times New Roman" w:cs="Times New Roman"/>
                <w:color w:val="000000" w:themeColor="text1"/>
              </w:rPr>
            </w:pPr>
          </w:p>
        </w:tc>
        <w:tc>
          <w:tcPr>
            <w:tcW w:w="1026" w:type="pct"/>
          </w:tcPr>
          <w:p w14:paraId="2E4A0A2D"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BPA</w:t>
            </w:r>
          </w:p>
        </w:tc>
        <w:tc>
          <w:tcPr>
            <w:tcW w:w="663" w:type="pct"/>
            <w:vAlign w:val="center"/>
          </w:tcPr>
          <w:p w14:paraId="69752A86"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eastAsiaTheme="minorEastAsia" w:hAnsi="Times New Roman" w:cs="Times New Roman"/>
                <w:color w:val="000000"/>
                <w:kern w:val="24"/>
              </w:rPr>
              <w:t>92%</w:t>
            </w:r>
          </w:p>
        </w:tc>
        <w:tc>
          <w:tcPr>
            <w:tcW w:w="589" w:type="pct"/>
            <w:vAlign w:val="center"/>
          </w:tcPr>
          <w:p w14:paraId="4EED5023"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0.69</w:t>
            </w:r>
          </w:p>
        </w:tc>
        <w:tc>
          <w:tcPr>
            <w:tcW w:w="590" w:type="pct"/>
            <w:vAlign w:val="center"/>
          </w:tcPr>
          <w:p w14:paraId="0128396B"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1.52</w:t>
            </w:r>
          </w:p>
        </w:tc>
        <w:tc>
          <w:tcPr>
            <w:tcW w:w="522" w:type="pct"/>
            <w:vAlign w:val="center"/>
          </w:tcPr>
          <w:p w14:paraId="7F2F6428"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3.10</w:t>
            </w:r>
          </w:p>
        </w:tc>
      </w:tr>
      <w:tr w:rsidR="0086036C" w:rsidRPr="00277350" w14:paraId="6C12C0C3" w14:textId="77777777" w:rsidTr="00ED67FD">
        <w:trPr>
          <w:trHeight w:val="710"/>
          <w:jc w:val="center"/>
        </w:trPr>
        <w:tc>
          <w:tcPr>
            <w:tcW w:w="1610" w:type="pct"/>
          </w:tcPr>
          <w:p w14:paraId="36C17F89" w14:textId="77777777" w:rsidR="0086036C" w:rsidRPr="00277350" w:rsidRDefault="0086036C" w:rsidP="002903D1">
            <w:pPr>
              <w:rPr>
                <w:rFonts w:ascii="Times New Roman" w:hAnsi="Times New Roman" w:cs="Times New Roman"/>
                <w:color w:val="000000" w:themeColor="text1"/>
              </w:rPr>
            </w:pPr>
            <w:r w:rsidRPr="00277350">
              <w:rPr>
                <w:rFonts w:ascii="Times New Roman" w:hAnsi="Times New Roman" w:cs="Times New Roman"/>
                <w:color w:val="000000" w:themeColor="text1"/>
              </w:rPr>
              <w:t>2-Hydroxy-4-metoxybenzophenone</w:t>
            </w:r>
          </w:p>
        </w:tc>
        <w:tc>
          <w:tcPr>
            <w:tcW w:w="1026" w:type="pct"/>
          </w:tcPr>
          <w:p w14:paraId="384682BC"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Benzophenone-3</w:t>
            </w:r>
          </w:p>
        </w:tc>
        <w:tc>
          <w:tcPr>
            <w:tcW w:w="663" w:type="pct"/>
            <w:vAlign w:val="center"/>
          </w:tcPr>
          <w:p w14:paraId="04124995"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eastAsiaTheme="minorEastAsia" w:hAnsi="Times New Roman" w:cs="Times New Roman"/>
                <w:color w:val="000000"/>
                <w:kern w:val="24"/>
              </w:rPr>
              <w:t>96%</w:t>
            </w:r>
          </w:p>
        </w:tc>
        <w:tc>
          <w:tcPr>
            <w:tcW w:w="589" w:type="pct"/>
            <w:vAlign w:val="center"/>
          </w:tcPr>
          <w:p w14:paraId="4C9D8017"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4.71</w:t>
            </w:r>
          </w:p>
        </w:tc>
        <w:tc>
          <w:tcPr>
            <w:tcW w:w="590" w:type="pct"/>
            <w:vAlign w:val="center"/>
          </w:tcPr>
          <w:p w14:paraId="5147DD94"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21.05</w:t>
            </w:r>
          </w:p>
        </w:tc>
        <w:tc>
          <w:tcPr>
            <w:tcW w:w="522" w:type="pct"/>
            <w:vAlign w:val="center"/>
          </w:tcPr>
          <w:p w14:paraId="4D0C4DD5"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76.71</w:t>
            </w:r>
          </w:p>
        </w:tc>
      </w:tr>
      <w:tr w:rsidR="0086036C" w:rsidRPr="00277350" w14:paraId="5F6E7AF8" w14:textId="77777777" w:rsidTr="00ED67FD">
        <w:trPr>
          <w:trHeight w:val="766"/>
          <w:jc w:val="center"/>
        </w:trPr>
        <w:tc>
          <w:tcPr>
            <w:tcW w:w="1610" w:type="pct"/>
          </w:tcPr>
          <w:p w14:paraId="2679F79F" w14:textId="77777777" w:rsidR="0086036C" w:rsidRPr="00277350" w:rsidRDefault="0086036C" w:rsidP="002903D1">
            <w:pPr>
              <w:rPr>
                <w:rFonts w:ascii="Times New Roman" w:hAnsi="Times New Roman" w:cs="Times New Roman"/>
                <w:color w:val="000000" w:themeColor="text1"/>
              </w:rPr>
            </w:pPr>
            <w:r w:rsidRPr="00277350">
              <w:rPr>
                <w:rFonts w:ascii="Times New Roman" w:hAnsi="Times New Roman" w:cs="Times New Roman"/>
                <w:color w:val="000000" w:themeColor="text1"/>
              </w:rPr>
              <w:t>2,4,4’-Trichloro-2’-hydroxyphenyl ether</w:t>
            </w:r>
          </w:p>
          <w:p w14:paraId="301D4F20" w14:textId="77777777" w:rsidR="0086036C" w:rsidRPr="00277350" w:rsidRDefault="0086036C" w:rsidP="002903D1">
            <w:pPr>
              <w:rPr>
                <w:rFonts w:ascii="Times New Roman" w:hAnsi="Times New Roman" w:cs="Times New Roman"/>
                <w:color w:val="000000" w:themeColor="text1"/>
              </w:rPr>
            </w:pPr>
          </w:p>
        </w:tc>
        <w:tc>
          <w:tcPr>
            <w:tcW w:w="1026" w:type="pct"/>
          </w:tcPr>
          <w:p w14:paraId="6F715996"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Triclosan</w:t>
            </w:r>
          </w:p>
        </w:tc>
        <w:tc>
          <w:tcPr>
            <w:tcW w:w="663" w:type="pct"/>
            <w:vAlign w:val="center"/>
          </w:tcPr>
          <w:p w14:paraId="6A86BCF6"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eastAsiaTheme="minorEastAsia" w:hAnsi="Times New Roman" w:cs="Times New Roman"/>
                <w:color w:val="000000"/>
                <w:kern w:val="24"/>
              </w:rPr>
              <w:t>75%</w:t>
            </w:r>
          </w:p>
        </w:tc>
        <w:tc>
          <w:tcPr>
            <w:tcW w:w="589" w:type="pct"/>
            <w:vAlign w:val="center"/>
          </w:tcPr>
          <w:p w14:paraId="4E0C11BE"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1.80</w:t>
            </w:r>
          </w:p>
        </w:tc>
        <w:tc>
          <w:tcPr>
            <w:tcW w:w="590" w:type="pct"/>
            <w:vAlign w:val="center"/>
          </w:tcPr>
          <w:p w14:paraId="401180D6"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12.22</w:t>
            </w:r>
          </w:p>
        </w:tc>
        <w:tc>
          <w:tcPr>
            <w:tcW w:w="522" w:type="pct"/>
            <w:vAlign w:val="center"/>
          </w:tcPr>
          <w:p w14:paraId="7A887146"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49.40</w:t>
            </w:r>
          </w:p>
        </w:tc>
      </w:tr>
      <w:tr w:rsidR="0086036C" w:rsidRPr="00277350" w14:paraId="2AA3DFEE" w14:textId="77777777" w:rsidTr="00ED67FD">
        <w:trPr>
          <w:trHeight w:val="367"/>
          <w:jc w:val="center"/>
        </w:trPr>
        <w:tc>
          <w:tcPr>
            <w:tcW w:w="1610" w:type="pct"/>
          </w:tcPr>
          <w:p w14:paraId="2C70758E" w14:textId="77777777" w:rsidR="0086036C" w:rsidRPr="00277350" w:rsidRDefault="0086036C" w:rsidP="002903D1">
            <w:pPr>
              <w:rPr>
                <w:rFonts w:ascii="Times New Roman" w:hAnsi="Times New Roman" w:cs="Times New Roman"/>
                <w:color w:val="000000" w:themeColor="text1"/>
              </w:rPr>
            </w:pPr>
            <w:r w:rsidRPr="00277350">
              <w:rPr>
                <w:rFonts w:ascii="Times New Roman" w:hAnsi="Times New Roman" w:cs="Times New Roman"/>
                <w:color w:val="000000" w:themeColor="text1"/>
              </w:rPr>
              <w:t>Ethyl paraben</w:t>
            </w:r>
          </w:p>
          <w:p w14:paraId="715A8CEB" w14:textId="77777777" w:rsidR="0086036C" w:rsidRPr="00277350" w:rsidRDefault="0086036C" w:rsidP="002903D1">
            <w:pPr>
              <w:rPr>
                <w:rFonts w:ascii="Times New Roman" w:hAnsi="Times New Roman" w:cs="Times New Roman"/>
                <w:color w:val="000000" w:themeColor="text1"/>
              </w:rPr>
            </w:pPr>
          </w:p>
        </w:tc>
        <w:tc>
          <w:tcPr>
            <w:tcW w:w="1026" w:type="pct"/>
          </w:tcPr>
          <w:p w14:paraId="39DD0663"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EPB</w:t>
            </w:r>
          </w:p>
        </w:tc>
        <w:tc>
          <w:tcPr>
            <w:tcW w:w="663" w:type="pct"/>
            <w:vAlign w:val="center"/>
          </w:tcPr>
          <w:p w14:paraId="6F4AD6E8"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eastAsiaTheme="minorEastAsia" w:hAnsi="Times New Roman" w:cs="Times New Roman"/>
                <w:color w:val="000000"/>
                <w:kern w:val="24"/>
              </w:rPr>
              <w:t>50%</w:t>
            </w:r>
          </w:p>
        </w:tc>
        <w:tc>
          <w:tcPr>
            <w:tcW w:w="589" w:type="pct"/>
            <w:vAlign w:val="center"/>
          </w:tcPr>
          <w:p w14:paraId="25238568"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0.71</w:t>
            </w:r>
          </w:p>
        </w:tc>
        <w:tc>
          <w:tcPr>
            <w:tcW w:w="590" w:type="pct"/>
            <w:vAlign w:val="center"/>
          </w:tcPr>
          <w:p w14:paraId="5EC1BBAC"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2.51</w:t>
            </w:r>
          </w:p>
        </w:tc>
        <w:tc>
          <w:tcPr>
            <w:tcW w:w="522" w:type="pct"/>
            <w:vAlign w:val="center"/>
          </w:tcPr>
          <w:p w14:paraId="4949ADF8"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6.70</w:t>
            </w:r>
          </w:p>
        </w:tc>
      </w:tr>
      <w:tr w:rsidR="0086036C" w:rsidRPr="00277350" w14:paraId="6BDAB684" w14:textId="77777777" w:rsidTr="00ED67FD">
        <w:trPr>
          <w:trHeight w:val="551"/>
          <w:jc w:val="center"/>
        </w:trPr>
        <w:tc>
          <w:tcPr>
            <w:tcW w:w="1610" w:type="pct"/>
          </w:tcPr>
          <w:p w14:paraId="6BD28952" w14:textId="77777777" w:rsidR="0086036C" w:rsidRPr="00277350" w:rsidRDefault="0086036C" w:rsidP="002903D1">
            <w:pPr>
              <w:rPr>
                <w:rFonts w:ascii="Times New Roman" w:hAnsi="Times New Roman" w:cs="Times New Roman"/>
                <w:color w:val="000000" w:themeColor="text1"/>
              </w:rPr>
            </w:pPr>
            <w:r w:rsidRPr="00277350">
              <w:rPr>
                <w:rFonts w:ascii="Times New Roman" w:hAnsi="Times New Roman" w:cs="Times New Roman"/>
                <w:color w:val="000000" w:themeColor="text1"/>
              </w:rPr>
              <w:t>Methyl paraben</w:t>
            </w:r>
          </w:p>
        </w:tc>
        <w:tc>
          <w:tcPr>
            <w:tcW w:w="1026" w:type="pct"/>
          </w:tcPr>
          <w:p w14:paraId="06EB0328"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MPB</w:t>
            </w:r>
          </w:p>
        </w:tc>
        <w:tc>
          <w:tcPr>
            <w:tcW w:w="663" w:type="pct"/>
            <w:vAlign w:val="center"/>
          </w:tcPr>
          <w:p w14:paraId="00E4CC75"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eastAsiaTheme="minorEastAsia" w:hAnsi="Times New Roman" w:cs="Times New Roman"/>
                <w:color w:val="000000"/>
                <w:kern w:val="24"/>
              </w:rPr>
              <w:t>99%</w:t>
            </w:r>
          </w:p>
        </w:tc>
        <w:tc>
          <w:tcPr>
            <w:tcW w:w="589" w:type="pct"/>
            <w:vAlign w:val="center"/>
          </w:tcPr>
          <w:p w14:paraId="64845D73"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13.33</w:t>
            </w:r>
          </w:p>
        </w:tc>
        <w:tc>
          <w:tcPr>
            <w:tcW w:w="590" w:type="pct"/>
            <w:vAlign w:val="center"/>
          </w:tcPr>
          <w:p w14:paraId="4501E06A"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51.21</w:t>
            </w:r>
          </w:p>
        </w:tc>
        <w:tc>
          <w:tcPr>
            <w:tcW w:w="522" w:type="pct"/>
            <w:vAlign w:val="center"/>
          </w:tcPr>
          <w:p w14:paraId="740B2D6D"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192.50</w:t>
            </w:r>
          </w:p>
        </w:tc>
      </w:tr>
      <w:tr w:rsidR="0086036C" w:rsidRPr="00277350" w14:paraId="66069D35" w14:textId="77777777" w:rsidTr="00ED67FD">
        <w:trPr>
          <w:trHeight w:val="439"/>
          <w:jc w:val="center"/>
        </w:trPr>
        <w:tc>
          <w:tcPr>
            <w:tcW w:w="1610" w:type="pct"/>
          </w:tcPr>
          <w:p w14:paraId="4098D2D3" w14:textId="77777777" w:rsidR="0086036C" w:rsidRPr="00277350" w:rsidRDefault="0086036C" w:rsidP="002903D1">
            <w:pPr>
              <w:rPr>
                <w:rFonts w:ascii="Times New Roman" w:hAnsi="Times New Roman" w:cs="Times New Roman"/>
                <w:color w:val="000000" w:themeColor="text1"/>
              </w:rPr>
            </w:pPr>
            <w:r w:rsidRPr="00277350">
              <w:rPr>
                <w:rFonts w:ascii="Times New Roman" w:hAnsi="Times New Roman" w:cs="Times New Roman"/>
                <w:color w:val="000000" w:themeColor="text1"/>
              </w:rPr>
              <w:t>Propyl paraben</w:t>
            </w:r>
          </w:p>
        </w:tc>
        <w:tc>
          <w:tcPr>
            <w:tcW w:w="1026" w:type="pct"/>
          </w:tcPr>
          <w:p w14:paraId="41DCBFA5"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PPB</w:t>
            </w:r>
          </w:p>
        </w:tc>
        <w:tc>
          <w:tcPr>
            <w:tcW w:w="663" w:type="pct"/>
            <w:vAlign w:val="center"/>
          </w:tcPr>
          <w:p w14:paraId="4CB0F25C"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eastAsiaTheme="minorEastAsia" w:hAnsi="Times New Roman" w:cs="Times New Roman"/>
                <w:color w:val="000000"/>
                <w:kern w:val="24"/>
              </w:rPr>
              <w:t>95%</w:t>
            </w:r>
          </w:p>
        </w:tc>
        <w:tc>
          <w:tcPr>
            <w:tcW w:w="589" w:type="pct"/>
            <w:vAlign w:val="center"/>
          </w:tcPr>
          <w:p w14:paraId="3B4E8FF5"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1.11</w:t>
            </w:r>
          </w:p>
        </w:tc>
        <w:tc>
          <w:tcPr>
            <w:tcW w:w="590" w:type="pct"/>
            <w:vAlign w:val="center"/>
          </w:tcPr>
          <w:p w14:paraId="4FF5905B"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6.72</w:t>
            </w:r>
          </w:p>
        </w:tc>
        <w:tc>
          <w:tcPr>
            <w:tcW w:w="522" w:type="pct"/>
            <w:vAlign w:val="center"/>
          </w:tcPr>
          <w:p w14:paraId="1AAFD18C"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40.90</w:t>
            </w:r>
          </w:p>
        </w:tc>
      </w:tr>
    </w:tbl>
    <w:p w14:paraId="29BD58AA" w14:textId="654B75FE" w:rsidR="0086036C" w:rsidRPr="00277350" w:rsidRDefault="0086036C" w:rsidP="007F5055">
      <w:pPr>
        <w:pStyle w:val="ListParagraph"/>
        <w:numPr>
          <w:ilvl w:val="0"/>
          <w:numId w:val="2"/>
        </w:numPr>
        <w:spacing w:after="0" w:line="240" w:lineRule="auto"/>
        <w:rPr>
          <w:rFonts w:ascii="Times New Roman" w:hAnsi="Times New Roman" w:cs="Times New Roman"/>
          <w:i/>
          <w:iCs/>
          <w:color w:val="000000" w:themeColor="text1"/>
        </w:rPr>
      </w:pPr>
      <w:r w:rsidRPr="00277350">
        <w:rPr>
          <w:rFonts w:ascii="Times New Roman" w:hAnsi="Times New Roman" w:cs="Times New Roman"/>
          <w:i/>
          <w:iCs/>
          <w:color w:val="000000" w:themeColor="text1"/>
        </w:rPr>
        <w:t xml:space="preserve"> %&gt;LOD represents the limit of detection of phenol metabolite concentrations. Values below the detection limit are imputed as LOD </w:t>
      </w:r>
      <m:oMath>
        <m:rad>
          <m:radPr>
            <m:degHide m:val="1"/>
            <m:ctrlPr>
              <w:rPr>
                <w:rFonts w:ascii="Cambria Math" w:hAnsi="Cambria Math" w:cs="Times New Roman"/>
                <w:i/>
                <w:iCs/>
                <w:color w:val="000000" w:themeColor="text1"/>
              </w:rPr>
            </m:ctrlPr>
          </m:radPr>
          <m:deg/>
          <m:e>
            <m:r>
              <w:rPr>
                <w:rFonts w:ascii="Cambria Math" w:hAnsi="Cambria Math" w:cs="Times New Roman"/>
                <w:color w:val="000000" w:themeColor="text1"/>
              </w:rPr>
              <m:t>2</m:t>
            </m:r>
          </m:e>
        </m:rad>
        <m:r>
          <w:rPr>
            <w:rFonts w:ascii="Cambria Math" w:hAnsi="Cambria Math" w:cs="Times New Roman"/>
            <w:color w:val="000000" w:themeColor="text1"/>
          </w:rPr>
          <m:t> </m:t>
        </m:r>
      </m:oMath>
      <w:r w:rsidRPr="00277350">
        <w:rPr>
          <w:rFonts w:ascii="Times New Roman" w:hAnsi="Times New Roman" w:cs="Times New Roman"/>
          <w:i/>
          <w:iCs/>
          <w:color w:val="000000" w:themeColor="text1"/>
        </w:rPr>
        <w:t xml:space="preserve">by NHANES. The 25th and 75th percentiles are log-transformed. GM represents the geometric mean. </w:t>
      </w:r>
    </w:p>
    <w:p w14:paraId="18AED260" w14:textId="77777777" w:rsidR="00CE1027" w:rsidRPr="00277350" w:rsidRDefault="00CE1027" w:rsidP="00CE1027">
      <w:pPr>
        <w:pStyle w:val="ListParagraph"/>
        <w:spacing w:after="0" w:line="240" w:lineRule="auto"/>
        <w:rPr>
          <w:rFonts w:ascii="Times New Roman" w:hAnsi="Times New Roman" w:cs="Times New Roman"/>
          <w:i/>
          <w:iCs/>
          <w:color w:val="000000" w:themeColor="text1"/>
        </w:rPr>
      </w:pPr>
    </w:p>
    <w:p w14:paraId="5FADC222" w14:textId="19EBC1AC" w:rsidR="0086036C" w:rsidRPr="00277350" w:rsidRDefault="0086036C" w:rsidP="00CE1027">
      <w:pPr>
        <w:spacing w:line="240" w:lineRule="auto"/>
        <w:rPr>
          <w:rFonts w:ascii="Times New Roman" w:hAnsi="Times New Roman" w:cs="Times New Roman"/>
          <w:i/>
          <w:iCs/>
          <w:color w:val="000000" w:themeColor="text1"/>
        </w:rPr>
      </w:pPr>
      <w:r w:rsidRPr="00277350">
        <w:rPr>
          <w:rFonts w:ascii="Times New Roman" w:hAnsi="Times New Roman" w:cs="Times New Roman"/>
          <w:i/>
          <w:iCs/>
          <w:color w:val="000000" w:themeColor="text1"/>
        </w:rPr>
        <w:t>Detection Frequency and Distribution</w:t>
      </w:r>
    </w:p>
    <w:p w14:paraId="4B6E6E0F" w14:textId="77777777" w:rsidR="00E84535" w:rsidRDefault="0086036C" w:rsidP="00E84535">
      <w:pPr>
        <w:spacing w:line="240" w:lineRule="auto"/>
        <w:ind w:firstLine="720"/>
        <w:rPr>
          <w:rFonts w:ascii="Times New Roman" w:hAnsi="Times New Roman" w:cs="Times New Roman"/>
          <w:b/>
          <w:bCs/>
          <w:color w:val="000000" w:themeColor="text1"/>
          <w:sz w:val="4"/>
          <w:szCs w:val="4"/>
        </w:rPr>
      </w:pPr>
      <w:r w:rsidRPr="00277350">
        <w:rPr>
          <w:rFonts w:ascii="Times New Roman" w:hAnsi="Times New Roman" w:cs="Times New Roman"/>
          <w:kern w:val="0"/>
        </w:rPr>
        <w:t xml:space="preserve">Most urinary phenol metabolite concentrations had detection frequencies 90% of higher </w:t>
      </w:r>
      <w:proofErr w:type="gramStart"/>
      <w:r w:rsidRPr="00277350">
        <w:rPr>
          <w:rFonts w:ascii="Times New Roman" w:hAnsi="Times New Roman" w:cs="Times New Roman"/>
          <w:kern w:val="0"/>
        </w:rPr>
        <w:t>with the exception of</w:t>
      </w:r>
      <w:proofErr w:type="gramEnd"/>
      <w:r w:rsidRPr="00277350">
        <w:rPr>
          <w:rFonts w:ascii="Times New Roman" w:hAnsi="Times New Roman" w:cs="Times New Roman"/>
          <w:kern w:val="0"/>
        </w:rPr>
        <w:t xml:space="preserve"> ethyl paraben (50%) and triclosan (75%). Methyl paraben had the highest geometric mean of 51.21 ng/mL, while Bisphenol A was the lowest geometric mean of 1.52 ng/mL. All phenols were positively correlated with modest correlations between methyl paraben and propyl paraben </w:t>
      </w:r>
      <w:r w:rsidRPr="00277350">
        <w:rPr>
          <w:rFonts w:ascii="Times New Roman" w:hAnsi="Times New Roman" w:cs="Times New Roman"/>
          <w:color w:val="000000" w:themeColor="text1"/>
        </w:rPr>
        <w:t>(</w:t>
      </w:r>
      <w:r w:rsidRPr="00277350">
        <w:rPr>
          <w:rFonts w:ascii="Times New Roman" w:hAnsi="Times New Roman" w:cs="Times New Roman"/>
          <w:kern w:val="0"/>
        </w:rPr>
        <w:t xml:space="preserve">Spearman </w:t>
      </w:r>
      <w:r w:rsidRPr="00277350">
        <w:rPr>
          <w:rFonts w:ascii="Times New Roman" w:hAnsi="Times New Roman" w:cs="Times New Roman"/>
          <w:color w:val="000000" w:themeColor="text1"/>
        </w:rPr>
        <w:t>ρ= 0.82). (Supplemental Figure 2).</w:t>
      </w:r>
    </w:p>
    <w:p w14:paraId="41500A6E" w14:textId="77777777" w:rsidR="00E84535" w:rsidRDefault="00E84535" w:rsidP="00E84535">
      <w:pPr>
        <w:spacing w:line="240" w:lineRule="auto"/>
        <w:ind w:firstLine="720"/>
        <w:rPr>
          <w:rFonts w:ascii="Times New Roman" w:hAnsi="Times New Roman" w:cs="Times New Roman"/>
          <w:b/>
          <w:bCs/>
          <w:color w:val="000000" w:themeColor="text1"/>
          <w:sz w:val="26"/>
          <w:szCs w:val="26"/>
        </w:rPr>
      </w:pPr>
    </w:p>
    <w:p w14:paraId="5F3FE0FB" w14:textId="5B21F8BB" w:rsidR="0086036C" w:rsidRDefault="0086036C" w:rsidP="00E84535">
      <w:pPr>
        <w:spacing w:line="240" w:lineRule="auto"/>
        <w:ind w:firstLine="720"/>
        <w:rPr>
          <w:rFonts w:ascii="Times New Roman" w:hAnsi="Times New Roman" w:cs="Times New Roman"/>
          <w:b/>
          <w:bCs/>
          <w:color w:val="000000" w:themeColor="text1"/>
          <w:sz w:val="26"/>
          <w:szCs w:val="26"/>
        </w:rPr>
      </w:pPr>
      <w:r w:rsidRPr="00277350">
        <w:rPr>
          <w:rFonts w:ascii="Times New Roman" w:hAnsi="Times New Roman" w:cs="Times New Roman"/>
          <w:b/>
          <w:bCs/>
          <w:color w:val="000000" w:themeColor="text1"/>
          <w:sz w:val="26"/>
          <w:szCs w:val="26"/>
        </w:rPr>
        <w:t xml:space="preserve">Table 3: Adjusted Linear Regression: Self-Reported Food Security Status and Urinary Phenol Metabolites </w:t>
      </w:r>
    </w:p>
    <w:tbl>
      <w:tblPr>
        <w:tblStyle w:val="TableGrid"/>
        <w:tblW w:w="9990" w:type="dxa"/>
        <w:tblInd w:w="-5" w:type="dxa"/>
        <w:tblBorders>
          <w:insideH w:val="none" w:sz="0" w:space="0" w:color="auto"/>
          <w:insideV w:val="none" w:sz="0" w:space="0" w:color="auto"/>
        </w:tblBorders>
        <w:tblLook w:val="04A0" w:firstRow="1" w:lastRow="0" w:firstColumn="1" w:lastColumn="0" w:noHBand="0" w:noVBand="1"/>
      </w:tblPr>
      <w:tblGrid>
        <w:gridCol w:w="2125"/>
        <w:gridCol w:w="2494"/>
        <w:gridCol w:w="2130"/>
        <w:gridCol w:w="1981"/>
        <w:gridCol w:w="1260"/>
      </w:tblGrid>
      <w:tr w:rsidR="00ED67FD" w:rsidRPr="007341EF" w14:paraId="11F2DA60" w14:textId="77777777" w:rsidTr="00ED67FD">
        <w:trPr>
          <w:trHeight w:val="372"/>
        </w:trPr>
        <w:tc>
          <w:tcPr>
            <w:tcW w:w="2125" w:type="dxa"/>
            <w:tcBorders>
              <w:bottom w:val="single" w:sz="4" w:space="0" w:color="auto"/>
            </w:tcBorders>
            <w:shd w:val="clear" w:color="auto" w:fill="000000" w:themeFill="text1"/>
            <w:vAlign w:val="center"/>
            <w:hideMark/>
          </w:tcPr>
          <w:p w14:paraId="50B3C646" w14:textId="77777777" w:rsidR="00ED67FD" w:rsidRPr="007341EF" w:rsidRDefault="00ED67FD" w:rsidP="00547A4B">
            <w:pPr>
              <w:jc w:val="center"/>
              <w:rPr>
                <w:rFonts w:ascii="Times New Roman" w:hAnsi="Times New Roman" w:cs="Times New Roman"/>
                <w:b/>
                <w:bCs/>
              </w:rPr>
            </w:pPr>
            <w:r w:rsidRPr="007341EF">
              <w:rPr>
                <w:rFonts w:ascii="Times New Roman" w:hAnsi="Times New Roman" w:cs="Times New Roman"/>
                <w:b/>
                <w:bCs/>
              </w:rPr>
              <w:t>Phenol Metabolite</w:t>
            </w:r>
          </w:p>
        </w:tc>
        <w:tc>
          <w:tcPr>
            <w:tcW w:w="2494" w:type="dxa"/>
            <w:tcBorders>
              <w:bottom w:val="nil"/>
            </w:tcBorders>
            <w:shd w:val="clear" w:color="auto" w:fill="000000" w:themeFill="text1"/>
            <w:vAlign w:val="center"/>
            <w:hideMark/>
          </w:tcPr>
          <w:p w14:paraId="1BCA5B9A" w14:textId="77777777" w:rsidR="00ED67FD" w:rsidRPr="007341EF" w:rsidRDefault="00ED67FD" w:rsidP="00547A4B">
            <w:pPr>
              <w:jc w:val="center"/>
              <w:rPr>
                <w:rFonts w:ascii="Times New Roman" w:hAnsi="Times New Roman" w:cs="Times New Roman"/>
                <w:b/>
                <w:bCs/>
              </w:rPr>
            </w:pPr>
            <w:r w:rsidRPr="007341EF">
              <w:rPr>
                <w:rFonts w:ascii="Times New Roman" w:hAnsi="Times New Roman" w:cs="Times New Roman"/>
                <w:b/>
                <w:bCs/>
              </w:rPr>
              <w:t>Food Security Level</w:t>
            </w:r>
          </w:p>
        </w:tc>
        <w:tc>
          <w:tcPr>
            <w:tcW w:w="2130" w:type="dxa"/>
            <w:tcBorders>
              <w:bottom w:val="nil"/>
            </w:tcBorders>
            <w:shd w:val="clear" w:color="auto" w:fill="000000" w:themeFill="text1"/>
            <w:vAlign w:val="center"/>
            <w:hideMark/>
          </w:tcPr>
          <w:p w14:paraId="3D28D333" w14:textId="77777777" w:rsidR="00ED67FD" w:rsidRPr="007341EF" w:rsidRDefault="00ED67FD" w:rsidP="00547A4B">
            <w:pPr>
              <w:jc w:val="center"/>
              <w:rPr>
                <w:rFonts w:ascii="Times New Roman" w:hAnsi="Times New Roman" w:cs="Times New Roman"/>
                <w:b/>
                <w:bCs/>
              </w:rPr>
            </w:pPr>
            <w:r w:rsidRPr="007341EF">
              <w:rPr>
                <w:rFonts w:ascii="Times New Roman" w:hAnsi="Times New Roman" w:cs="Times New Roman"/>
                <w:b/>
                <w:bCs/>
              </w:rPr>
              <w:t>% Difference</w:t>
            </w:r>
          </w:p>
        </w:tc>
        <w:tc>
          <w:tcPr>
            <w:tcW w:w="3241" w:type="dxa"/>
            <w:gridSpan w:val="2"/>
            <w:tcBorders>
              <w:bottom w:val="nil"/>
            </w:tcBorders>
            <w:shd w:val="clear" w:color="auto" w:fill="000000" w:themeFill="text1"/>
            <w:vAlign w:val="center"/>
            <w:hideMark/>
          </w:tcPr>
          <w:p w14:paraId="623B2477" w14:textId="15CBAD88" w:rsidR="00ED67FD" w:rsidRPr="007341EF" w:rsidRDefault="00ED67FD" w:rsidP="00547A4B">
            <w:pPr>
              <w:jc w:val="cente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 xml:space="preserve"> 95% CI</w:t>
            </w:r>
          </w:p>
        </w:tc>
      </w:tr>
      <w:tr w:rsidR="00ED67FD" w:rsidRPr="00D12921" w14:paraId="6196250A" w14:textId="77777777" w:rsidTr="00ED67FD">
        <w:trPr>
          <w:trHeight w:val="243"/>
        </w:trPr>
        <w:tc>
          <w:tcPr>
            <w:tcW w:w="2125" w:type="dxa"/>
            <w:vMerge w:val="restart"/>
            <w:tcBorders>
              <w:top w:val="single" w:sz="4" w:space="0" w:color="auto"/>
              <w:bottom w:val="nil"/>
              <w:right w:val="nil"/>
            </w:tcBorders>
            <w:noWrap/>
            <w:vAlign w:val="center"/>
            <w:hideMark/>
          </w:tcPr>
          <w:p w14:paraId="2CB052FE" w14:textId="77777777" w:rsidR="00ED67FD" w:rsidRPr="007341EF" w:rsidRDefault="00ED67FD" w:rsidP="00547A4B">
            <w:pPr>
              <w:jc w:val="center"/>
              <w:rPr>
                <w:rFonts w:ascii="Times New Roman" w:hAnsi="Times New Roman" w:cs="Times New Roman"/>
                <w:b/>
                <w:bCs/>
              </w:rPr>
            </w:pPr>
            <w:r w:rsidRPr="007341EF">
              <w:rPr>
                <w:rFonts w:ascii="Times New Roman" w:hAnsi="Times New Roman" w:cs="Times New Roman"/>
                <w:b/>
                <w:bCs/>
              </w:rPr>
              <w:t>BPA</w:t>
            </w:r>
          </w:p>
        </w:tc>
        <w:tc>
          <w:tcPr>
            <w:tcW w:w="2494" w:type="dxa"/>
            <w:tcBorders>
              <w:top w:val="nil"/>
              <w:left w:val="nil"/>
              <w:bottom w:val="nil"/>
              <w:right w:val="nil"/>
            </w:tcBorders>
            <w:noWrap/>
            <w:vAlign w:val="center"/>
            <w:hideMark/>
          </w:tcPr>
          <w:p w14:paraId="036CA402"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vAlign w:val="center"/>
            <w:hideMark/>
          </w:tcPr>
          <w:p w14:paraId="79DC8A02" w14:textId="77777777" w:rsidR="00ED67FD" w:rsidRPr="00D12921" w:rsidRDefault="00ED67FD" w:rsidP="00547A4B">
            <w:pPr>
              <w:jc w:val="center"/>
              <w:rPr>
                <w:rFonts w:ascii="Times New Roman" w:hAnsi="Times New Roman" w:cs="Times New Roman"/>
              </w:rPr>
            </w:pPr>
          </w:p>
        </w:tc>
        <w:tc>
          <w:tcPr>
            <w:tcW w:w="1981" w:type="dxa"/>
            <w:tcBorders>
              <w:top w:val="nil"/>
              <w:left w:val="nil"/>
              <w:bottom w:val="nil"/>
              <w:right w:val="nil"/>
            </w:tcBorders>
            <w:noWrap/>
            <w:vAlign w:val="center"/>
            <w:hideMark/>
          </w:tcPr>
          <w:p w14:paraId="1CA77227" w14:textId="77777777" w:rsidR="00ED67FD" w:rsidRPr="00D12921" w:rsidRDefault="00ED67FD" w:rsidP="00547A4B">
            <w:pPr>
              <w:jc w:val="center"/>
              <w:rPr>
                <w:rFonts w:ascii="Times New Roman" w:hAnsi="Times New Roman" w:cs="Times New Roman"/>
              </w:rPr>
            </w:pPr>
          </w:p>
        </w:tc>
        <w:tc>
          <w:tcPr>
            <w:tcW w:w="1260" w:type="dxa"/>
            <w:tcBorders>
              <w:top w:val="nil"/>
              <w:left w:val="nil"/>
              <w:bottom w:val="nil"/>
              <w:right w:val="single" w:sz="4" w:space="0" w:color="auto"/>
            </w:tcBorders>
            <w:noWrap/>
            <w:vAlign w:val="center"/>
            <w:hideMark/>
          </w:tcPr>
          <w:p w14:paraId="5ED30C92" w14:textId="77777777" w:rsidR="00ED67FD" w:rsidRPr="00D12921" w:rsidRDefault="00ED67FD" w:rsidP="00547A4B">
            <w:pPr>
              <w:jc w:val="center"/>
              <w:rPr>
                <w:rFonts w:ascii="Times New Roman" w:hAnsi="Times New Roman" w:cs="Times New Roman"/>
              </w:rPr>
            </w:pPr>
          </w:p>
        </w:tc>
      </w:tr>
      <w:tr w:rsidR="00ED67FD" w:rsidRPr="00D12921" w14:paraId="3348F17D" w14:textId="77777777" w:rsidTr="00ED67FD">
        <w:trPr>
          <w:trHeight w:val="243"/>
        </w:trPr>
        <w:tc>
          <w:tcPr>
            <w:tcW w:w="2125" w:type="dxa"/>
            <w:vMerge/>
            <w:tcBorders>
              <w:top w:val="nil"/>
              <w:bottom w:val="nil"/>
              <w:right w:val="nil"/>
            </w:tcBorders>
            <w:noWrap/>
            <w:vAlign w:val="center"/>
            <w:hideMark/>
          </w:tcPr>
          <w:p w14:paraId="5817CEF7" w14:textId="77777777" w:rsidR="00ED67FD" w:rsidRPr="007341EF" w:rsidRDefault="00ED67FD" w:rsidP="00547A4B">
            <w:pPr>
              <w:jc w:val="center"/>
              <w:rPr>
                <w:rFonts w:ascii="Times New Roman" w:hAnsi="Times New Roman" w:cs="Times New Roman"/>
              </w:rPr>
            </w:pPr>
          </w:p>
        </w:tc>
        <w:tc>
          <w:tcPr>
            <w:tcW w:w="2494" w:type="dxa"/>
            <w:tcBorders>
              <w:top w:val="nil"/>
              <w:left w:val="nil"/>
              <w:bottom w:val="nil"/>
              <w:right w:val="nil"/>
            </w:tcBorders>
            <w:noWrap/>
            <w:vAlign w:val="center"/>
            <w:hideMark/>
          </w:tcPr>
          <w:p w14:paraId="246BCDDF"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56C5AC51"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1.80</w:t>
            </w:r>
          </w:p>
        </w:tc>
        <w:tc>
          <w:tcPr>
            <w:tcW w:w="1981" w:type="dxa"/>
            <w:tcBorders>
              <w:top w:val="nil"/>
              <w:left w:val="nil"/>
              <w:bottom w:val="nil"/>
              <w:right w:val="nil"/>
            </w:tcBorders>
            <w:noWrap/>
            <w:hideMark/>
          </w:tcPr>
          <w:p w14:paraId="78708420"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-5.91</w:t>
            </w:r>
          </w:p>
        </w:tc>
        <w:tc>
          <w:tcPr>
            <w:tcW w:w="1260" w:type="dxa"/>
            <w:tcBorders>
              <w:top w:val="nil"/>
              <w:left w:val="nil"/>
              <w:bottom w:val="nil"/>
              <w:right w:val="single" w:sz="4" w:space="0" w:color="auto"/>
            </w:tcBorders>
            <w:noWrap/>
            <w:hideMark/>
          </w:tcPr>
          <w:p w14:paraId="0F89C4A0"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10.15</w:t>
            </w:r>
          </w:p>
        </w:tc>
      </w:tr>
      <w:tr w:rsidR="00ED67FD" w:rsidRPr="00D12921" w14:paraId="3F6F5108" w14:textId="77777777" w:rsidTr="00ED67FD">
        <w:trPr>
          <w:trHeight w:val="243"/>
        </w:trPr>
        <w:tc>
          <w:tcPr>
            <w:tcW w:w="2125" w:type="dxa"/>
            <w:vMerge/>
            <w:tcBorders>
              <w:top w:val="nil"/>
              <w:bottom w:val="nil"/>
              <w:right w:val="nil"/>
            </w:tcBorders>
            <w:noWrap/>
            <w:vAlign w:val="center"/>
            <w:hideMark/>
          </w:tcPr>
          <w:p w14:paraId="10650734" w14:textId="77777777" w:rsidR="00ED67FD" w:rsidRPr="007341EF" w:rsidRDefault="00ED67FD" w:rsidP="00547A4B">
            <w:pPr>
              <w:jc w:val="center"/>
              <w:rPr>
                <w:rFonts w:ascii="Times New Roman" w:hAnsi="Times New Roman" w:cs="Times New Roman"/>
                <w:b/>
                <w:bCs/>
              </w:rPr>
            </w:pPr>
          </w:p>
        </w:tc>
        <w:tc>
          <w:tcPr>
            <w:tcW w:w="2494" w:type="dxa"/>
            <w:tcBorders>
              <w:top w:val="nil"/>
              <w:left w:val="nil"/>
              <w:bottom w:val="nil"/>
              <w:right w:val="nil"/>
            </w:tcBorders>
            <w:noWrap/>
            <w:vAlign w:val="center"/>
            <w:hideMark/>
          </w:tcPr>
          <w:p w14:paraId="0ED2119D"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2BFA5E99"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7.53</w:t>
            </w:r>
          </w:p>
        </w:tc>
        <w:tc>
          <w:tcPr>
            <w:tcW w:w="1981" w:type="dxa"/>
            <w:tcBorders>
              <w:top w:val="nil"/>
              <w:left w:val="nil"/>
              <w:bottom w:val="nil"/>
              <w:right w:val="nil"/>
            </w:tcBorders>
            <w:noWrap/>
            <w:hideMark/>
          </w:tcPr>
          <w:p w14:paraId="3F0BCDA7"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-1.27</w:t>
            </w:r>
          </w:p>
        </w:tc>
        <w:tc>
          <w:tcPr>
            <w:tcW w:w="1260" w:type="dxa"/>
            <w:tcBorders>
              <w:top w:val="nil"/>
              <w:left w:val="nil"/>
              <w:bottom w:val="nil"/>
              <w:right w:val="single" w:sz="4" w:space="0" w:color="auto"/>
            </w:tcBorders>
            <w:noWrap/>
            <w:hideMark/>
          </w:tcPr>
          <w:p w14:paraId="42DD50BE"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17.12</w:t>
            </w:r>
          </w:p>
        </w:tc>
      </w:tr>
      <w:tr w:rsidR="00ED67FD" w:rsidRPr="00D12921" w14:paraId="698D9B11" w14:textId="77777777" w:rsidTr="00ED67FD">
        <w:trPr>
          <w:trHeight w:val="243"/>
        </w:trPr>
        <w:tc>
          <w:tcPr>
            <w:tcW w:w="2125" w:type="dxa"/>
            <w:vMerge/>
            <w:tcBorders>
              <w:top w:val="nil"/>
              <w:bottom w:val="nil"/>
              <w:right w:val="nil"/>
            </w:tcBorders>
            <w:noWrap/>
            <w:vAlign w:val="center"/>
            <w:hideMark/>
          </w:tcPr>
          <w:p w14:paraId="2C8468BD" w14:textId="77777777" w:rsidR="00ED67FD" w:rsidRPr="007341EF" w:rsidRDefault="00ED67FD" w:rsidP="00547A4B">
            <w:pPr>
              <w:jc w:val="center"/>
              <w:rPr>
                <w:rFonts w:ascii="Times New Roman" w:hAnsi="Times New Roman" w:cs="Times New Roman"/>
                <w:b/>
                <w:bCs/>
              </w:rPr>
            </w:pPr>
          </w:p>
        </w:tc>
        <w:tc>
          <w:tcPr>
            <w:tcW w:w="2494" w:type="dxa"/>
            <w:tcBorders>
              <w:top w:val="nil"/>
              <w:left w:val="nil"/>
              <w:bottom w:val="nil"/>
              <w:right w:val="nil"/>
            </w:tcBorders>
            <w:noWrap/>
            <w:vAlign w:val="center"/>
            <w:hideMark/>
          </w:tcPr>
          <w:p w14:paraId="6EB2E36A"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5FCB41A8"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7.61</w:t>
            </w:r>
          </w:p>
        </w:tc>
        <w:tc>
          <w:tcPr>
            <w:tcW w:w="1981" w:type="dxa"/>
            <w:tcBorders>
              <w:top w:val="nil"/>
              <w:left w:val="nil"/>
              <w:bottom w:val="nil"/>
              <w:right w:val="nil"/>
            </w:tcBorders>
            <w:noWrap/>
            <w:hideMark/>
          </w:tcPr>
          <w:p w14:paraId="13A2B64E"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-4.48</w:t>
            </w:r>
          </w:p>
        </w:tc>
        <w:tc>
          <w:tcPr>
            <w:tcW w:w="1260" w:type="dxa"/>
            <w:tcBorders>
              <w:top w:val="nil"/>
              <w:left w:val="nil"/>
              <w:bottom w:val="nil"/>
              <w:right w:val="single" w:sz="4" w:space="0" w:color="auto"/>
            </w:tcBorders>
            <w:noWrap/>
            <w:hideMark/>
          </w:tcPr>
          <w:p w14:paraId="643893DE"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21.23</w:t>
            </w:r>
          </w:p>
        </w:tc>
      </w:tr>
      <w:tr w:rsidR="00ED67FD" w:rsidRPr="00D12921" w14:paraId="67B01E23" w14:textId="77777777" w:rsidTr="00ED67FD">
        <w:trPr>
          <w:trHeight w:val="243"/>
        </w:trPr>
        <w:tc>
          <w:tcPr>
            <w:tcW w:w="2125" w:type="dxa"/>
            <w:vMerge w:val="restart"/>
            <w:tcBorders>
              <w:top w:val="nil"/>
              <w:bottom w:val="nil"/>
              <w:right w:val="nil"/>
            </w:tcBorders>
            <w:noWrap/>
            <w:vAlign w:val="center"/>
            <w:hideMark/>
          </w:tcPr>
          <w:p w14:paraId="7882B8D5" w14:textId="77777777" w:rsidR="00ED67FD" w:rsidRPr="007341EF" w:rsidRDefault="00ED67FD" w:rsidP="00547A4B">
            <w:pPr>
              <w:jc w:val="center"/>
              <w:rPr>
                <w:rFonts w:ascii="Times New Roman" w:hAnsi="Times New Roman" w:cs="Times New Roman"/>
                <w:b/>
                <w:bCs/>
              </w:rPr>
            </w:pPr>
            <w:r w:rsidRPr="007341EF">
              <w:rPr>
                <w:rFonts w:ascii="Times New Roman" w:hAnsi="Times New Roman" w:cs="Times New Roman"/>
                <w:b/>
                <w:bCs/>
              </w:rPr>
              <w:t>BP3</w:t>
            </w:r>
          </w:p>
        </w:tc>
        <w:tc>
          <w:tcPr>
            <w:tcW w:w="2494" w:type="dxa"/>
            <w:tcBorders>
              <w:top w:val="nil"/>
              <w:left w:val="nil"/>
              <w:bottom w:val="nil"/>
              <w:right w:val="nil"/>
            </w:tcBorders>
            <w:noWrap/>
            <w:hideMark/>
          </w:tcPr>
          <w:p w14:paraId="49F9C587"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hideMark/>
          </w:tcPr>
          <w:p w14:paraId="0E1BB984" w14:textId="77777777" w:rsidR="00ED67FD" w:rsidRPr="00D12921" w:rsidRDefault="00ED67FD" w:rsidP="00547A4B">
            <w:pPr>
              <w:jc w:val="center"/>
              <w:rPr>
                <w:rFonts w:ascii="Times New Roman" w:hAnsi="Times New Roman" w:cs="Times New Roman"/>
              </w:rPr>
            </w:pPr>
          </w:p>
        </w:tc>
        <w:tc>
          <w:tcPr>
            <w:tcW w:w="1981" w:type="dxa"/>
            <w:tcBorders>
              <w:top w:val="nil"/>
              <w:left w:val="nil"/>
              <w:bottom w:val="nil"/>
              <w:right w:val="nil"/>
            </w:tcBorders>
            <w:noWrap/>
            <w:hideMark/>
          </w:tcPr>
          <w:p w14:paraId="58A8BEE4" w14:textId="77777777" w:rsidR="00ED67FD" w:rsidRPr="00D12921" w:rsidRDefault="00ED67FD" w:rsidP="00547A4B">
            <w:pPr>
              <w:jc w:val="center"/>
              <w:rPr>
                <w:rFonts w:ascii="Times New Roman" w:hAnsi="Times New Roman" w:cs="Times New Roman"/>
              </w:rPr>
            </w:pPr>
          </w:p>
        </w:tc>
        <w:tc>
          <w:tcPr>
            <w:tcW w:w="1260" w:type="dxa"/>
            <w:tcBorders>
              <w:top w:val="nil"/>
              <w:left w:val="nil"/>
              <w:bottom w:val="nil"/>
              <w:right w:val="single" w:sz="4" w:space="0" w:color="auto"/>
            </w:tcBorders>
            <w:noWrap/>
            <w:hideMark/>
          </w:tcPr>
          <w:p w14:paraId="5CB004AC" w14:textId="77777777" w:rsidR="00ED67FD" w:rsidRPr="00D12921" w:rsidRDefault="00ED67FD" w:rsidP="00547A4B">
            <w:pPr>
              <w:jc w:val="center"/>
              <w:rPr>
                <w:rFonts w:ascii="Times New Roman" w:hAnsi="Times New Roman" w:cs="Times New Roman"/>
              </w:rPr>
            </w:pPr>
          </w:p>
        </w:tc>
      </w:tr>
      <w:tr w:rsidR="00ED67FD" w:rsidRPr="00D12921" w14:paraId="798C3279" w14:textId="77777777" w:rsidTr="00ED67FD">
        <w:trPr>
          <w:trHeight w:val="243"/>
        </w:trPr>
        <w:tc>
          <w:tcPr>
            <w:tcW w:w="2125" w:type="dxa"/>
            <w:vMerge/>
            <w:tcBorders>
              <w:top w:val="nil"/>
              <w:bottom w:val="nil"/>
              <w:right w:val="nil"/>
            </w:tcBorders>
            <w:noWrap/>
            <w:vAlign w:val="center"/>
            <w:hideMark/>
          </w:tcPr>
          <w:p w14:paraId="6A8114E1" w14:textId="77777777" w:rsidR="00ED67FD" w:rsidRPr="007341EF" w:rsidRDefault="00ED67FD" w:rsidP="00547A4B">
            <w:pPr>
              <w:jc w:val="center"/>
              <w:rPr>
                <w:rFonts w:ascii="Times New Roman" w:hAnsi="Times New Roman" w:cs="Times New Roman"/>
              </w:rPr>
            </w:pPr>
          </w:p>
        </w:tc>
        <w:tc>
          <w:tcPr>
            <w:tcW w:w="2494" w:type="dxa"/>
            <w:tcBorders>
              <w:top w:val="nil"/>
              <w:left w:val="nil"/>
              <w:bottom w:val="nil"/>
              <w:right w:val="nil"/>
            </w:tcBorders>
            <w:noWrap/>
            <w:hideMark/>
          </w:tcPr>
          <w:p w14:paraId="750AF8B7"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40F483C9"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-19.82</w:t>
            </w:r>
          </w:p>
        </w:tc>
        <w:tc>
          <w:tcPr>
            <w:tcW w:w="1981" w:type="dxa"/>
            <w:tcBorders>
              <w:top w:val="nil"/>
              <w:left w:val="nil"/>
              <w:bottom w:val="nil"/>
              <w:right w:val="nil"/>
            </w:tcBorders>
            <w:noWrap/>
            <w:hideMark/>
          </w:tcPr>
          <w:p w14:paraId="7F7080DF"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-31.68</w:t>
            </w:r>
          </w:p>
        </w:tc>
        <w:tc>
          <w:tcPr>
            <w:tcW w:w="1260" w:type="dxa"/>
            <w:tcBorders>
              <w:top w:val="nil"/>
              <w:left w:val="nil"/>
              <w:bottom w:val="nil"/>
              <w:right w:val="single" w:sz="4" w:space="0" w:color="auto"/>
            </w:tcBorders>
            <w:noWrap/>
            <w:hideMark/>
          </w:tcPr>
          <w:p w14:paraId="1A0CD676"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-5.91</w:t>
            </w:r>
          </w:p>
        </w:tc>
      </w:tr>
      <w:tr w:rsidR="00ED67FD" w:rsidRPr="00D12921" w14:paraId="2C1F5638" w14:textId="77777777" w:rsidTr="00ED67FD">
        <w:trPr>
          <w:trHeight w:val="243"/>
        </w:trPr>
        <w:tc>
          <w:tcPr>
            <w:tcW w:w="2125" w:type="dxa"/>
            <w:vMerge/>
            <w:tcBorders>
              <w:top w:val="nil"/>
              <w:bottom w:val="nil"/>
              <w:right w:val="nil"/>
            </w:tcBorders>
            <w:noWrap/>
            <w:vAlign w:val="center"/>
            <w:hideMark/>
          </w:tcPr>
          <w:p w14:paraId="12794259" w14:textId="77777777" w:rsidR="00ED67FD" w:rsidRPr="007341EF" w:rsidRDefault="00ED67FD" w:rsidP="00547A4B">
            <w:pPr>
              <w:jc w:val="center"/>
              <w:rPr>
                <w:rFonts w:ascii="Times New Roman" w:hAnsi="Times New Roman" w:cs="Times New Roman"/>
              </w:rPr>
            </w:pPr>
          </w:p>
        </w:tc>
        <w:tc>
          <w:tcPr>
            <w:tcW w:w="2494" w:type="dxa"/>
            <w:tcBorders>
              <w:top w:val="nil"/>
              <w:left w:val="nil"/>
              <w:bottom w:val="nil"/>
              <w:right w:val="nil"/>
            </w:tcBorders>
            <w:noWrap/>
            <w:hideMark/>
          </w:tcPr>
          <w:p w14:paraId="50F30382"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15DA6E64"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-17.40</w:t>
            </w:r>
          </w:p>
        </w:tc>
        <w:tc>
          <w:tcPr>
            <w:tcW w:w="1981" w:type="dxa"/>
            <w:tcBorders>
              <w:top w:val="nil"/>
              <w:left w:val="nil"/>
              <w:bottom w:val="nil"/>
              <w:right w:val="nil"/>
            </w:tcBorders>
            <w:noWrap/>
            <w:hideMark/>
          </w:tcPr>
          <w:p w14:paraId="77C9B5D6"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-29.05</w:t>
            </w:r>
          </w:p>
        </w:tc>
        <w:tc>
          <w:tcPr>
            <w:tcW w:w="1260" w:type="dxa"/>
            <w:tcBorders>
              <w:top w:val="nil"/>
              <w:left w:val="nil"/>
              <w:bottom w:val="nil"/>
              <w:right w:val="single" w:sz="4" w:space="0" w:color="auto"/>
            </w:tcBorders>
            <w:noWrap/>
            <w:hideMark/>
          </w:tcPr>
          <w:p w14:paraId="1051C5D6"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-3.84</w:t>
            </w:r>
          </w:p>
        </w:tc>
      </w:tr>
      <w:tr w:rsidR="00ED67FD" w:rsidRPr="00D12921" w14:paraId="5C07F3B7" w14:textId="77777777" w:rsidTr="00ED67FD">
        <w:trPr>
          <w:trHeight w:val="243"/>
        </w:trPr>
        <w:tc>
          <w:tcPr>
            <w:tcW w:w="2125" w:type="dxa"/>
            <w:vMerge/>
            <w:tcBorders>
              <w:top w:val="nil"/>
              <w:bottom w:val="nil"/>
              <w:right w:val="nil"/>
            </w:tcBorders>
            <w:noWrap/>
            <w:vAlign w:val="center"/>
            <w:hideMark/>
          </w:tcPr>
          <w:p w14:paraId="493B7404" w14:textId="77777777" w:rsidR="00ED67FD" w:rsidRPr="007341EF" w:rsidRDefault="00ED67FD" w:rsidP="00547A4B">
            <w:pPr>
              <w:jc w:val="center"/>
              <w:rPr>
                <w:rFonts w:ascii="Times New Roman" w:hAnsi="Times New Roman" w:cs="Times New Roman"/>
                <w:b/>
                <w:bCs/>
              </w:rPr>
            </w:pPr>
          </w:p>
        </w:tc>
        <w:tc>
          <w:tcPr>
            <w:tcW w:w="2494" w:type="dxa"/>
            <w:tcBorders>
              <w:top w:val="nil"/>
              <w:left w:val="nil"/>
              <w:bottom w:val="nil"/>
              <w:right w:val="nil"/>
            </w:tcBorders>
            <w:noWrap/>
            <w:hideMark/>
          </w:tcPr>
          <w:p w14:paraId="08DE96D9"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5E4DAAB1"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-19.55</w:t>
            </w:r>
          </w:p>
        </w:tc>
        <w:tc>
          <w:tcPr>
            <w:tcW w:w="1981" w:type="dxa"/>
            <w:tcBorders>
              <w:top w:val="nil"/>
              <w:left w:val="nil"/>
              <w:bottom w:val="nil"/>
              <w:right w:val="nil"/>
            </w:tcBorders>
            <w:noWrap/>
            <w:hideMark/>
          </w:tcPr>
          <w:p w14:paraId="649A3A6A"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-35.27</w:t>
            </w:r>
          </w:p>
        </w:tc>
        <w:tc>
          <w:tcPr>
            <w:tcW w:w="1260" w:type="dxa"/>
            <w:tcBorders>
              <w:top w:val="nil"/>
              <w:left w:val="nil"/>
              <w:bottom w:val="nil"/>
              <w:right w:val="single" w:sz="4" w:space="0" w:color="auto"/>
            </w:tcBorders>
            <w:noWrap/>
            <w:hideMark/>
          </w:tcPr>
          <w:p w14:paraId="0BBFE6DA"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-0.02</w:t>
            </w:r>
          </w:p>
        </w:tc>
      </w:tr>
      <w:tr w:rsidR="00ED67FD" w:rsidRPr="00D12921" w14:paraId="4FDF7390" w14:textId="77777777" w:rsidTr="00ED67FD">
        <w:trPr>
          <w:trHeight w:val="243"/>
        </w:trPr>
        <w:tc>
          <w:tcPr>
            <w:tcW w:w="2125" w:type="dxa"/>
            <w:vMerge w:val="restart"/>
            <w:tcBorders>
              <w:top w:val="nil"/>
              <w:bottom w:val="nil"/>
              <w:right w:val="nil"/>
            </w:tcBorders>
            <w:noWrap/>
            <w:vAlign w:val="center"/>
            <w:hideMark/>
          </w:tcPr>
          <w:p w14:paraId="381D8800" w14:textId="77777777" w:rsidR="00ED67FD" w:rsidRPr="007341EF" w:rsidRDefault="00ED67FD" w:rsidP="00547A4B">
            <w:pPr>
              <w:jc w:val="center"/>
              <w:rPr>
                <w:rFonts w:ascii="Times New Roman" w:hAnsi="Times New Roman" w:cs="Times New Roman"/>
                <w:b/>
                <w:bCs/>
              </w:rPr>
            </w:pPr>
            <w:r w:rsidRPr="007341EF">
              <w:rPr>
                <w:rFonts w:ascii="Times New Roman" w:hAnsi="Times New Roman" w:cs="Times New Roman"/>
                <w:b/>
                <w:bCs/>
              </w:rPr>
              <w:t>TRS</w:t>
            </w:r>
          </w:p>
        </w:tc>
        <w:tc>
          <w:tcPr>
            <w:tcW w:w="2494" w:type="dxa"/>
            <w:tcBorders>
              <w:top w:val="nil"/>
              <w:left w:val="nil"/>
              <w:bottom w:val="nil"/>
              <w:right w:val="nil"/>
            </w:tcBorders>
            <w:noWrap/>
            <w:hideMark/>
          </w:tcPr>
          <w:p w14:paraId="5FF73DA4"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vAlign w:val="bottom"/>
            <w:hideMark/>
          </w:tcPr>
          <w:p w14:paraId="2B04AE05" w14:textId="77777777" w:rsidR="00ED67FD" w:rsidRPr="00D12921" w:rsidRDefault="00ED67FD" w:rsidP="00547A4B">
            <w:pPr>
              <w:jc w:val="center"/>
              <w:rPr>
                <w:rFonts w:ascii="Times New Roman" w:hAnsi="Times New Roman" w:cs="Times New Roman"/>
              </w:rPr>
            </w:pPr>
          </w:p>
        </w:tc>
        <w:tc>
          <w:tcPr>
            <w:tcW w:w="1981" w:type="dxa"/>
            <w:tcBorders>
              <w:top w:val="nil"/>
              <w:left w:val="nil"/>
              <w:bottom w:val="nil"/>
              <w:right w:val="nil"/>
            </w:tcBorders>
            <w:noWrap/>
            <w:vAlign w:val="bottom"/>
            <w:hideMark/>
          </w:tcPr>
          <w:p w14:paraId="6D94CFCE" w14:textId="77777777" w:rsidR="00ED67FD" w:rsidRPr="00D12921" w:rsidRDefault="00ED67FD" w:rsidP="00547A4B">
            <w:pPr>
              <w:jc w:val="center"/>
              <w:rPr>
                <w:rFonts w:ascii="Times New Roman" w:hAnsi="Times New Roman" w:cs="Times New Roman"/>
              </w:rPr>
            </w:pPr>
          </w:p>
        </w:tc>
        <w:tc>
          <w:tcPr>
            <w:tcW w:w="1260" w:type="dxa"/>
            <w:tcBorders>
              <w:top w:val="nil"/>
              <w:left w:val="nil"/>
              <w:bottom w:val="nil"/>
              <w:right w:val="single" w:sz="4" w:space="0" w:color="auto"/>
            </w:tcBorders>
            <w:noWrap/>
            <w:vAlign w:val="bottom"/>
            <w:hideMark/>
          </w:tcPr>
          <w:p w14:paraId="00F4F173" w14:textId="77777777" w:rsidR="00ED67FD" w:rsidRPr="00D12921" w:rsidRDefault="00ED67FD" w:rsidP="00547A4B">
            <w:pPr>
              <w:jc w:val="center"/>
              <w:rPr>
                <w:rFonts w:ascii="Times New Roman" w:hAnsi="Times New Roman" w:cs="Times New Roman"/>
              </w:rPr>
            </w:pPr>
          </w:p>
        </w:tc>
      </w:tr>
      <w:tr w:rsidR="00ED67FD" w:rsidRPr="00D12921" w14:paraId="1819A023" w14:textId="77777777" w:rsidTr="00ED67FD">
        <w:trPr>
          <w:trHeight w:val="243"/>
        </w:trPr>
        <w:tc>
          <w:tcPr>
            <w:tcW w:w="2125" w:type="dxa"/>
            <w:vMerge/>
            <w:tcBorders>
              <w:top w:val="nil"/>
              <w:bottom w:val="nil"/>
              <w:right w:val="nil"/>
            </w:tcBorders>
            <w:noWrap/>
            <w:vAlign w:val="center"/>
            <w:hideMark/>
          </w:tcPr>
          <w:p w14:paraId="4A612A4A" w14:textId="77777777" w:rsidR="00ED67FD" w:rsidRPr="007341EF" w:rsidRDefault="00ED67FD" w:rsidP="00547A4B">
            <w:pPr>
              <w:jc w:val="center"/>
              <w:rPr>
                <w:rFonts w:ascii="Times New Roman" w:hAnsi="Times New Roman" w:cs="Times New Roman"/>
              </w:rPr>
            </w:pPr>
          </w:p>
        </w:tc>
        <w:tc>
          <w:tcPr>
            <w:tcW w:w="2494" w:type="dxa"/>
            <w:tcBorders>
              <w:top w:val="nil"/>
              <w:left w:val="nil"/>
              <w:bottom w:val="nil"/>
              <w:right w:val="nil"/>
            </w:tcBorders>
            <w:noWrap/>
            <w:hideMark/>
          </w:tcPr>
          <w:p w14:paraId="0CA0290F"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7753E58F" w14:textId="77777777" w:rsidR="00ED67FD" w:rsidRPr="00D12921" w:rsidRDefault="00ED67FD" w:rsidP="00547A4B">
            <w:pPr>
              <w:jc w:val="center"/>
              <w:rPr>
                <w:rFonts w:ascii="Times New Roman" w:eastAsia="Aptos" w:hAnsi="Times New Roman" w:cs="Times New Roman"/>
                <w:color w:val="000000" w:themeColor="text1"/>
              </w:rPr>
            </w:pPr>
            <w:r w:rsidRPr="00D12921">
              <w:rPr>
                <w:rFonts w:ascii="Times New Roman" w:hAnsi="Times New Roman" w:cs="Times New Roman"/>
                <w:color w:val="000000"/>
              </w:rPr>
              <w:t>-14.72</w:t>
            </w:r>
          </w:p>
        </w:tc>
        <w:tc>
          <w:tcPr>
            <w:tcW w:w="1981" w:type="dxa"/>
            <w:tcBorders>
              <w:top w:val="nil"/>
              <w:left w:val="nil"/>
              <w:bottom w:val="nil"/>
              <w:right w:val="nil"/>
            </w:tcBorders>
            <w:noWrap/>
            <w:hideMark/>
          </w:tcPr>
          <w:p w14:paraId="689A993B" w14:textId="77777777" w:rsidR="00ED67FD" w:rsidRPr="00D12921" w:rsidRDefault="00ED67FD" w:rsidP="00547A4B">
            <w:pPr>
              <w:jc w:val="center"/>
              <w:rPr>
                <w:rFonts w:ascii="Times New Roman" w:eastAsia="Aptos" w:hAnsi="Times New Roman" w:cs="Times New Roman"/>
                <w:color w:val="000000" w:themeColor="text1"/>
              </w:rPr>
            </w:pPr>
            <w:r w:rsidRPr="00D12921">
              <w:rPr>
                <w:rFonts w:ascii="Times New Roman" w:hAnsi="Times New Roman" w:cs="Times New Roman"/>
                <w:color w:val="000000"/>
              </w:rPr>
              <w:t>-28.86</w:t>
            </w:r>
          </w:p>
        </w:tc>
        <w:tc>
          <w:tcPr>
            <w:tcW w:w="1260" w:type="dxa"/>
            <w:tcBorders>
              <w:top w:val="nil"/>
              <w:left w:val="nil"/>
              <w:bottom w:val="nil"/>
              <w:right w:val="single" w:sz="4" w:space="0" w:color="auto"/>
            </w:tcBorders>
            <w:noWrap/>
            <w:hideMark/>
          </w:tcPr>
          <w:p w14:paraId="0DF5570F" w14:textId="77777777" w:rsidR="00ED67FD" w:rsidRPr="00D12921" w:rsidRDefault="00ED67FD" w:rsidP="00547A4B">
            <w:pPr>
              <w:jc w:val="center"/>
              <w:rPr>
                <w:rFonts w:ascii="Times New Roman" w:eastAsia="Aptos" w:hAnsi="Times New Roman" w:cs="Times New Roman"/>
                <w:color w:val="000000" w:themeColor="text1"/>
              </w:rPr>
            </w:pPr>
            <w:r w:rsidRPr="00D12921">
              <w:rPr>
                <w:rFonts w:ascii="Times New Roman" w:hAnsi="Times New Roman" w:cs="Times New Roman"/>
                <w:color w:val="000000"/>
              </w:rPr>
              <w:t>2.22</w:t>
            </w:r>
          </w:p>
        </w:tc>
      </w:tr>
      <w:tr w:rsidR="00ED67FD" w:rsidRPr="00D12921" w14:paraId="3675D9ED" w14:textId="77777777" w:rsidTr="00ED67FD">
        <w:trPr>
          <w:trHeight w:val="243"/>
        </w:trPr>
        <w:tc>
          <w:tcPr>
            <w:tcW w:w="2125" w:type="dxa"/>
            <w:vMerge/>
            <w:tcBorders>
              <w:top w:val="nil"/>
              <w:bottom w:val="nil"/>
              <w:right w:val="nil"/>
            </w:tcBorders>
            <w:noWrap/>
            <w:vAlign w:val="center"/>
            <w:hideMark/>
          </w:tcPr>
          <w:p w14:paraId="2A210F58" w14:textId="77777777" w:rsidR="00ED67FD" w:rsidRPr="007341EF" w:rsidRDefault="00ED67FD" w:rsidP="00547A4B">
            <w:pPr>
              <w:jc w:val="center"/>
              <w:rPr>
                <w:rFonts w:ascii="Times New Roman" w:hAnsi="Times New Roman" w:cs="Times New Roman"/>
                <w:b/>
                <w:bCs/>
              </w:rPr>
            </w:pPr>
          </w:p>
        </w:tc>
        <w:tc>
          <w:tcPr>
            <w:tcW w:w="2494" w:type="dxa"/>
            <w:tcBorders>
              <w:top w:val="nil"/>
              <w:left w:val="nil"/>
              <w:bottom w:val="nil"/>
              <w:right w:val="nil"/>
            </w:tcBorders>
            <w:noWrap/>
            <w:hideMark/>
          </w:tcPr>
          <w:p w14:paraId="51567863"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7D554A7F" w14:textId="77777777" w:rsidR="00ED67FD" w:rsidRPr="00D12921" w:rsidRDefault="00ED67FD" w:rsidP="00547A4B">
            <w:pPr>
              <w:jc w:val="center"/>
              <w:rPr>
                <w:rFonts w:ascii="Times New Roman" w:eastAsia="Aptos" w:hAnsi="Times New Roman" w:cs="Times New Roman"/>
                <w:color w:val="000000" w:themeColor="text1"/>
              </w:rPr>
            </w:pPr>
            <w:r w:rsidRPr="00D12921">
              <w:rPr>
                <w:rFonts w:ascii="Times New Roman" w:hAnsi="Times New Roman" w:cs="Times New Roman"/>
                <w:color w:val="000000"/>
              </w:rPr>
              <w:t>-12.65</w:t>
            </w:r>
          </w:p>
        </w:tc>
        <w:tc>
          <w:tcPr>
            <w:tcW w:w="1981" w:type="dxa"/>
            <w:tcBorders>
              <w:top w:val="nil"/>
              <w:left w:val="nil"/>
              <w:bottom w:val="nil"/>
              <w:right w:val="nil"/>
            </w:tcBorders>
            <w:noWrap/>
            <w:hideMark/>
          </w:tcPr>
          <w:p w14:paraId="4C17F6DA" w14:textId="77777777" w:rsidR="00ED67FD" w:rsidRPr="00D12921" w:rsidRDefault="00ED67FD" w:rsidP="00547A4B">
            <w:pPr>
              <w:jc w:val="center"/>
              <w:rPr>
                <w:rFonts w:ascii="Times New Roman" w:eastAsia="Aptos" w:hAnsi="Times New Roman" w:cs="Times New Roman"/>
                <w:color w:val="000000" w:themeColor="text1"/>
              </w:rPr>
            </w:pPr>
            <w:r w:rsidRPr="00D12921">
              <w:rPr>
                <w:rFonts w:ascii="Times New Roman" w:hAnsi="Times New Roman" w:cs="Times New Roman"/>
                <w:color w:val="000000"/>
              </w:rPr>
              <w:t>-25.06</w:t>
            </w:r>
          </w:p>
        </w:tc>
        <w:tc>
          <w:tcPr>
            <w:tcW w:w="1260" w:type="dxa"/>
            <w:tcBorders>
              <w:top w:val="nil"/>
              <w:left w:val="nil"/>
              <w:bottom w:val="nil"/>
              <w:right w:val="single" w:sz="4" w:space="0" w:color="auto"/>
            </w:tcBorders>
            <w:noWrap/>
            <w:hideMark/>
          </w:tcPr>
          <w:p w14:paraId="4E65E7AE" w14:textId="77777777" w:rsidR="00ED67FD" w:rsidRPr="00D12921" w:rsidRDefault="00ED67FD" w:rsidP="00547A4B">
            <w:pPr>
              <w:jc w:val="center"/>
              <w:rPr>
                <w:rFonts w:ascii="Times New Roman" w:eastAsia="Aptos" w:hAnsi="Times New Roman" w:cs="Times New Roman"/>
                <w:color w:val="000000" w:themeColor="text1"/>
              </w:rPr>
            </w:pPr>
            <w:r w:rsidRPr="00D12921">
              <w:rPr>
                <w:rFonts w:ascii="Times New Roman" w:hAnsi="Times New Roman" w:cs="Times New Roman"/>
                <w:color w:val="000000"/>
              </w:rPr>
              <w:t>1.80</w:t>
            </w:r>
          </w:p>
        </w:tc>
      </w:tr>
      <w:tr w:rsidR="00ED67FD" w:rsidRPr="00D12921" w14:paraId="5CA77560" w14:textId="77777777" w:rsidTr="00ED67FD">
        <w:trPr>
          <w:trHeight w:val="243"/>
        </w:trPr>
        <w:tc>
          <w:tcPr>
            <w:tcW w:w="2125" w:type="dxa"/>
            <w:vMerge/>
            <w:tcBorders>
              <w:top w:val="nil"/>
              <w:bottom w:val="nil"/>
              <w:right w:val="nil"/>
            </w:tcBorders>
            <w:noWrap/>
            <w:vAlign w:val="center"/>
            <w:hideMark/>
          </w:tcPr>
          <w:p w14:paraId="62361929" w14:textId="77777777" w:rsidR="00ED67FD" w:rsidRPr="007341EF" w:rsidRDefault="00ED67FD" w:rsidP="00547A4B">
            <w:pPr>
              <w:jc w:val="center"/>
              <w:rPr>
                <w:rFonts w:ascii="Times New Roman" w:hAnsi="Times New Roman" w:cs="Times New Roman"/>
                <w:b/>
                <w:bCs/>
              </w:rPr>
            </w:pPr>
          </w:p>
        </w:tc>
        <w:tc>
          <w:tcPr>
            <w:tcW w:w="2494" w:type="dxa"/>
            <w:tcBorders>
              <w:top w:val="nil"/>
              <w:left w:val="nil"/>
              <w:bottom w:val="nil"/>
              <w:right w:val="nil"/>
            </w:tcBorders>
            <w:noWrap/>
            <w:hideMark/>
          </w:tcPr>
          <w:p w14:paraId="50701F59"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786F70EC" w14:textId="77777777" w:rsidR="00ED67FD" w:rsidRPr="00D12921" w:rsidRDefault="00ED67FD" w:rsidP="00547A4B">
            <w:pPr>
              <w:jc w:val="center"/>
              <w:rPr>
                <w:rFonts w:ascii="Times New Roman" w:eastAsia="Aptos" w:hAnsi="Times New Roman" w:cs="Times New Roman"/>
                <w:color w:val="000000" w:themeColor="text1"/>
              </w:rPr>
            </w:pPr>
            <w:r w:rsidRPr="00D12921">
              <w:rPr>
                <w:rFonts w:ascii="Times New Roman" w:hAnsi="Times New Roman" w:cs="Times New Roman"/>
                <w:color w:val="000000"/>
              </w:rPr>
              <w:t>-24.46</w:t>
            </w:r>
          </w:p>
        </w:tc>
        <w:tc>
          <w:tcPr>
            <w:tcW w:w="1981" w:type="dxa"/>
            <w:tcBorders>
              <w:top w:val="nil"/>
              <w:left w:val="nil"/>
              <w:bottom w:val="nil"/>
              <w:right w:val="nil"/>
            </w:tcBorders>
            <w:noWrap/>
            <w:hideMark/>
          </w:tcPr>
          <w:p w14:paraId="664BF489" w14:textId="77777777" w:rsidR="00ED67FD" w:rsidRPr="00D12921" w:rsidRDefault="00ED67FD" w:rsidP="00547A4B">
            <w:pPr>
              <w:jc w:val="center"/>
              <w:rPr>
                <w:rFonts w:ascii="Times New Roman" w:eastAsia="Aptos" w:hAnsi="Times New Roman" w:cs="Times New Roman"/>
                <w:color w:val="000000" w:themeColor="text1"/>
              </w:rPr>
            </w:pPr>
            <w:r w:rsidRPr="00D12921">
              <w:rPr>
                <w:rFonts w:ascii="Times New Roman" w:hAnsi="Times New Roman" w:cs="Times New Roman"/>
                <w:color w:val="000000"/>
              </w:rPr>
              <w:t>-36.76</w:t>
            </w:r>
          </w:p>
        </w:tc>
        <w:tc>
          <w:tcPr>
            <w:tcW w:w="1260" w:type="dxa"/>
            <w:tcBorders>
              <w:top w:val="nil"/>
              <w:left w:val="nil"/>
              <w:bottom w:val="nil"/>
              <w:right w:val="single" w:sz="4" w:space="0" w:color="auto"/>
            </w:tcBorders>
            <w:noWrap/>
            <w:hideMark/>
          </w:tcPr>
          <w:p w14:paraId="0AF10DB4" w14:textId="77777777" w:rsidR="00ED67FD" w:rsidRPr="00D12921" w:rsidRDefault="00ED67FD" w:rsidP="00547A4B">
            <w:pPr>
              <w:jc w:val="center"/>
              <w:rPr>
                <w:rFonts w:ascii="Times New Roman" w:eastAsia="Aptos" w:hAnsi="Times New Roman" w:cs="Times New Roman"/>
                <w:color w:val="000000" w:themeColor="text1"/>
              </w:rPr>
            </w:pPr>
            <w:r w:rsidRPr="00D12921">
              <w:rPr>
                <w:rFonts w:ascii="Times New Roman" w:hAnsi="Times New Roman" w:cs="Times New Roman"/>
                <w:color w:val="000000"/>
              </w:rPr>
              <w:t>-9.77</w:t>
            </w:r>
          </w:p>
        </w:tc>
      </w:tr>
      <w:tr w:rsidR="00ED67FD" w:rsidRPr="00D12921" w14:paraId="150DBAFA" w14:textId="77777777" w:rsidTr="00ED67FD">
        <w:trPr>
          <w:trHeight w:val="243"/>
        </w:trPr>
        <w:tc>
          <w:tcPr>
            <w:tcW w:w="2125" w:type="dxa"/>
            <w:vMerge w:val="restart"/>
            <w:tcBorders>
              <w:top w:val="nil"/>
              <w:bottom w:val="nil"/>
              <w:right w:val="nil"/>
            </w:tcBorders>
            <w:noWrap/>
            <w:vAlign w:val="center"/>
            <w:hideMark/>
          </w:tcPr>
          <w:p w14:paraId="1F4ECC8D" w14:textId="77777777" w:rsidR="00ED67FD" w:rsidRPr="007341EF" w:rsidRDefault="00ED67FD" w:rsidP="00547A4B">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2494" w:type="dxa"/>
            <w:tcBorders>
              <w:top w:val="nil"/>
              <w:left w:val="nil"/>
              <w:bottom w:val="nil"/>
              <w:right w:val="nil"/>
            </w:tcBorders>
            <w:noWrap/>
            <w:hideMark/>
          </w:tcPr>
          <w:p w14:paraId="2D0A0D8C"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hideMark/>
          </w:tcPr>
          <w:p w14:paraId="75B682E8" w14:textId="77777777" w:rsidR="00ED67FD" w:rsidRPr="00D12921" w:rsidRDefault="00ED67FD" w:rsidP="00547A4B">
            <w:pPr>
              <w:jc w:val="center"/>
              <w:rPr>
                <w:rFonts w:ascii="Times New Roman" w:hAnsi="Times New Roman" w:cs="Times New Roman"/>
                <w:color w:val="000000" w:themeColor="text1"/>
              </w:rPr>
            </w:pPr>
          </w:p>
        </w:tc>
        <w:tc>
          <w:tcPr>
            <w:tcW w:w="1981" w:type="dxa"/>
            <w:tcBorders>
              <w:top w:val="nil"/>
              <w:left w:val="nil"/>
              <w:bottom w:val="nil"/>
              <w:right w:val="nil"/>
            </w:tcBorders>
            <w:noWrap/>
            <w:hideMark/>
          </w:tcPr>
          <w:p w14:paraId="75C8F052" w14:textId="77777777" w:rsidR="00ED67FD" w:rsidRPr="00D12921" w:rsidRDefault="00ED67FD" w:rsidP="00547A4B">
            <w:pPr>
              <w:jc w:val="center"/>
              <w:rPr>
                <w:rFonts w:ascii="Times New Roman" w:hAnsi="Times New Roman" w:cs="Times New Roman"/>
              </w:rPr>
            </w:pPr>
          </w:p>
        </w:tc>
        <w:tc>
          <w:tcPr>
            <w:tcW w:w="1260" w:type="dxa"/>
            <w:tcBorders>
              <w:top w:val="nil"/>
              <w:left w:val="nil"/>
              <w:bottom w:val="nil"/>
              <w:right w:val="single" w:sz="4" w:space="0" w:color="auto"/>
            </w:tcBorders>
            <w:noWrap/>
            <w:hideMark/>
          </w:tcPr>
          <w:p w14:paraId="38B86529" w14:textId="77777777" w:rsidR="00ED67FD" w:rsidRPr="00D12921" w:rsidRDefault="00ED67FD" w:rsidP="00547A4B">
            <w:pPr>
              <w:jc w:val="center"/>
              <w:rPr>
                <w:rFonts w:ascii="Times New Roman" w:hAnsi="Times New Roman" w:cs="Times New Roman"/>
              </w:rPr>
            </w:pPr>
          </w:p>
        </w:tc>
      </w:tr>
      <w:tr w:rsidR="00ED67FD" w:rsidRPr="00D12921" w14:paraId="13C688C7" w14:textId="77777777" w:rsidTr="00ED67FD">
        <w:trPr>
          <w:trHeight w:val="243"/>
        </w:trPr>
        <w:tc>
          <w:tcPr>
            <w:tcW w:w="2125" w:type="dxa"/>
            <w:vMerge/>
            <w:tcBorders>
              <w:top w:val="nil"/>
              <w:bottom w:val="nil"/>
              <w:right w:val="nil"/>
            </w:tcBorders>
            <w:noWrap/>
            <w:hideMark/>
          </w:tcPr>
          <w:p w14:paraId="4ACABD92" w14:textId="77777777" w:rsidR="00ED67FD" w:rsidRPr="007341EF" w:rsidRDefault="00ED67FD" w:rsidP="00547A4B">
            <w:pPr>
              <w:jc w:val="center"/>
              <w:rPr>
                <w:rFonts w:ascii="Times New Roman" w:hAnsi="Times New Roman" w:cs="Times New Roman"/>
              </w:rPr>
            </w:pPr>
          </w:p>
        </w:tc>
        <w:tc>
          <w:tcPr>
            <w:tcW w:w="2494" w:type="dxa"/>
            <w:tcBorders>
              <w:top w:val="nil"/>
              <w:left w:val="nil"/>
              <w:bottom w:val="nil"/>
              <w:right w:val="nil"/>
            </w:tcBorders>
            <w:noWrap/>
            <w:hideMark/>
          </w:tcPr>
          <w:p w14:paraId="5ED75F15"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076788B1" w14:textId="77777777" w:rsidR="00ED67FD" w:rsidRPr="00D12921" w:rsidRDefault="00ED67FD" w:rsidP="00547A4B">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-10.97</w:t>
            </w:r>
          </w:p>
        </w:tc>
        <w:tc>
          <w:tcPr>
            <w:tcW w:w="1981" w:type="dxa"/>
            <w:tcBorders>
              <w:top w:val="nil"/>
              <w:left w:val="nil"/>
              <w:bottom w:val="nil"/>
              <w:right w:val="nil"/>
            </w:tcBorders>
            <w:noWrap/>
            <w:hideMark/>
          </w:tcPr>
          <w:p w14:paraId="29F39C89"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-21.90</w:t>
            </w:r>
          </w:p>
        </w:tc>
        <w:tc>
          <w:tcPr>
            <w:tcW w:w="1260" w:type="dxa"/>
            <w:tcBorders>
              <w:top w:val="nil"/>
              <w:left w:val="nil"/>
              <w:bottom w:val="nil"/>
              <w:right w:val="single" w:sz="4" w:space="0" w:color="auto"/>
            </w:tcBorders>
            <w:noWrap/>
            <w:hideMark/>
          </w:tcPr>
          <w:p w14:paraId="01C8EA06"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1.50</w:t>
            </w:r>
          </w:p>
        </w:tc>
      </w:tr>
      <w:tr w:rsidR="00ED67FD" w:rsidRPr="00D12921" w14:paraId="016DDB17" w14:textId="77777777" w:rsidTr="00ED67FD">
        <w:trPr>
          <w:trHeight w:val="243"/>
        </w:trPr>
        <w:tc>
          <w:tcPr>
            <w:tcW w:w="2125" w:type="dxa"/>
            <w:vMerge/>
            <w:tcBorders>
              <w:top w:val="nil"/>
              <w:bottom w:val="nil"/>
              <w:right w:val="nil"/>
            </w:tcBorders>
            <w:noWrap/>
            <w:hideMark/>
          </w:tcPr>
          <w:p w14:paraId="4279EE4C" w14:textId="77777777" w:rsidR="00ED67FD" w:rsidRPr="007341EF" w:rsidRDefault="00ED67FD" w:rsidP="00547A4B">
            <w:pPr>
              <w:jc w:val="center"/>
              <w:rPr>
                <w:rFonts w:ascii="Times New Roman" w:hAnsi="Times New Roman" w:cs="Times New Roman"/>
              </w:rPr>
            </w:pPr>
          </w:p>
        </w:tc>
        <w:tc>
          <w:tcPr>
            <w:tcW w:w="2494" w:type="dxa"/>
            <w:tcBorders>
              <w:top w:val="nil"/>
              <w:left w:val="nil"/>
              <w:bottom w:val="nil"/>
              <w:right w:val="nil"/>
            </w:tcBorders>
            <w:noWrap/>
            <w:hideMark/>
          </w:tcPr>
          <w:p w14:paraId="5AB7A656"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52750B15" w14:textId="77777777" w:rsidR="00ED67FD" w:rsidRPr="00D12921" w:rsidRDefault="00ED67FD" w:rsidP="00547A4B">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-5.65</w:t>
            </w:r>
          </w:p>
        </w:tc>
        <w:tc>
          <w:tcPr>
            <w:tcW w:w="1981" w:type="dxa"/>
            <w:tcBorders>
              <w:top w:val="nil"/>
              <w:left w:val="nil"/>
              <w:bottom w:val="nil"/>
              <w:right w:val="nil"/>
            </w:tcBorders>
            <w:noWrap/>
            <w:hideMark/>
          </w:tcPr>
          <w:p w14:paraId="6F36F64C"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-17.98</w:t>
            </w:r>
          </w:p>
        </w:tc>
        <w:tc>
          <w:tcPr>
            <w:tcW w:w="1260" w:type="dxa"/>
            <w:tcBorders>
              <w:top w:val="nil"/>
              <w:left w:val="nil"/>
              <w:bottom w:val="nil"/>
              <w:right w:val="single" w:sz="4" w:space="0" w:color="auto"/>
            </w:tcBorders>
            <w:noWrap/>
            <w:hideMark/>
          </w:tcPr>
          <w:p w14:paraId="2A93C15D"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8.53</w:t>
            </w:r>
          </w:p>
        </w:tc>
      </w:tr>
      <w:tr w:rsidR="00ED67FD" w:rsidRPr="00D12921" w14:paraId="48774EFF" w14:textId="77777777" w:rsidTr="00ED67FD">
        <w:trPr>
          <w:trHeight w:val="243"/>
        </w:trPr>
        <w:tc>
          <w:tcPr>
            <w:tcW w:w="2125" w:type="dxa"/>
            <w:vMerge/>
            <w:tcBorders>
              <w:top w:val="nil"/>
              <w:bottom w:val="nil"/>
              <w:right w:val="nil"/>
            </w:tcBorders>
            <w:noWrap/>
            <w:hideMark/>
          </w:tcPr>
          <w:p w14:paraId="6E7AADB6" w14:textId="77777777" w:rsidR="00ED67FD" w:rsidRPr="007341EF" w:rsidRDefault="00ED67FD" w:rsidP="00547A4B">
            <w:pPr>
              <w:jc w:val="center"/>
              <w:rPr>
                <w:rFonts w:ascii="Times New Roman" w:hAnsi="Times New Roman" w:cs="Times New Roman"/>
                <w:b/>
                <w:bCs/>
              </w:rPr>
            </w:pPr>
          </w:p>
        </w:tc>
        <w:tc>
          <w:tcPr>
            <w:tcW w:w="2494" w:type="dxa"/>
            <w:tcBorders>
              <w:top w:val="nil"/>
              <w:left w:val="nil"/>
              <w:bottom w:val="nil"/>
              <w:right w:val="nil"/>
            </w:tcBorders>
            <w:noWrap/>
            <w:hideMark/>
          </w:tcPr>
          <w:p w14:paraId="73670D56"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537788F6" w14:textId="77777777" w:rsidR="00ED67FD" w:rsidRPr="00D12921" w:rsidRDefault="00ED67FD" w:rsidP="00547A4B">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-25.96</w:t>
            </w:r>
          </w:p>
        </w:tc>
        <w:tc>
          <w:tcPr>
            <w:tcW w:w="1981" w:type="dxa"/>
            <w:tcBorders>
              <w:top w:val="nil"/>
              <w:left w:val="nil"/>
              <w:bottom w:val="nil"/>
              <w:right w:val="nil"/>
            </w:tcBorders>
            <w:noWrap/>
            <w:hideMark/>
          </w:tcPr>
          <w:p w14:paraId="2BCE34CA"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-35.07</w:t>
            </w:r>
          </w:p>
        </w:tc>
        <w:tc>
          <w:tcPr>
            <w:tcW w:w="1260" w:type="dxa"/>
            <w:tcBorders>
              <w:top w:val="nil"/>
              <w:left w:val="nil"/>
              <w:bottom w:val="nil"/>
              <w:right w:val="single" w:sz="4" w:space="0" w:color="auto"/>
            </w:tcBorders>
            <w:noWrap/>
            <w:hideMark/>
          </w:tcPr>
          <w:p w14:paraId="20CBE0AF"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-15.57</w:t>
            </w:r>
          </w:p>
        </w:tc>
      </w:tr>
      <w:tr w:rsidR="00ED67FD" w:rsidRPr="00D12921" w14:paraId="11F0A289" w14:textId="77777777" w:rsidTr="00ED67FD">
        <w:trPr>
          <w:trHeight w:val="243"/>
        </w:trPr>
        <w:tc>
          <w:tcPr>
            <w:tcW w:w="2125" w:type="dxa"/>
            <w:vMerge w:val="restart"/>
            <w:tcBorders>
              <w:top w:val="nil"/>
              <w:bottom w:val="nil"/>
              <w:right w:val="nil"/>
            </w:tcBorders>
            <w:noWrap/>
            <w:vAlign w:val="center"/>
            <w:hideMark/>
          </w:tcPr>
          <w:p w14:paraId="241E7A09" w14:textId="77777777" w:rsidR="00ED67FD" w:rsidRPr="007341EF" w:rsidRDefault="00ED67FD" w:rsidP="00547A4B">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2494" w:type="dxa"/>
            <w:tcBorders>
              <w:top w:val="nil"/>
              <w:left w:val="nil"/>
              <w:bottom w:val="nil"/>
              <w:right w:val="nil"/>
            </w:tcBorders>
            <w:noWrap/>
            <w:hideMark/>
          </w:tcPr>
          <w:p w14:paraId="403C663D"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vAlign w:val="bottom"/>
            <w:hideMark/>
          </w:tcPr>
          <w:p w14:paraId="682B0A20" w14:textId="77777777" w:rsidR="00ED67FD" w:rsidRPr="00D12921" w:rsidRDefault="00ED67FD" w:rsidP="00547A4B">
            <w:pPr>
              <w:jc w:val="center"/>
              <w:rPr>
                <w:rFonts w:ascii="Times New Roman" w:hAnsi="Times New Roman" w:cs="Times New Roman"/>
                <w:color w:val="000000" w:themeColor="text1"/>
              </w:rPr>
            </w:pPr>
          </w:p>
        </w:tc>
        <w:tc>
          <w:tcPr>
            <w:tcW w:w="1981" w:type="dxa"/>
            <w:tcBorders>
              <w:top w:val="nil"/>
              <w:left w:val="nil"/>
              <w:bottom w:val="nil"/>
              <w:right w:val="nil"/>
            </w:tcBorders>
            <w:noWrap/>
            <w:vAlign w:val="bottom"/>
            <w:hideMark/>
          </w:tcPr>
          <w:p w14:paraId="563050E7" w14:textId="77777777" w:rsidR="00ED67FD" w:rsidRPr="00D12921" w:rsidRDefault="00ED67FD" w:rsidP="00547A4B">
            <w:pPr>
              <w:jc w:val="center"/>
              <w:rPr>
                <w:rFonts w:ascii="Times New Roman" w:hAnsi="Times New Roman" w:cs="Times New Roman"/>
              </w:rPr>
            </w:pPr>
          </w:p>
        </w:tc>
        <w:tc>
          <w:tcPr>
            <w:tcW w:w="1260" w:type="dxa"/>
            <w:tcBorders>
              <w:top w:val="nil"/>
              <w:left w:val="nil"/>
              <w:bottom w:val="nil"/>
              <w:right w:val="single" w:sz="4" w:space="0" w:color="auto"/>
            </w:tcBorders>
            <w:noWrap/>
            <w:vAlign w:val="bottom"/>
            <w:hideMark/>
          </w:tcPr>
          <w:p w14:paraId="169CA19C" w14:textId="77777777" w:rsidR="00ED67FD" w:rsidRPr="00D12921" w:rsidRDefault="00ED67FD" w:rsidP="00547A4B">
            <w:pPr>
              <w:jc w:val="center"/>
              <w:rPr>
                <w:rFonts w:ascii="Times New Roman" w:hAnsi="Times New Roman" w:cs="Times New Roman"/>
              </w:rPr>
            </w:pPr>
          </w:p>
        </w:tc>
      </w:tr>
      <w:tr w:rsidR="00ED67FD" w:rsidRPr="00D12921" w14:paraId="1FD81934" w14:textId="77777777" w:rsidTr="00ED67FD">
        <w:trPr>
          <w:trHeight w:val="243"/>
        </w:trPr>
        <w:tc>
          <w:tcPr>
            <w:tcW w:w="2125" w:type="dxa"/>
            <w:vMerge/>
            <w:tcBorders>
              <w:top w:val="nil"/>
              <w:bottom w:val="nil"/>
              <w:right w:val="nil"/>
            </w:tcBorders>
            <w:noWrap/>
            <w:vAlign w:val="center"/>
            <w:hideMark/>
          </w:tcPr>
          <w:p w14:paraId="57981279" w14:textId="77777777" w:rsidR="00ED67FD" w:rsidRPr="007341EF" w:rsidRDefault="00ED67FD" w:rsidP="00547A4B">
            <w:pPr>
              <w:jc w:val="center"/>
              <w:rPr>
                <w:rFonts w:ascii="Times New Roman" w:hAnsi="Times New Roman" w:cs="Times New Roman"/>
              </w:rPr>
            </w:pPr>
          </w:p>
        </w:tc>
        <w:tc>
          <w:tcPr>
            <w:tcW w:w="2494" w:type="dxa"/>
            <w:tcBorders>
              <w:top w:val="nil"/>
              <w:left w:val="nil"/>
              <w:bottom w:val="nil"/>
              <w:right w:val="nil"/>
            </w:tcBorders>
            <w:noWrap/>
            <w:hideMark/>
          </w:tcPr>
          <w:p w14:paraId="00098859"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08C07063" w14:textId="77777777" w:rsidR="00ED67FD" w:rsidRPr="00D12921" w:rsidRDefault="00ED67FD" w:rsidP="00547A4B">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-16.65</w:t>
            </w:r>
          </w:p>
        </w:tc>
        <w:tc>
          <w:tcPr>
            <w:tcW w:w="1981" w:type="dxa"/>
            <w:tcBorders>
              <w:top w:val="nil"/>
              <w:left w:val="nil"/>
              <w:bottom w:val="nil"/>
              <w:right w:val="nil"/>
            </w:tcBorders>
            <w:noWrap/>
            <w:hideMark/>
          </w:tcPr>
          <w:p w14:paraId="59A44654"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-26.78</w:t>
            </w:r>
          </w:p>
        </w:tc>
        <w:tc>
          <w:tcPr>
            <w:tcW w:w="1260" w:type="dxa"/>
            <w:tcBorders>
              <w:top w:val="nil"/>
              <w:left w:val="nil"/>
              <w:bottom w:val="nil"/>
              <w:right w:val="single" w:sz="4" w:space="0" w:color="auto"/>
            </w:tcBorders>
            <w:noWrap/>
            <w:hideMark/>
          </w:tcPr>
          <w:p w14:paraId="0E2AED23"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-5.10</w:t>
            </w:r>
          </w:p>
        </w:tc>
      </w:tr>
      <w:tr w:rsidR="00ED67FD" w:rsidRPr="00D12921" w14:paraId="15A14CFE" w14:textId="77777777" w:rsidTr="00ED67FD">
        <w:trPr>
          <w:trHeight w:val="243"/>
        </w:trPr>
        <w:tc>
          <w:tcPr>
            <w:tcW w:w="2125" w:type="dxa"/>
            <w:vMerge/>
            <w:tcBorders>
              <w:top w:val="nil"/>
              <w:bottom w:val="nil"/>
              <w:right w:val="nil"/>
            </w:tcBorders>
            <w:noWrap/>
            <w:vAlign w:val="center"/>
            <w:hideMark/>
          </w:tcPr>
          <w:p w14:paraId="404BB04A" w14:textId="77777777" w:rsidR="00ED67FD" w:rsidRPr="007341EF" w:rsidRDefault="00ED67FD" w:rsidP="00547A4B">
            <w:pPr>
              <w:jc w:val="center"/>
              <w:rPr>
                <w:rFonts w:ascii="Times New Roman" w:hAnsi="Times New Roman" w:cs="Times New Roman"/>
              </w:rPr>
            </w:pPr>
          </w:p>
        </w:tc>
        <w:tc>
          <w:tcPr>
            <w:tcW w:w="2494" w:type="dxa"/>
            <w:tcBorders>
              <w:top w:val="nil"/>
              <w:left w:val="nil"/>
              <w:bottom w:val="nil"/>
              <w:right w:val="nil"/>
            </w:tcBorders>
            <w:noWrap/>
            <w:hideMark/>
          </w:tcPr>
          <w:p w14:paraId="32B6DCE7"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2C45517A" w14:textId="77777777" w:rsidR="00ED67FD" w:rsidRPr="00D12921" w:rsidRDefault="00ED67FD" w:rsidP="00547A4B">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-14.81</w:t>
            </w:r>
          </w:p>
        </w:tc>
        <w:tc>
          <w:tcPr>
            <w:tcW w:w="1981" w:type="dxa"/>
            <w:tcBorders>
              <w:top w:val="nil"/>
              <w:left w:val="nil"/>
              <w:bottom w:val="nil"/>
              <w:right w:val="nil"/>
            </w:tcBorders>
            <w:noWrap/>
            <w:hideMark/>
          </w:tcPr>
          <w:p w14:paraId="7A537AB3"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-28.35</w:t>
            </w:r>
          </w:p>
        </w:tc>
        <w:tc>
          <w:tcPr>
            <w:tcW w:w="1260" w:type="dxa"/>
            <w:tcBorders>
              <w:top w:val="nil"/>
              <w:left w:val="nil"/>
              <w:bottom w:val="nil"/>
              <w:right w:val="single" w:sz="4" w:space="0" w:color="auto"/>
            </w:tcBorders>
            <w:noWrap/>
            <w:hideMark/>
          </w:tcPr>
          <w:p w14:paraId="6F972CDF"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1.29</w:t>
            </w:r>
          </w:p>
        </w:tc>
      </w:tr>
      <w:tr w:rsidR="00ED67FD" w:rsidRPr="00D12921" w14:paraId="620D5976" w14:textId="77777777" w:rsidTr="00ED67FD">
        <w:trPr>
          <w:trHeight w:val="243"/>
        </w:trPr>
        <w:tc>
          <w:tcPr>
            <w:tcW w:w="2125" w:type="dxa"/>
            <w:vMerge/>
            <w:tcBorders>
              <w:top w:val="nil"/>
              <w:bottom w:val="nil"/>
              <w:right w:val="nil"/>
            </w:tcBorders>
            <w:noWrap/>
            <w:vAlign w:val="center"/>
            <w:hideMark/>
          </w:tcPr>
          <w:p w14:paraId="681367FD" w14:textId="77777777" w:rsidR="00ED67FD" w:rsidRPr="007341EF" w:rsidRDefault="00ED67FD" w:rsidP="00547A4B">
            <w:pPr>
              <w:jc w:val="center"/>
              <w:rPr>
                <w:rFonts w:ascii="Times New Roman" w:hAnsi="Times New Roman" w:cs="Times New Roman"/>
                <w:b/>
                <w:bCs/>
              </w:rPr>
            </w:pPr>
          </w:p>
        </w:tc>
        <w:tc>
          <w:tcPr>
            <w:tcW w:w="2494" w:type="dxa"/>
            <w:tcBorders>
              <w:top w:val="nil"/>
              <w:left w:val="nil"/>
              <w:bottom w:val="nil"/>
              <w:right w:val="nil"/>
            </w:tcBorders>
            <w:noWrap/>
            <w:hideMark/>
          </w:tcPr>
          <w:p w14:paraId="4B894C32"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6D3CFA98" w14:textId="77777777" w:rsidR="00ED67FD" w:rsidRPr="00D12921" w:rsidRDefault="00ED67FD" w:rsidP="00547A4B">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-21.53</w:t>
            </w:r>
          </w:p>
        </w:tc>
        <w:tc>
          <w:tcPr>
            <w:tcW w:w="1981" w:type="dxa"/>
            <w:tcBorders>
              <w:top w:val="nil"/>
              <w:left w:val="nil"/>
              <w:bottom w:val="nil"/>
              <w:right w:val="nil"/>
            </w:tcBorders>
            <w:noWrap/>
            <w:hideMark/>
          </w:tcPr>
          <w:p w14:paraId="576690A7"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-35.05</w:t>
            </w:r>
          </w:p>
        </w:tc>
        <w:tc>
          <w:tcPr>
            <w:tcW w:w="1260" w:type="dxa"/>
            <w:tcBorders>
              <w:top w:val="nil"/>
              <w:left w:val="nil"/>
              <w:bottom w:val="nil"/>
              <w:right w:val="single" w:sz="4" w:space="0" w:color="auto"/>
            </w:tcBorders>
            <w:noWrap/>
            <w:hideMark/>
          </w:tcPr>
          <w:p w14:paraId="14C8450A"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-5.18</w:t>
            </w:r>
          </w:p>
        </w:tc>
      </w:tr>
      <w:tr w:rsidR="00ED67FD" w:rsidRPr="00D12921" w14:paraId="3F1B5B00" w14:textId="77777777" w:rsidTr="00ED67FD">
        <w:trPr>
          <w:trHeight w:val="243"/>
        </w:trPr>
        <w:tc>
          <w:tcPr>
            <w:tcW w:w="2125" w:type="dxa"/>
            <w:vMerge w:val="restart"/>
            <w:tcBorders>
              <w:top w:val="nil"/>
              <w:bottom w:val="nil"/>
              <w:right w:val="nil"/>
            </w:tcBorders>
            <w:noWrap/>
            <w:vAlign w:val="center"/>
            <w:hideMark/>
          </w:tcPr>
          <w:p w14:paraId="352DF2FD" w14:textId="77777777" w:rsidR="00ED67FD" w:rsidRPr="007341EF" w:rsidRDefault="00ED67FD" w:rsidP="00547A4B">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2494" w:type="dxa"/>
            <w:tcBorders>
              <w:top w:val="nil"/>
              <w:left w:val="nil"/>
              <w:bottom w:val="nil"/>
              <w:right w:val="nil"/>
            </w:tcBorders>
            <w:noWrap/>
            <w:hideMark/>
          </w:tcPr>
          <w:p w14:paraId="3ECF95B3"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vAlign w:val="bottom"/>
            <w:hideMark/>
          </w:tcPr>
          <w:p w14:paraId="3CAEB9F0" w14:textId="77777777" w:rsidR="00ED67FD" w:rsidRPr="00D12921" w:rsidRDefault="00ED67FD" w:rsidP="00547A4B">
            <w:pPr>
              <w:jc w:val="center"/>
              <w:rPr>
                <w:rFonts w:ascii="Times New Roman" w:hAnsi="Times New Roman" w:cs="Times New Roman"/>
                <w:color w:val="000000" w:themeColor="text1"/>
              </w:rPr>
            </w:pPr>
          </w:p>
        </w:tc>
        <w:tc>
          <w:tcPr>
            <w:tcW w:w="1981" w:type="dxa"/>
            <w:tcBorders>
              <w:top w:val="nil"/>
              <w:left w:val="nil"/>
              <w:bottom w:val="nil"/>
              <w:right w:val="nil"/>
            </w:tcBorders>
            <w:noWrap/>
            <w:vAlign w:val="bottom"/>
            <w:hideMark/>
          </w:tcPr>
          <w:p w14:paraId="161FF1B9" w14:textId="77777777" w:rsidR="00ED67FD" w:rsidRPr="00D12921" w:rsidRDefault="00ED67FD" w:rsidP="00547A4B">
            <w:pPr>
              <w:jc w:val="center"/>
              <w:rPr>
                <w:rFonts w:ascii="Times New Roman" w:hAnsi="Times New Roman" w:cs="Times New Roman"/>
              </w:rPr>
            </w:pPr>
          </w:p>
        </w:tc>
        <w:tc>
          <w:tcPr>
            <w:tcW w:w="1260" w:type="dxa"/>
            <w:tcBorders>
              <w:top w:val="nil"/>
              <w:left w:val="nil"/>
              <w:bottom w:val="nil"/>
              <w:right w:val="single" w:sz="4" w:space="0" w:color="auto"/>
            </w:tcBorders>
            <w:noWrap/>
            <w:vAlign w:val="bottom"/>
            <w:hideMark/>
          </w:tcPr>
          <w:p w14:paraId="62890F43" w14:textId="77777777" w:rsidR="00ED67FD" w:rsidRPr="00D12921" w:rsidRDefault="00ED67FD" w:rsidP="00547A4B">
            <w:pPr>
              <w:jc w:val="center"/>
              <w:rPr>
                <w:rFonts w:ascii="Times New Roman" w:hAnsi="Times New Roman" w:cs="Times New Roman"/>
              </w:rPr>
            </w:pPr>
          </w:p>
        </w:tc>
      </w:tr>
      <w:tr w:rsidR="00ED67FD" w:rsidRPr="00D12921" w14:paraId="72A29D81" w14:textId="77777777" w:rsidTr="00ED67FD">
        <w:trPr>
          <w:trHeight w:val="243"/>
        </w:trPr>
        <w:tc>
          <w:tcPr>
            <w:tcW w:w="2125" w:type="dxa"/>
            <w:vMerge/>
            <w:tcBorders>
              <w:top w:val="nil"/>
              <w:bottom w:val="nil"/>
              <w:right w:val="nil"/>
            </w:tcBorders>
            <w:noWrap/>
            <w:vAlign w:val="center"/>
            <w:hideMark/>
          </w:tcPr>
          <w:p w14:paraId="177EEACA" w14:textId="77777777" w:rsidR="00ED67FD" w:rsidRPr="007341EF" w:rsidRDefault="00ED67FD" w:rsidP="00547A4B">
            <w:pPr>
              <w:jc w:val="center"/>
              <w:rPr>
                <w:rFonts w:ascii="Times New Roman" w:hAnsi="Times New Roman" w:cs="Times New Roman"/>
              </w:rPr>
            </w:pPr>
          </w:p>
        </w:tc>
        <w:tc>
          <w:tcPr>
            <w:tcW w:w="2494" w:type="dxa"/>
            <w:tcBorders>
              <w:top w:val="nil"/>
              <w:left w:val="nil"/>
              <w:bottom w:val="nil"/>
              <w:right w:val="nil"/>
            </w:tcBorders>
            <w:noWrap/>
            <w:hideMark/>
          </w:tcPr>
          <w:p w14:paraId="7B020E69"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18EFD9D8" w14:textId="77777777" w:rsidR="00ED67FD" w:rsidRPr="00D12921" w:rsidRDefault="00ED67FD" w:rsidP="00547A4B">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-16.26</w:t>
            </w:r>
          </w:p>
        </w:tc>
        <w:tc>
          <w:tcPr>
            <w:tcW w:w="1981" w:type="dxa"/>
            <w:tcBorders>
              <w:top w:val="nil"/>
              <w:left w:val="nil"/>
              <w:bottom w:val="nil"/>
              <w:right w:val="nil"/>
            </w:tcBorders>
            <w:noWrap/>
            <w:hideMark/>
          </w:tcPr>
          <w:p w14:paraId="4484E525"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-28.75</w:t>
            </w:r>
          </w:p>
        </w:tc>
        <w:tc>
          <w:tcPr>
            <w:tcW w:w="1260" w:type="dxa"/>
            <w:tcBorders>
              <w:top w:val="nil"/>
              <w:left w:val="nil"/>
              <w:bottom w:val="nil"/>
              <w:right w:val="single" w:sz="4" w:space="0" w:color="auto"/>
            </w:tcBorders>
            <w:noWrap/>
            <w:hideMark/>
          </w:tcPr>
          <w:p w14:paraId="3957A6B1"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-1.59</w:t>
            </w:r>
          </w:p>
        </w:tc>
      </w:tr>
      <w:tr w:rsidR="00ED67FD" w:rsidRPr="00D12921" w14:paraId="77E8A778" w14:textId="77777777" w:rsidTr="00ED67FD">
        <w:trPr>
          <w:trHeight w:val="243"/>
        </w:trPr>
        <w:tc>
          <w:tcPr>
            <w:tcW w:w="2125" w:type="dxa"/>
            <w:vMerge/>
            <w:tcBorders>
              <w:top w:val="nil"/>
              <w:bottom w:val="nil"/>
              <w:right w:val="nil"/>
            </w:tcBorders>
            <w:noWrap/>
            <w:vAlign w:val="center"/>
            <w:hideMark/>
          </w:tcPr>
          <w:p w14:paraId="63814975" w14:textId="77777777" w:rsidR="00ED67FD" w:rsidRPr="007341EF" w:rsidRDefault="00ED67FD" w:rsidP="00547A4B">
            <w:pPr>
              <w:jc w:val="center"/>
              <w:rPr>
                <w:rFonts w:ascii="Times New Roman" w:hAnsi="Times New Roman" w:cs="Times New Roman"/>
                <w:b/>
                <w:bCs/>
              </w:rPr>
            </w:pPr>
          </w:p>
        </w:tc>
        <w:tc>
          <w:tcPr>
            <w:tcW w:w="2494" w:type="dxa"/>
            <w:tcBorders>
              <w:top w:val="nil"/>
              <w:left w:val="nil"/>
              <w:bottom w:val="nil"/>
              <w:right w:val="nil"/>
            </w:tcBorders>
            <w:noWrap/>
            <w:hideMark/>
          </w:tcPr>
          <w:p w14:paraId="71EC0769"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06E5354B" w14:textId="77777777" w:rsidR="00ED67FD" w:rsidRPr="00D12921" w:rsidRDefault="00ED67FD" w:rsidP="00547A4B">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-15.16</w:t>
            </w:r>
          </w:p>
        </w:tc>
        <w:tc>
          <w:tcPr>
            <w:tcW w:w="1981" w:type="dxa"/>
            <w:tcBorders>
              <w:top w:val="nil"/>
              <w:left w:val="nil"/>
              <w:bottom w:val="nil"/>
              <w:right w:val="nil"/>
            </w:tcBorders>
            <w:noWrap/>
            <w:hideMark/>
          </w:tcPr>
          <w:p w14:paraId="223A322C"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-32.01</w:t>
            </w:r>
          </w:p>
        </w:tc>
        <w:tc>
          <w:tcPr>
            <w:tcW w:w="1260" w:type="dxa"/>
            <w:tcBorders>
              <w:top w:val="nil"/>
              <w:left w:val="nil"/>
              <w:bottom w:val="nil"/>
              <w:right w:val="single" w:sz="4" w:space="0" w:color="auto"/>
            </w:tcBorders>
            <w:noWrap/>
            <w:hideMark/>
          </w:tcPr>
          <w:p w14:paraId="2DA3971B"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5.85</w:t>
            </w:r>
          </w:p>
        </w:tc>
      </w:tr>
      <w:tr w:rsidR="00ED67FD" w:rsidRPr="00D12921" w14:paraId="5116848F" w14:textId="77777777" w:rsidTr="00ED67FD">
        <w:trPr>
          <w:trHeight w:val="243"/>
        </w:trPr>
        <w:tc>
          <w:tcPr>
            <w:tcW w:w="2125" w:type="dxa"/>
            <w:vMerge/>
            <w:tcBorders>
              <w:top w:val="nil"/>
              <w:bottom w:val="single" w:sz="4" w:space="0" w:color="auto"/>
              <w:right w:val="nil"/>
            </w:tcBorders>
            <w:noWrap/>
            <w:vAlign w:val="center"/>
            <w:hideMark/>
          </w:tcPr>
          <w:p w14:paraId="336D9D6E" w14:textId="77777777" w:rsidR="00ED67FD" w:rsidRPr="007341EF" w:rsidRDefault="00ED67FD" w:rsidP="00547A4B">
            <w:pPr>
              <w:jc w:val="center"/>
              <w:rPr>
                <w:rFonts w:ascii="Times New Roman" w:hAnsi="Times New Roman" w:cs="Times New Roman"/>
                <w:b/>
                <w:bCs/>
              </w:rPr>
            </w:pPr>
          </w:p>
        </w:tc>
        <w:tc>
          <w:tcPr>
            <w:tcW w:w="2494" w:type="dxa"/>
            <w:tcBorders>
              <w:top w:val="nil"/>
              <w:left w:val="nil"/>
              <w:bottom w:val="single" w:sz="4" w:space="0" w:color="auto"/>
              <w:right w:val="nil"/>
            </w:tcBorders>
            <w:noWrap/>
            <w:hideMark/>
          </w:tcPr>
          <w:p w14:paraId="0F3D61F3"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single" w:sz="4" w:space="0" w:color="auto"/>
              <w:right w:val="nil"/>
            </w:tcBorders>
            <w:noWrap/>
            <w:hideMark/>
          </w:tcPr>
          <w:p w14:paraId="40E36AB7" w14:textId="77777777" w:rsidR="00ED67FD" w:rsidRPr="00D12921" w:rsidRDefault="00ED67FD" w:rsidP="00547A4B">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-25.08</w:t>
            </w:r>
          </w:p>
        </w:tc>
        <w:tc>
          <w:tcPr>
            <w:tcW w:w="1981" w:type="dxa"/>
            <w:tcBorders>
              <w:top w:val="nil"/>
              <w:left w:val="nil"/>
              <w:bottom w:val="single" w:sz="4" w:space="0" w:color="auto"/>
              <w:right w:val="nil"/>
            </w:tcBorders>
            <w:noWrap/>
            <w:hideMark/>
          </w:tcPr>
          <w:p w14:paraId="6F81B43C"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-40.79</w:t>
            </w:r>
          </w:p>
        </w:tc>
        <w:tc>
          <w:tcPr>
            <w:tcW w:w="1260" w:type="dxa"/>
            <w:tcBorders>
              <w:top w:val="nil"/>
              <w:left w:val="nil"/>
              <w:bottom w:val="single" w:sz="4" w:space="0" w:color="auto"/>
              <w:right w:val="single" w:sz="4" w:space="0" w:color="auto"/>
            </w:tcBorders>
            <w:noWrap/>
            <w:hideMark/>
          </w:tcPr>
          <w:p w14:paraId="5DEC661E"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-5.20</w:t>
            </w:r>
          </w:p>
        </w:tc>
      </w:tr>
    </w:tbl>
    <w:p w14:paraId="34F9CF2F" w14:textId="77777777" w:rsidR="00FC1D8D" w:rsidRDefault="00FC1D8D" w:rsidP="00FC1D8D">
      <w:pPr>
        <w:spacing w:line="240" w:lineRule="auto"/>
        <w:rPr>
          <w:rFonts w:ascii="Times New Roman" w:hAnsi="Times New Roman" w:cs="Times New Roman"/>
          <w:b/>
          <w:bCs/>
          <w:color w:val="000000" w:themeColor="text1"/>
          <w:sz w:val="26"/>
          <w:szCs w:val="26"/>
        </w:rPr>
      </w:pPr>
    </w:p>
    <w:p w14:paraId="64A4A0E3" w14:textId="77777777" w:rsidR="00FC1D8D" w:rsidRDefault="00FC1D8D" w:rsidP="00FC1D8D">
      <w:pPr>
        <w:spacing w:line="240" w:lineRule="auto"/>
        <w:rPr>
          <w:rFonts w:ascii="Times New Roman" w:hAnsi="Times New Roman" w:cs="Times New Roman"/>
          <w:b/>
          <w:bCs/>
          <w:color w:val="000000" w:themeColor="text1"/>
          <w:sz w:val="26"/>
          <w:szCs w:val="26"/>
        </w:rPr>
      </w:pPr>
    </w:p>
    <w:p w14:paraId="618B6FF4" w14:textId="77777777" w:rsidR="00FC1D8D" w:rsidRDefault="00FC1D8D" w:rsidP="00FC1D8D">
      <w:pPr>
        <w:spacing w:line="240" w:lineRule="auto"/>
        <w:rPr>
          <w:rFonts w:ascii="Times New Roman" w:hAnsi="Times New Roman" w:cs="Times New Roman"/>
          <w:b/>
          <w:bCs/>
          <w:color w:val="000000" w:themeColor="text1"/>
          <w:sz w:val="26"/>
          <w:szCs w:val="26"/>
        </w:rPr>
      </w:pPr>
    </w:p>
    <w:p w14:paraId="2A4768D7" w14:textId="77777777" w:rsidR="00FC1D8D" w:rsidRDefault="00FC1D8D" w:rsidP="00FC1D8D">
      <w:pPr>
        <w:spacing w:line="240" w:lineRule="auto"/>
        <w:rPr>
          <w:rFonts w:ascii="Times New Roman" w:hAnsi="Times New Roman" w:cs="Times New Roman"/>
          <w:b/>
          <w:bCs/>
          <w:color w:val="000000" w:themeColor="text1"/>
          <w:sz w:val="26"/>
          <w:szCs w:val="26"/>
        </w:rPr>
      </w:pPr>
    </w:p>
    <w:p w14:paraId="2A6547D1" w14:textId="77777777" w:rsidR="00FC1D8D" w:rsidRDefault="00FC1D8D" w:rsidP="00FC1D8D">
      <w:pPr>
        <w:spacing w:line="240" w:lineRule="auto"/>
        <w:rPr>
          <w:rFonts w:ascii="Times New Roman" w:hAnsi="Times New Roman" w:cs="Times New Roman"/>
          <w:b/>
          <w:bCs/>
          <w:color w:val="000000" w:themeColor="text1"/>
          <w:sz w:val="26"/>
          <w:szCs w:val="26"/>
        </w:rPr>
      </w:pPr>
    </w:p>
    <w:p w14:paraId="0C4EBF81" w14:textId="77777777" w:rsidR="00FC1D8D" w:rsidRPr="00E84535" w:rsidRDefault="00FC1D8D" w:rsidP="00FC1D8D">
      <w:pPr>
        <w:spacing w:line="240" w:lineRule="auto"/>
        <w:rPr>
          <w:rFonts w:ascii="Times New Roman" w:hAnsi="Times New Roman" w:cs="Times New Roman"/>
          <w:kern w:val="0"/>
        </w:rPr>
      </w:pPr>
    </w:p>
    <w:p w14:paraId="4B2FB578" w14:textId="50466E74" w:rsidR="0086036C" w:rsidRPr="00277350" w:rsidRDefault="0086036C" w:rsidP="007F5055">
      <w:pPr>
        <w:pStyle w:val="ListParagraph"/>
        <w:numPr>
          <w:ilvl w:val="0"/>
          <w:numId w:val="3"/>
        </w:numPr>
        <w:spacing w:after="0" w:line="240" w:lineRule="auto"/>
        <w:rPr>
          <w:rFonts w:ascii="Times New Roman" w:hAnsi="Times New Roman" w:cs="Times New Roman"/>
          <w:i/>
          <w:iCs/>
          <w:color w:val="000000" w:themeColor="text1"/>
        </w:rPr>
      </w:pPr>
      <w:r w:rsidRPr="00277350">
        <w:rPr>
          <w:rFonts w:ascii="Times New Roman" w:hAnsi="Times New Roman" w:cs="Times New Roman"/>
          <w:i/>
          <w:iCs/>
          <w:color w:val="000000" w:themeColor="text1"/>
        </w:rPr>
        <w:t xml:space="preserve">Values are adjusted percent differences in urinary phenol metabolite concentrations (ng/mL) compared to the High Food Secure category (reference group) based on multivariable linear regression models. adjusted for age, gender, education, cycle year, race/ethnicity, </w:t>
      </w:r>
      <w:r w:rsidR="001D5FBA" w:rsidRPr="00277350">
        <w:rPr>
          <w:rFonts w:ascii="Times New Roman" w:hAnsi="Times New Roman" w:cs="Times New Roman"/>
          <w:i/>
          <w:iCs/>
          <w:color w:val="000000" w:themeColor="text1"/>
        </w:rPr>
        <w:t>poverty-to-income</w:t>
      </w:r>
      <w:r w:rsidRPr="00277350">
        <w:rPr>
          <w:rFonts w:ascii="Times New Roman" w:hAnsi="Times New Roman" w:cs="Times New Roman"/>
          <w:i/>
          <w:iCs/>
          <w:color w:val="000000" w:themeColor="text1"/>
        </w:rPr>
        <w:t xml:space="preserve"> ratio and creatinine.</w:t>
      </w:r>
    </w:p>
    <w:p w14:paraId="0051A2A6" w14:textId="77777777" w:rsidR="0086036C" w:rsidRPr="00277350" w:rsidRDefault="0086036C" w:rsidP="007F5055">
      <w:pPr>
        <w:pStyle w:val="ListParagraph"/>
        <w:numPr>
          <w:ilvl w:val="0"/>
          <w:numId w:val="3"/>
        </w:numPr>
        <w:spacing w:after="0" w:line="240" w:lineRule="auto"/>
        <w:rPr>
          <w:rFonts w:ascii="Times New Roman" w:hAnsi="Times New Roman" w:cs="Times New Roman"/>
          <w:i/>
          <w:iCs/>
          <w:color w:val="000000" w:themeColor="text1"/>
        </w:rPr>
      </w:pPr>
      <w:r w:rsidRPr="00277350">
        <w:rPr>
          <w:rFonts w:ascii="Times New Roman" w:hAnsi="Times New Roman" w:cs="Times New Roman"/>
          <w:i/>
          <w:iCs/>
          <w:color w:val="000000" w:themeColor="text1"/>
        </w:rPr>
        <w:t>95% LCI= 95% lower confidence interval; 95% UCI= 95% upper confidence interval.</w:t>
      </w:r>
    </w:p>
    <w:p w14:paraId="56D97CEA" w14:textId="77777777" w:rsidR="0086036C" w:rsidRPr="00277350" w:rsidRDefault="0086036C" w:rsidP="007F5055">
      <w:pPr>
        <w:pStyle w:val="ListParagraph"/>
        <w:numPr>
          <w:ilvl w:val="0"/>
          <w:numId w:val="3"/>
        </w:numPr>
        <w:spacing w:after="0" w:line="240" w:lineRule="auto"/>
        <w:rPr>
          <w:rFonts w:ascii="Times New Roman" w:hAnsi="Times New Roman" w:cs="Times New Roman"/>
          <w:i/>
          <w:iCs/>
          <w:color w:val="000000" w:themeColor="text1"/>
        </w:rPr>
      </w:pPr>
      <w:r w:rsidRPr="00277350">
        <w:rPr>
          <w:rFonts w:ascii="Times New Roman" w:hAnsi="Times New Roman" w:cs="Times New Roman"/>
          <w:i/>
          <w:iCs/>
          <w:color w:val="000000" w:themeColor="text1"/>
        </w:rPr>
        <w:t xml:space="preserve">Abbreviations: BPA =Bisphenol A; BP3 =Bbenzophenone-3; TRS = </w:t>
      </w:r>
      <w:r w:rsidRPr="00277350">
        <w:rPr>
          <w:rFonts w:ascii="Times New Roman" w:hAnsi="Times New Roman" w:cs="Times New Roman"/>
          <w:color w:val="000000" w:themeColor="text1"/>
        </w:rPr>
        <w:t>2,4,4’-Trichloro-2’-hydroxyphenyl ether</w:t>
      </w:r>
      <w:r w:rsidRPr="00277350">
        <w:rPr>
          <w:rFonts w:ascii="Times New Roman" w:hAnsi="Times New Roman" w:cs="Times New Roman"/>
          <w:i/>
          <w:iCs/>
          <w:color w:val="000000" w:themeColor="text1"/>
        </w:rPr>
        <w:t>; EPB = ethyl paraben; MPB = methyl paraben; PPB = propyl paraben</w:t>
      </w:r>
      <w:r w:rsidRPr="00277350">
        <w:rPr>
          <w:rFonts w:ascii="Times New Roman" w:eastAsiaTheme="minorEastAsia" w:hAnsi="Times New Roman" w:cs="Times New Roman"/>
          <w:i/>
          <w:iCs/>
          <w:color w:val="000000" w:themeColor="text1"/>
        </w:rPr>
        <w:t xml:space="preserve">. </w:t>
      </w:r>
    </w:p>
    <w:p w14:paraId="709A0934" w14:textId="77777777" w:rsidR="0086036C" w:rsidRPr="00277350" w:rsidRDefault="0086036C" w:rsidP="0086036C">
      <w:pPr>
        <w:rPr>
          <w:rFonts w:ascii="Times New Roman" w:hAnsi="Times New Roman" w:cs="Times New Roman"/>
          <w:i/>
          <w:iCs/>
          <w:color w:val="000000" w:themeColor="text1"/>
        </w:rPr>
      </w:pPr>
    </w:p>
    <w:p w14:paraId="60600334" w14:textId="77777777" w:rsidR="0086036C" w:rsidRPr="00277350" w:rsidRDefault="0086036C" w:rsidP="0086036C">
      <w:pPr>
        <w:rPr>
          <w:rFonts w:ascii="Times New Roman" w:hAnsi="Times New Roman" w:cs="Times New Roman"/>
          <w:i/>
          <w:iCs/>
          <w:color w:val="000000" w:themeColor="text1"/>
        </w:rPr>
      </w:pPr>
      <w:r w:rsidRPr="00277350">
        <w:rPr>
          <w:rFonts w:ascii="Times New Roman" w:hAnsi="Times New Roman" w:cs="Times New Roman"/>
          <w:i/>
          <w:iCs/>
          <w:color w:val="000000" w:themeColor="text1"/>
        </w:rPr>
        <w:t>Main Analysis</w:t>
      </w:r>
    </w:p>
    <w:p w14:paraId="0AB3EE9B" w14:textId="77777777" w:rsidR="00FD789C" w:rsidRDefault="0086036C" w:rsidP="00FD789C">
      <w:pPr>
        <w:spacing w:after="0" w:line="240" w:lineRule="auto"/>
        <w:ind w:firstLine="720"/>
        <w:rPr>
          <w:rFonts w:ascii="Times New Roman" w:hAnsi="Times New Roman" w:cs="Times New Roman"/>
        </w:rPr>
      </w:pPr>
      <w:r w:rsidRPr="00277350">
        <w:rPr>
          <w:rFonts w:ascii="Times New Roman" w:hAnsi="Times New Roman" w:cs="Times New Roman"/>
        </w:rPr>
        <w:t>In creatinine adjusted models, reduced food security was associated with higher levels of BP3, TRS, and PPB compared to the reference. For instance, very low food security was associated with positive percent difference in BP3 (10.42%), TRS (27.84%) and PPB (20.60%) (Supplemental Table 1).  Reduced food security was generally associated with negative percent differences for remaining compared to high food secure levels.</w:t>
      </w:r>
      <w:r w:rsidR="00FD789C">
        <w:rPr>
          <w:rFonts w:ascii="Times New Roman" w:hAnsi="Times New Roman" w:cs="Times New Roman"/>
        </w:rPr>
        <w:t xml:space="preserve"> </w:t>
      </w:r>
    </w:p>
    <w:p w14:paraId="4FBEA265" w14:textId="689DD9A8" w:rsidR="0086036C" w:rsidRPr="00277350" w:rsidRDefault="0086036C" w:rsidP="00FD789C">
      <w:pPr>
        <w:spacing w:after="0" w:line="240" w:lineRule="auto"/>
        <w:ind w:firstLine="720"/>
        <w:rPr>
          <w:rFonts w:ascii="Times New Roman" w:hAnsi="Times New Roman" w:cs="Times New Roman"/>
        </w:rPr>
      </w:pPr>
      <w:r w:rsidRPr="00277350">
        <w:rPr>
          <w:rFonts w:ascii="Times New Roman" w:hAnsi="Times New Roman" w:cs="Times New Roman"/>
          <w:color w:val="000000" w:themeColor="text1"/>
        </w:rPr>
        <w:t xml:space="preserve">In adjusted analysis, several of these trends did not persist and food security was negatively associated with most urinary phenols indicating reduced food security was associated with lower metabolite levels compared to high food secure individuals. Benzophenone-3 (BP3) levels were lower among individuals with marginal </w:t>
      </w:r>
      <w:r w:rsidRPr="00277350">
        <w:rPr>
          <w:rFonts w:ascii="Times New Roman" w:eastAsia="Times New Roman" w:hAnsi="Times New Roman" w:cs="Times New Roman"/>
          <w:color w:val="000000" w:themeColor="text1"/>
        </w:rPr>
        <w:t>(-19.8% [95% CI: -31.7%, 5.9%])</w:t>
      </w:r>
      <w:r w:rsidRPr="00277350">
        <w:rPr>
          <w:rFonts w:ascii="Times New Roman" w:hAnsi="Times New Roman" w:cs="Times New Roman"/>
          <w:color w:val="000000" w:themeColor="text1"/>
        </w:rPr>
        <w:t xml:space="preserve">, low </w:t>
      </w:r>
      <w:r w:rsidRPr="00277350">
        <w:rPr>
          <w:rFonts w:ascii="Times New Roman" w:eastAsia="Times New Roman" w:hAnsi="Times New Roman" w:cs="Times New Roman"/>
          <w:color w:val="000000" w:themeColor="text1"/>
        </w:rPr>
        <w:t>(-17.4% [95% CI: -29.1%, -3.8%])</w:t>
      </w:r>
      <w:r w:rsidRPr="00277350">
        <w:rPr>
          <w:rFonts w:ascii="Times New Roman" w:hAnsi="Times New Roman" w:cs="Times New Roman"/>
          <w:color w:val="000000" w:themeColor="text1"/>
        </w:rPr>
        <w:t>, and very low</w:t>
      </w:r>
      <w:r w:rsidRPr="00277350">
        <w:rPr>
          <w:rFonts w:ascii="Times New Roman" w:eastAsia="Times New Roman" w:hAnsi="Times New Roman" w:cs="Times New Roman"/>
          <w:color w:val="000000" w:themeColor="text1"/>
        </w:rPr>
        <w:t xml:space="preserve"> (-19.6</w:t>
      </w:r>
      <w:r w:rsidR="00CE1027" w:rsidRPr="00277350">
        <w:rPr>
          <w:rFonts w:ascii="Times New Roman" w:eastAsia="Times New Roman" w:hAnsi="Times New Roman" w:cs="Times New Roman"/>
          <w:color w:val="000000" w:themeColor="text1"/>
        </w:rPr>
        <w:t>% [</w:t>
      </w:r>
      <w:r w:rsidRPr="00277350">
        <w:rPr>
          <w:rFonts w:ascii="Times New Roman" w:eastAsia="Times New Roman" w:hAnsi="Times New Roman" w:cs="Times New Roman"/>
          <w:color w:val="000000" w:themeColor="text1"/>
        </w:rPr>
        <w:t xml:space="preserve">95% CI: 35.3%, 0.02%]) food </w:t>
      </w:r>
      <w:r w:rsidRPr="00277350">
        <w:rPr>
          <w:rFonts w:ascii="Times New Roman" w:hAnsi="Times New Roman" w:cs="Times New Roman"/>
          <w:color w:val="000000" w:themeColor="text1"/>
        </w:rPr>
        <w:t>security groups compared to participants with high food security.</w:t>
      </w:r>
      <w:r w:rsidRPr="00277350">
        <w:rPr>
          <w:rFonts w:ascii="Times New Roman" w:eastAsia="Times New Roman" w:hAnsi="Times New Roman" w:cs="Times New Roman"/>
          <w:color w:val="000000" w:themeColor="text1"/>
        </w:rPr>
        <w:t xml:space="preserve"> </w:t>
      </w:r>
      <w:r w:rsidRPr="00277350">
        <w:rPr>
          <w:rFonts w:ascii="Times New Roman" w:hAnsi="Times New Roman" w:cs="Times New Roman"/>
          <w:color w:val="000000" w:themeColor="text1"/>
        </w:rPr>
        <w:t xml:space="preserve">While estimates for triclosan, and all parabens </w:t>
      </w:r>
      <w:r w:rsidR="00CE1027" w:rsidRPr="00277350">
        <w:rPr>
          <w:rFonts w:ascii="Times New Roman" w:hAnsi="Times New Roman" w:cs="Times New Roman"/>
          <w:color w:val="000000" w:themeColor="text1"/>
        </w:rPr>
        <w:t>similarly suggested</w:t>
      </w:r>
      <w:r w:rsidRPr="00277350">
        <w:rPr>
          <w:rFonts w:ascii="Times New Roman" w:hAnsi="Times New Roman" w:cs="Times New Roman"/>
          <w:color w:val="000000" w:themeColor="text1"/>
        </w:rPr>
        <w:t xml:space="preserve"> lower levels with reduced food security status, very low food security consistently showed the largest percent differences. Specifically, compared to individuals with high food security, very low food insecure individuals had significantly lower levels of triclosan (-24.46%, [95% CI: -36.76%, -9.77%]), ethyl paraben(-25.96%, [95% CI: -35.07%, -15.57%] , methyl paraben (-21.53%, [95% CI: -35.05%, -5.18%], and propyl paraben (-25.08%, [95% CI: -40.79%, -5.20%]. Additional associations with marginal food security for some not all parabens were observed. (Figure 1, Table 3). In contrast, BPA was the only urinary phenol with positive % differences, suggesting higher concentrations with decreasing food security; however, all CIs contained the null </w:t>
      </w:r>
      <w:r w:rsidRPr="00277350">
        <w:rPr>
          <w:rFonts w:ascii="Times New Roman" w:eastAsia="Times New Roman" w:hAnsi="Times New Roman" w:cs="Times New Roman"/>
          <w:color w:val="000000" w:themeColor="text1"/>
        </w:rPr>
        <w:t>(Figure 1, Table 3).</w:t>
      </w:r>
    </w:p>
    <w:p w14:paraId="5F68D315" w14:textId="77777777" w:rsidR="0086036C" w:rsidRPr="00277350" w:rsidRDefault="0086036C" w:rsidP="0086036C">
      <w:pPr>
        <w:rPr>
          <w:rFonts w:ascii="Times New Roman" w:hAnsi="Times New Roman" w:cs="Times New Roman"/>
          <w:i/>
          <w:iCs/>
          <w:color w:val="000000" w:themeColor="text1"/>
        </w:rPr>
      </w:pPr>
    </w:p>
    <w:p w14:paraId="5376B707" w14:textId="77777777" w:rsidR="0086036C" w:rsidRPr="00277350" w:rsidRDefault="0086036C" w:rsidP="0086036C">
      <w:pPr>
        <w:pStyle w:val="Heading1"/>
        <w:rPr>
          <w:rFonts w:ascii="Times New Roman" w:hAnsi="Times New Roman" w:cs="Times New Roman"/>
          <w:b/>
          <w:bCs/>
          <w:color w:val="000000" w:themeColor="text1"/>
          <w:sz w:val="26"/>
          <w:szCs w:val="26"/>
        </w:rPr>
      </w:pPr>
      <w:r w:rsidRPr="00277350">
        <w:rPr>
          <w:rFonts w:ascii="Times New Roman" w:hAnsi="Times New Roman" w:cs="Times New Roman"/>
          <w:b/>
          <w:bCs/>
          <w:noProof/>
          <w:color w:val="000000" w:themeColor="text1"/>
          <w:sz w:val="26"/>
          <w:szCs w:val="26"/>
        </w:rPr>
        <w:lastRenderedPageBreak/>
        <w:t xml:space="preserve">Figure 1: </w:t>
      </w:r>
      <w:r w:rsidRPr="00277350">
        <w:rPr>
          <w:rFonts w:ascii="Times New Roman" w:hAnsi="Times New Roman" w:cs="Times New Roman"/>
          <w:b/>
          <w:bCs/>
          <w:color w:val="000000" w:themeColor="text1"/>
          <w:sz w:val="26"/>
          <w:szCs w:val="26"/>
        </w:rPr>
        <w:t>Household Food Security Associations with Urinary Phenol Concentrations</w:t>
      </w:r>
    </w:p>
    <w:p w14:paraId="0C585EB0" w14:textId="77777777" w:rsidR="0086036C" w:rsidRPr="00277350" w:rsidRDefault="0086036C" w:rsidP="0086036C">
      <w:pPr>
        <w:rPr>
          <w:rFonts w:ascii="Times New Roman" w:hAnsi="Times New Roman" w:cs="Times New Roman"/>
        </w:rPr>
      </w:pPr>
      <w:r w:rsidRPr="00277350">
        <w:rPr>
          <w:rFonts w:ascii="Times New Roman" w:hAnsi="Times New Roman" w:cs="Times New Roman"/>
          <w:noProof/>
        </w:rPr>
        <w:drawing>
          <wp:inline distT="0" distB="0" distL="0" distR="0" wp14:anchorId="2E52BF9F" wp14:editId="0B409899">
            <wp:extent cx="6419330" cy="4386542"/>
            <wp:effectExtent l="0" t="0" r="0" b="0"/>
            <wp:docPr id="8" name="Picture 7" descr="A graph of a number of data&#10;&#10;AI-generated content may be incorrect.">
              <a:extLst xmlns:a="http://schemas.openxmlformats.org/drawingml/2006/main">
                <a:ext uri="{FF2B5EF4-FFF2-40B4-BE49-F238E27FC236}">
                  <a16:creationId xmlns:a16="http://schemas.microsoft.com/office/drawing/2014/main" id="{F357F6AC-794E-C6DB-B746-7252D8BAD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number of data&#10;&#10;AI-generated content may be incorrect.">
                      <a:extLst>
                        <a:ext uri="{FF2B5EF4-FFF2-40B4-BE49-F238E27FC236}">
                          <a16:creationId xmlns:a16="http://schemas.microsoft.com/office/drawing/2014/main" id="{F357F6AC-794E-C6DB-B746-7252D8BAD79A}"/>
                        </a:ext>
                      </a:extLst>
                    </pic:cNvPr>
                    <pic:cNvPicPr>
                      <a:picLocks noChangeAspect="1"/>
                    </pic:cNvPicPr>
                  </pic:nvPicPr>
                  <pic:blipFill>
                    <a:blip r:embed="rId7"/>
                    <a:srcRect r="24312"/>
                    <a:stretch>
                      <a:fillRect/>
                    </a:stretch>
                  </pic:blipFill>
                  <pic:spPr>
                    <a:xfrm>
                      <a:off x="0" y="0"/>
                      <a:ext cx="6450622" cy="4407925"/>
                    </a:xfrm>
                    <a:prstGeom prst="rect">
                      <a:avLst/>
                    </a:prstGeom>
                  </pic:spPr>
                </pic:pic>
              </a:graphicData>
            </a:graphic>
          </wp:inline>
        </w:drawing>
      </w:r>
    </w:p>
    <w:p w14:paraId="78091736" w14:textId="28F36600" w:rsidR="0086036C" w:rsidRPr="00277350" w:rsidRDefault="0086036C" w:rsidP="007F5055">
      <w:pPr>
        <w:pStyle w:val="ListParagraph"/>
        <w:numPr>
          <w:ilvl w:val="0"/>
          <w:numId w:val="6"/>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t>Panels A–G represent adjusted percent differences in urinary phenol metabolite concentrations. Reference is High Food Secure. Circles represent estimated percent differences; bars represent 95% confidence intervals. All models are adjusted for age, sex education, race/ethnicity, poverty-income ratio, cycle year, and creatinine.</w:t>
      </w:r>
    </w:p>
    <w:p w14:paraId="2EE5507D" w14:textId="10416F30" w:rsidR="0086036C" w:rsidRPr="00277350" w:rsidRDefault="0086036C" w:rsidP="00CE1027">
      <w:pPr>
        <w:pStyle w:val="Heading1"/>
        <w:rPr>
          <w:rFonts w:ascii="Times New Roman" w:hAnsi="Times New Roman" w:cs="Times New Roman"/>
          <w:b/>
          <w:bCs/>
          <w:color w:val="000000" w:themeColor="text1"/>
          <w:sz w:val="26"/>
          <w:szCs w:val="26"/>
        </w:rPr>
      </w:pPr>
      <w:r w:rsidRPr="00277350">
        <w:rPr>
          <w:rFonts w:ascii="Times New Roman" w:hAnsi="Times New Roman" w:cs="Times New Roman"/>
          <w:b/>
          <w:bCs/>
          <w:noProof/>
          <w:color w:val="000000" w:themeColor="text1"/>
          <w:sz w:val="26"/>
          <w:szCs w:val="26"/>
        </w:rPr>
        <w:lastRenderedPageBreak/>
        <w:t xml:space="preserve">Figure 2: Strata Specific </w:t>
      </w:r>
      <w:r w:rsidRPr="00277350">
        <w:rPr>
          <w:rFonts w:ascii="Times New Roman" w:hAnsi="Times New Roman" w:cs="Times New Roman"/>
          <w:b/>
          <w:bCs/>
          <w:color w:val="000000" w:themeColor="text1"/>
          <w:sz w:val="26"/>
          <w:szCs w:val="26"/>
        </w:rPr>
        <w:t>Adjusted Linear Regression Plot: Self-Reported Food Security Status and Urinary Phenol Metabolites with Sex Interaction</w:t>
      </w:r>
    </w:p>
    <w:p w14:paraId="2E4D9DAF" w14:textId="59B8E25F" w:rsidR="0086036C" w:rsidRPr="00277350" w:rsidRDefault="00CE1027" w:rsidP="0086036C">
      <w:pPr>
        <w:rPr>
          <w:rFonts w:ascii="Times New Roman" w:hAnsi="Times New Roman" w:cs="Times New Roman"/>
          <w:i/>
          <w:iCs/>
          <w:noProof/>
          <w:color w:val="000000" w:themeColor="text1"/>
        </w:rPr>
      </w:pPr>
      <w:r w:rsidRPr="00277350">
        <w:rPr>
          <w:rFonts w:ascii="Times New Roman" w:hAnsi="Times New Roman" w:cs="Times New Roman"/>
          <w:noProof/>
          <w:color w:val="000000" w:themeColor="text1"/>
        </w:rPr>
        <w:drawing>
          <wp:inline distT="0" distB="0" distL="0" distR="0" wp14:anchorId="7EC517E4" wp14:editId="7D5B878E">
            <wp:extent cx="6522085" cy="2887618"/>
            <wp:effectExtent l="0" t="0" r="5715" b="0"/>
            <wp:docPr id="214501063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2679" name="Picture 1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t="12879" b="31397"/>
                    <a:stretch>
                      <a:fillRect/>
                    </a:stretch>
                  </pic:blipFill>
                  <pic:spPr bwMode="auto">
                    <a:xfrm>
                      <a:off x="0" y="0"/>
                      <a:ext cx="6661745" cy="2949452"/>
                    </a:xfrm>
                    <a:prstGeom prst="rect">
                      <a:avLst/>
                    </a:prstGeom>
                    <a:ln>
                      <a:noFill/>
                    </a:ln>
                    <a:extLst>
                      <a:ext uri="{53640926-AAD7-44D8-BBD7-CCE9431645EC}">
                        <a14:shadowObscured xmlns:a14="http://schemas.microsoft.com/office/drawing/2010/main"/>
                      </a:ext>
                    </a:extLst>
                  </pic:spPr>
                </pic:pic>
              </a:graphicData>
            </a:graphic>
          </wp:inline>
        </w:drawing>
      </w:r>
    </w:p>
    <w:p w14:paraId="72A706FB" w14:textId="7E45B6B0" w:rsidR="0086036C" w:rsidRPr="00277350" w:rsidRDefault="00CE1027" w:rsidP="00CE1027">
      <w:pPr>
        <w:jc w:val="center"/>
        <w:rPr>
          <w:rFonts w:ascii="Times New Roman" w:hAnsi="Times New Roman" w:cs="Times New Roman"/>
          <w:noProof/>
          <w:color w:val="000000" w:themeColor="text1"/>
        </w:rPr>
      </w:pPr>
      <w:r w:rsidRPr="00277350">
        <w:rPr>
          <w:rFonts w:ascii="Times New Roman" w:hAnsi="Times New Roman" w:cs="Times New Roman"/>
          <w:noProof/>
          <w:color w:val="000000" w:themeColor="text1"/>
        </w:rPr>
        <w:drawing>
          <wp:inline distT="0" distB="0" distL="0" distR="0" wp14:anchorId="537E894E" wp14:editId="658A209F">
            <wp:extent cx="1530385" cy="313055"/>
            <wp:effectExtent l="0" t="0" r="6350" b="4445"/>
            <wp:docPr id="4634267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2679" name="Picture 11"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l="41720" t="94719" r="41782" b="1065"/>
                    <a:stretch>
                      <a:fillRect/>
                    </a:stretch>
                  </pic:blipFill>
                  <pic:spPr bwMode="auto">
                    <a:xfrm>
                      <a:off x="0" y="0"/>
                      <a:ext cx="1618409" cy="331061"/>
                    </a:xfrm>
                    <a:prstGeom prst="rect">
                      <a:avLst/>
                    </a:prstGeom>
                    <a:ln>
                      <a:noFill/>
                    </a:ln>
                    <a:extLst>
                      <a:ext uri="{53640926-AAD7-44D8-BBD7-CCE9431645EC}">
                        <a14:shadowObscured xmlns:a14="http://schemas.microsoft.com/office/drawing/2010/main"/>
                      </a:ext>
                    </a:extLst>
                  </pic:spPr>
                </pic:pic>
              </a:graphicData>
            </a:graphic>
          </wp:inline>
        </w:drawing>
      </w:r>
    </w:p>
    <w:p w14:paraId="0CC3C52C" w14:textId="77777777" w:rsidR="0086036C" w:rsidRPr="00277350" w:rsidRDefault="0086036C" w:rsidP="007F5055">
      <w:pPr>
        <w:pStyle w:val="ListParagraph"/>
        <w:numPr>
          <w:ilvl w:val="0"/>
          <w:numId w:val="4"/>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t>Sex stratified adjusted percent differences (95% confidence intervals) in urinary phenol metabolite</w:t>
      </w:r>
    </w:p>
    <w:p w14:paraId="4D6FD15F" w14:textId="390833C7" w:rsidR="0086036C" w:rsidRPr="00277350" w:rsidRDefault="0086036C" w:rsidP="007F5055">
      <w:pPr>
        <w:pStyle w:val="ListParagraph"/>
        <w:numPr>
          <w:ilvl w:val="0"/>
          <w:numId w:val="4"/>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t xml:space="preserve">Concentrations across food security levels, estmated from multivariable linear regression models adjusted for age, race and ethnicity, education, survey cycle, </w:t>
      </w:r>
      <w:r w:rsidR="001D5FBA" w:rsidRPr="00277350">
        <w:rPr>
          <w:rFonts w:ascii="Times New Roman" w:hAnsi="Times New Roman" w:cs="Times New Roman"/>
          <w:i/>
          <w:iCs/>
          <w:noProof/>
          <w:color w:val="000000" w:themeColor="text1"/>
        </w:rPr>
        <w:t>poverty-to-income</w:t>
      </w:r>
      <w:r w:rsidRPr="00277350">
        <w:rPr>
          <w:rFonts w:ascii="Times New Roman" w:hAnsi="Times New Roman" w:cs="Times New Roman"/>
          <w:i/>
          <w:iCs/>
          <w:noProof/>
          <w:color w:val="000000" w:themeColor="text1"/>
        </w:rPr>
        <w:t xml:space="preserve"> ratio and creatinine.</w:t>
      </w:r>
      <w:r w:rsidRPr="00277350">
        <w:rPr>
          <w:rFonts w:ascii="Times New Roman" w:hAnsi="Times New Roman" w:cs="Times New Roman"/>
        </w:rPr>
        <w:t xml:space="preserve"> </w:t>
      </w:r>
      <w:r w:rsidRPr="00277350">
        <w:rPr>
          <w:rFonts w:ascii="Times New Roman" w:hAnsi="Times New Roman" w:cs="Times New Roman"/>
          <w:i/>
          <w:iCs/>
          <w:noProof/>
          <w:color w:val="000000" w:themeColor="text1"/>
        </w:rPr>
        <w:t>High Food Secure is the reference group.</w:t>
      </w:r>
    </w:p>
    <w:p w14:paraId="55BFFFAE" w14:textId="77777777" w:rsidR="0086036C" w:rsidRPr="00277350" w:rsidRDefault="0086036C" w:rsidP="007F5055">
      <w:pPr>
        <w:pStyle w:val="ListParagraph"/>
        <w:numPr>
          <w:ilvl w:val="0"/>
          <w:numId w:val="4"/>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t>P</w:t>
      </w:r>
      <w:r w:rsidRPr="00277350">
        <w:rPr>
          <w:rFonts w:ascii="Times New Roman" w:hAnsi="Times New Roman" w:cs="Times New Roman"/>
          <w:i/>
          <w:iCs/>
          <w:noProof/>
          <w:color w:val="000000" w:themeColor="text1"/>
          <w:vertAlign w:val="subscript"/>
        </w:rPr>
        <w:t>interaction</w:t>
      </w:r>
      <w:r w:rsidRPr="00277350">
        <w:rPr>
          <w:rFonts w:ascii="Times New Roman" w:hAnsi="Times New Roman" w:cs="Times New Roman"/>
          <w:i/>
          <w:iCs/>
          <w:noProof/>
          <w:color w:val="000000" w:themeColor="text1"/>
        </w:rPr>
        <w:t xml:space="preserve"> values are reported from food security*sex interaction models, where food security is modeled as continuous variable. </w:t>
      </w:r>
    </w:p>
    <w:p w14:paraId="41C08BB4" w14:textId="77777777" w:rsidR="0086036C" w:rsidRPr="00277350" w:rsidRDefault="0086036C" w:rsidP="0086036C">
      <w:pPr>
        <w:pStyle w:val="ListParagraph"/>
        <w:rPr>
          <w:rFonts w:ascii="Times New Roman" w:hAnsi="Times New Roman" w:cs="Times New Roman"/>
          <w:i/>
          <w:iCs/>
          <w:noProof/>
          <w:color w:val="000000" w:themeColor="text1"/>
        </w:rPr>
      </w:pPr>
    </w:p>
    <w:p w14:paraId="12BC5BE6" w14:textId="77777777" w:rsidR="0086036C" w:rsidRPr="00277350" w:rsidRDefault="0086036C" w:rsidP="0086036C">
      <w:pPr>
        <w:rPr>
          <w:rFonts w:ascii="Times New Roman" w:hAnsi="Times New Roman" w:cs="Times New Roman"/>
          <w:i/>
          <w:iCs/>
          <w:color w:val="000000" w:themeColor="text1"/>
        </w:rPr>
      </w:pPr>
      <w:r w:rsidRPr="00277350">
        <w:rPr>
          <w:rFonts w:ascii="Times New Roman" w:hAnsi="Times New Roman" w:cs="Times New Roman"/>
          <w:i/>
          <w:iCs/>
          <w:color w:val="000000" w:themeColor="text1"/>
        </w:rPr>
        <w:t>Effect Measure Modification by Sex</w:t>
      </w:r>
    </w:p>
    <w:p w14:paraId="5F1E426C" w14:textId="77777777" w:rsidR="0086036C" w:rsidRPr="00277350" w:rsidRDefault="0086036C" w:rsidP="005951E4">
      <w:pPr>
        <w:spacing w:after="0" w:line="240" w:lineRule="auto"/>
        <w:ind w:firstLine="720"/>
        <w:rPr>
          <w:rFonts w:ascii="Times New Roman" w:hAnsi="Times New Roman" w:cs="Times New Roman"/>
          <w:color w:val="000000" w:themeColor="text1"/>
        </w:rPr>
      </w:pPr>
      <w:r w:rsidRPr="00277350">
        <w:rPr>
          <w:rFonts w:ascii="Times New Roman" w:hAnsi="Times New Roman" w:cs="Times New Roman"/>
          <w:color w:val="000000" w:themeColor="text1"/>
        </w:rPr>
        <w:t>Next, we assessed potential effect measure modification by sex. There was evidence of interaction for BPA (</w:t>
      </w:r>
      <w:proofErr w:type="spellStart"/>
      <w:r w:rsidRPr="00277350">
        <w:rPr>
          <w:rFonts w:ascii="Times New Roman" w:hAnsi="Times New Roman" w:cs="Times New Roman"/>
          <w:color w:val="000000" w:themeColor="text1"/>
        </w:rPr>
        <w:t>p</w:t>
      </w:r>
      <w:r w:rsidRPr="00277350">
        <w:rPr>
          <w:rFonts w:ascii="Times New Roman" w:hAnsi="Times New Roman" w:cs="Times New Roman"/>
          <w:color w:val="000000" w:themeColor="text1"/>
          <w:vertAlign w:val="subscript"/>
        </w:rPr>
        <w:t>interaction</w:t>
      </w:r>
      <w:proofErr w:type="spellEnd"/>
      <w:r w:rsidRPr="00277350">
        <w:rPr>
          <w:rFonts w:ascii="Times New Roman" w:hAnsi="Times New Roman" w:cs="Times New Roman"/>
          <w:color w:val="000000" w:themeColor="text1"/>
        </w:rPr>
        <w:t>=0.02), and all parabens (ethyl (p</w:t>
      </w:r>
      <w:r w:rsidRPr="00277350">
        <w:rPr>
          <w:rFonts w:ascii="Times New Roman" w:hAnsi="Times New Roman" w:cs="Times New Roman"/>
          <w:color w:val="000000" w:themeColor="text1"/>
          <w:vertAlign w:val="subscript"/>
        </w:rPr>
        <w:t>interaction</w:t>
      </w:r>
      <w:r w:rsidRPr="00277350">
        <w:rPr>
          <w:rFonts w:ascii="Times New Roman" w:hAnsi="Times New Roman" w:cs="Times New Roman"/>
          <w:color w:val="000000" w:themeColor="text1"/>
        </w:rPr>
        <w:t>&lt;0.01), methyl (p</w:t>
      </w:r>
      <w:r w:rsidRPr="00277350">
        <w:rPr>
          <w:rFonts w:ascii="Times New Roman" w:hAnsi="Times New Roman" w:cs="Times New Roman"/>
          <w:color w:val="000000" w:themeColor="text1"/>
          <w:vertAlign w:val="subscript"/>
        </w:rPr>
        <w:t xml:space="preserve">interaction </w:t>
      </w:r>
      <w:r w:rsidRPr="00277350">
        <w:rPr>
          <w:rFonts w:ascii="Times New Roman" w:hAnsi="Times New Roman" w:cs="Times New Roman"/>
          <w:color w:val="000000" w:themeColor="text1"/>
        </w:rPr>
        <w:t>&lt;0.01), propyl (p</w:t>
      </w:r>
      <w:r w:rsidRPr="00277350">
        <w:rPr>
          <w:rFonts w:ascii="Times New Roman" w:hAnsi="Times New Roman" w:cs="Times New Roman"/>
          <w:color w:val="000000" w:themeColor="text1"/>
          <w:vertAlign w:val="subscript"/>
        </w:rPr>
        <w:t>interaction</w:t>
      </w:r>
      <w:r w:rsidRPr="00277350">
        <w:rPr>
          <w:rFonts w:ascii="Times New Roman" w:hAnsi="Times New Roman" w:cs="Times New Roman"/>
          <w:color w:val="000000" w:themeColor="text1"/>
        </w:rPr>
        <w:t>&lt;0.01).</w:t>
      </w:r>
      <w:r w:rsidRPr="00277350">
        <w:rPr>
          <w:rFonts w:ascii="Times New Roman" w:hAnsi="Times New Roman" w:cs="Times New Roman"/>
          <w:color w:val="ED0000"/>
        </w:rPr>
        <w:t xml:space="preserve"> </w:t>
      </w:r>
      <w:r w:rsidRPr="00277350">
        <w:rPr>
          <w:rFonts w:ascii="Times New Roman" w:hAnsi="Times New Roman" w:cs="Times New Roman"/>
          <w:color w:val="000000" w:themeColor="text1"/>
        </w:rPr>
        <w:t xml:space="preserve">In stratum specific models, we estimated marginal means and reported percent differences. </w:t>
      </w:r>
    </w:p>
    <w:p w14:paraId="26E70818" w14:textId="77777777" w:rsidR="0086036C" w:rsidRPr="00277350" w:rsidRDefault="0086036C" w:rsidP="005951E4">
      <w:pPr>
        <w:spacing w:after="0" w:line="240" w:lineRule="auto"/>
        <w:ind w:firstLine="720"/>
        <w:rPr>
          <w:rFonts w:ascii="Times New Roman" w:hAnsi="Times New Roman" w:cs="Times New Roman"/>
          <w:color w:val="000000" w:themeColor="text1"/>
        </w:rPr>
      </w:pPr>
      <w:r w:rsidRPr="00277350">
        <w:rPr>
          <w:rFonts w:ascii="Times New Roman" w:hAnsi="Times New Roman" w:cs="Times New Roman"/>
          <w:color w:val="000000" w:themeColor="text1"/>
        </w:rPr>
        <w:t>For BPA estimates, both females and males exhibited positive differences with reduced food security exposure, although the association appeared to be slightly stronger among females. Specifically, females experiencing low (1.08%; [95% CI: -3.9%, 28.41%]); and very low food security (very low: 21.45%; [95% CI: -1.04%, 49.05%]) had higher BPA concentrations compared with females with high food security. Among males, estimates hovered around the null and were slightly lower among very low males (-5.35%; [95% CI: -21.46%, 14.06%]). compared to males experiencing high food security (Figure 2, Supplemental Table 2).</w:t>
      </w:r>
    </w:p>
    <w:p w14:paraId="082E58EA" w14:textId="77777777" w:rsidR="0086036C" w:rsidRPr="00277350" w:rsidRDefault="0086036C" w:rsidP="005951E4">
      <w:pPr>
        <w:spacing w:after="0" w:line="240" w:lineRule="auto"/>
        <w:ind w:firstLine="720"/>
        <w:rPr>
          <w:rFonts w:ascii="Times New Roman" w:hAnsi="Times New Roman" w:cs="Times New Roman"/>
          <w:color w:val="000000" w:themeColor="text1"/>
        </w:rPr>
      </w:pPr>
      <w:r w:rsidRPr="00277350">
        <w:rPr>
          <w:rFonts w:ascii="Times New Roman" w:hAnsi="Times New Roman" w:cs="Times New Roman"/>
          <w:color w:val="000000" w:themeColor="text1"/>
        </w:rPr>
        <w:t xml:space="preserve">Percent differences for parabens remained mostly negative within stratum of sex, and associations were stronger amongst females. Among females experiencing high food security, </w:t>
      </w:r>
      <w:r w:rsidRPr="00277350">
        <w:rPr>
          <w:rFonts w:ascii="Times New Roman" w:hAnsi="Times New Roman" w:cs="Times New Roman"/>
          <w:color w:val="000000" w:themeColor="text1"/>
        </w:rPr>
        <w:lastRenderedPageBreak/>
        <w:t xml:space="preserve">ethyl paraben concentrations were lower for marginal (20.04% [95% CI: −38.24%, −3.51%]); low (20.29% [95% CI: −38.25%, −2.89%]) and very low (38.94% [95% CI: −53.86%, −19.21%]) food secure females. </w:t>
      </w:r>
      <w:r w:rsidRPr="00277350">
        <w:rPr>
          <w:rFonts w:ascii="Times New Roman" w:eastAsia="Times New Roman" w:hAnsi="Times New Roman" w:cs="Times New Roman"/>
          <w:color w:val="000000" w:themeColor="text1"/>
        </w:rPr>
        <w:t>Similar trends were observed for methyl paraben (marginal: -14.99%; [95% CI:-33.01%, 7.87%]; low: -17.85%; [95% CI: -37.03%, 7.18%]; very low: -26.10%; [95 CI: -46.97%, 2.98%])</w:t>
      </w:r>
      <w:r w:rsidRPr="00277350">
        <w:rPr>
          <w:rFonts w:ascii="Times New Roman" w:hAnsi="Times New Roman" w:cs="Times New Roman"/>
          <w:color w:val="000000" w:themeColor="text1"/>
        </w:rPr>
        <w:t xml:space="preserve">, and propyl paraben </w:t>
      </w:r>
      <w:r w:rsidRPr="00277350">
        <w:rPr>
          <w:rFonts w:ascii="Times New Roman" w:eastAsia="Times New Roman" w:hAnsi="Times New Roman" w:cs="Times New Roman"/>
          <w:color w:val="000000" w:themeColor="text1"/>
        </w:rPr>
        <w:t>(marginal: (-25.71%; [95% CI:-44.96%, 0.27%%]; low: -22.96%; [95% CI: -46.20%, 10.31%]; very low: -44.82%; [95 CI: -63.63%, 16.28%])</w:t>
      </w:r>
      <w:r w:rsidRPr="00277350">
        <w:rPr>
          <w:rFonts w:ascii="Times New Roman" w:hAnsi="Times New Roman" w:cs="Times New Roman"/>
          <w:color w:val="000000" w:themeColor="text1"/>
        </w:rPr>
        <w:t>. In contrast, among males with some but not all reduced food security categories, higher levels were observed for ethyl (low: 13.79%; [95% CI: -9.33%, 42.78%]), and methyl paraben (low: 8.59%, [95% CI: -19.99%, 47.37%; very low: 6.41% [95% CI: -26.1%, 53.22%]) relative to the reference. (Figure 2, Supplemental Table 2)</w:t>
      </w:r>
    </w:p>
    <w:p w14:paraId="7515B477" w14:textId="77777777" w:rsidR="0086036C" w:rsidRPr="00277350" w:rsidRDefault="0086036C" w:rsidP="0086036C">
      <w:pPr>
        <w:ind w:firstLine="720"/>
        <w:rPr>
          <w:rFonts w:ascii="Times New Roman" w:hAnsi="Times New Roman" w:cs="Times New Roman"/>
          <w:b/>
          <w:bCs/>
          <w:noProof/>
          <w:color w:val="000000" w:themeColor="text1"/>
          <w:sz w:val="28"/>
          <w:szCs w:val="28"/>
        </w:rPr>
      </w:pPr>
    </w:p>
    <w:p w14:paraId="642C2432" w14:textId="1182E95E" w:rsidR="0086036C" w:rsidRPr="00277350" w:rsidRDefault="0086036C" w:rsidP="006C1AE2">
      <w:pPr>
        <w:rPr>
          <w:rFonts w:ascii="Times New Roman" w:hAnsi="Times New Roman" w:cs="Times New Roman"/>
          <w:color w:val="000000" w:themeColor="text1"/>
        </w:rPr>
      </w:pPr>
      <w:r w:rsidRPr="00277350">
        <w:rPr>
          <w:rFonts w:ascii="Times New Roman" w:hAnsi="Times New Roman" w:cs="Times New Roman"/>
          <w:b/>
          <w:bCs/>
          <w:noProof/>
          <w:color w:val="000000" w:themeColor="text1"/>
          <w:sz w:val="26"/>
          <w:szCs w:val="26"/>
        </w:rPr>
        <w:t xml:space="preserve">Figure 3: Strata-Specific </w:t>
      </w:r>
      <w:r w:rsidRPr="00277350">
        <w:rPr>
          <w:rFonts w:ascii="Times New Roman" w:hAnsi="Times New Roman" w:cs="Times New Roman"/>
          <w:b/>
          <w:bCs/>
          <w:color w:val="000000" w:themeColor="text1"/>
          <w:sz w:val="26"/>
          <w:szCs w:val="26"/>
        </w:rPr>
        <w:t>Adjusted Linear Regression Plot: Self-Reported Food Security Status and Urinary Phenol Metabolites with Race and Ethnicity Interaction</w:t>
      </w:r>
      <w:r w:rsidRPr="00277350">
        <w:rPr>
          <w:rFonts w:ascii="Times New Roman" w:hAnsi="Times New Roman" w:cs="Times New Roman"/>
          <w:b/>
          <w:bCs/>
          <w:color w:val="000000" w:themeColor="text1"/>
          <w:sz w:val="28"/>
          <w:szCs w:val="28"/>
        </w:rPr>
        <w:t xml:space="preserve"> </w:t>
      </w:r>
      <w:r w:rsidRPr="00277350">
        <w:rPr>
          <w:rFonts w:ascii="Times New Roman" w:hAnsi="Times New Roman" w:cs="Times New Roman"/>
          <w:noProof/>
        </w:rPr>
        <w:drawing>
          <wp:inline distT="0" distB="0" distL="0" distR="0" wp14:anchorId="48DD3EDD" wp14:editId="64916F3E">
            <wp:extent cx="6381522" cy="4025900"/>
            <wp:effectExtent l="0" t="0" r="0" b="0"/>
            <wp:docPr id="921532512"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2512" name="Picture 12" descr="A screenshot of a graph&#10;&#10;AI-generated content may be incorrect."/>
                    <pic:cNvPicPr/>
                  </pic:nvPicPr>
                  <pic:blipFill rotWithShape="1">
                    <a:blip r:embed="rId10" cstate="print">
                      <a:extLst>
                        <a:ext uri="{28A0092B-C50C-407E-A947-70E740481C1C}">
                          <a14:useLocalDpi xmlns:a14="http://schemas.microsoft.com/office/drawing/2010/main" val="0"/>
                        </a:ext>
                      </a:extLst>
                    </a:blip>
                    <a:srcRect t="12645"/>
                    <a:stretch>
                      <a:fillRect/>
                    </a:stretch>
                  </pic:blipFill>
                  <pic:spPr bwMode="auto">
                    <a:xfrm>
                      <a:off x="0" y="0"/>
                      <a:ext cx="6426418" cy="4054223"/>
                    </a:xfrm>
                    <a:prstGeom prst="rect">
                      <a:avLst/>
                    </a:prstGeom>
                    <a:ln>
                      <a:noFill/>
                    </a:ln>
                    <a:extLst>
                      <a:ext uri="{53640926-AAD7-44D8-BBD7-CCE9431645EC}">
                        <a14:shadowObscured xmlns:a14="http://schemas.microsoft.com/office/drawing/2010/main"/>
                      </a:ext>
                    </a:extLst>
                  </pic:spPr>
                </pic:pic>
              </a:graphicData>
            </a:graphic>
          </wp:inline>
        </w:drawing>
      </w:r>
    </w:p>
    <w:p w14:paraId="0C757958" w14:textId="0AB738C1" w:rsidR="0086036C" w:rsidRPr="00277350" w:rsidRDefault="0086036C" w:rsidP="007F5055">
      <w:pPr>
        <w:pStyle w:val="ListParagraph"/>
        <w:numPr>
          <w:ilvl w:val="0"/>
          <w:numId w:val="5"/>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t xml:space="preserve"> Race stratified adjusted percent differences (95% confidence intervals) in urinary phenol metabolite concentrations across food security levels, estmated from multivariable linear regression models adjusted for age, sex, education, survey cycle, </w:t>
      </w:r>
      <w:r w:rsidR="001D5FBA" w:rsidRPr="00277350">
        <w:rPr>
          <w:rFonts w:ascii="Times New Roman" w:hAnsi="Times New Roman" w:cs="Times New Roman"/>
          <w:i/>
          <w:iCs/>
          <w:noProof/>
          <w:color w:val="000000" w:themeColor="text1"/>
        </w:rPr>
        <w:t>poverty-to-income</w:t>
      </w:r>
      <w:r w:rsidRPr="00277350">
        <w:rPr>
          <w:rFonts w:ascii="Times New Roman" w:hAnsi="Times New Roman" w:cs="Times New Roman"/>
          <w:i/>
          <w:iCs/>
          <w:noProof/>
          <w:color w:val="000000" w:themeColor="text1"/>
        </w:rPr>
        <w:t xml:space="preserve"> ratio and creatinine. High Food Secure is the reference group.</w:t>
      </w:r>
    </w:p>
    <w:p w14:paraId="11BCDD05" w14:textId="77777777" w:rsidR="0086036C" w:rsidRPr="00277350" w:rsidRDefault="0086036C" w:rsidP="007F5055">
      <w:pPr>
        <w:pStyle w:val="ListParagraph"/>
        <w:numPr>
          <w:ilvl w:val="0"/>
          <w:numId w:val="5"/>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t>P</w:t>
      </w:r>
      <w:r w:rsidRPr="00277350">
        <w:rPr>
          <w:rFonts w:ascii="Times New Roman" w:hAnsi="Times New Roman" w:cs="Times New Roman"/>
          <w:i/>
          <w:iCs/>
          <w:noProof/>
          <w:color w:val="000000" w:themeColor="text1"/>
          <w:vertAlign w:val="subscript"/>
        </w:rPr>
        <w:t>interaction</w:t>
      </w:r>
      <w:r w:rsidRPr="00277350">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1577B733" w14:textId="77777777" w:rsidR="0086036C" w:rsidRPr="00277350" w:rsidRDefault="0086036C" w:rsidP="007F5055">
      <w:pPr>
        <w:pStyle w:val="ListParagraph"/>
        <w:numPr>
          <w:ilvl w:val="0"/>
          <w:numId w:val="5"/>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t xml:space="preserve">NH White: Non Hispanic White; NH Black: Non-Hispanic Black </w:t>
      </w:r>
    </w:p>
    <w:p w14:paraId="2CBBE3B7" w14:textId="77777777" w:rsidR="0086036C" w:rsidRPr="00277350" w:rsidRDefault="0086036C" w:rsidP="0086036C">
      <w:pPr>
        <w:rPr>
          <w:rFonts w:ascii="Times New Roman" w:hAnsi="Times New Roman" w:cs="Times New Roman"/>
          <w:b/>
          <w:bCs/>
          <w:color w:val="000000" w:themeColor="text1"/>
          <w:sz w:val="28"/>
          <w:szCs w:val="28"/>
        </w:rPr>
      </w:pPr>
    </w:p>
    <w:p w14:paraId="3F1BA232" w14:textId="77777777" w:rsidR="0086036C" w:rsidRPr="00277350" w:rsidRDefault="0086036C" w:rsidP="0086036C">
      <w:pPr>
        <w:rPr>
          <w:rFonts w:ascii="Times New Roman" w:hAnsi="Times New Roman" w:cs="Times New Roman"/>
          <w:i/>
          <w:iCs/>
          <w:color w:val="000000" w:themeColor="text1"/>
        </w:rPr>
      </w:pPr>
      <w:r w:rsidRPr="00277350">
        <w:rPr>
          <w:rFonts w:ascii="Times New Roman" w:hAnsi="Times New Roman" w:cs="Times New Roman"/>
          <w:i/>
          <w:iCs/>
          <w:color w:val="000000" w:themeColor="text1"/>
        </w:rPr>
        <w:t>Effect Measure Modification by Race/Ethnicity</w:t>
      </w:r>
    </w:p>
    <w:p w14:paraId="44E78BFB" w14:textId="77777777" w:rsidR="005951E4" w:rsidRPr="00277350" w:rsidRDefault="0086036C" w:rsidP="005951E4">
      <w:pPr>
        <w:spacing w:after="0"/>
        <w:ind w:firstLine="720"/>
        <w:rPr>
          <w:rFonts w:ascii="Times New Roman" w:hAnsi="Times New Roman" w:cs="Times New Roman"/>
          <w:color w:val="000000" w:themeColor="text1"/>
        </w:rPr>
      </w:pPr>
      <w:r w:rsidRPr="00277350">
        <w:rPr>
          <w:rFonts w:ascii="Times New Roman" w:hAnsi="Times New Roman" w:cs="Times New Roman"/>
          <w:color w:val="000000" w:themeColor="text1"/>
        </w:rPr>
        <w:t>Finally, we assessed potential effect measure modification by race and ethnicity (Supplemental Tables 3-9). There was evidence of interaction all parabens, ethyl (p</w:t>
      </w:r>
      <w:r w:rsidRPr="00277350">
        <w:rPr>
          <w:rFonts w:ascii="Times New Roman" w:hAnsi="Times New Roman" w:cs="Times New Roman"/>
          <w:color w:val="000000" w:themeColor="text1"/>
          <w:vertAlign w:val="subscript"/>
        </w:rPr>
        <w:t>interaction</w:t>
      </w:r>
      <w:r w:rsidRPr="00277350">
        <w:rPr>
          <w:rFonts w:ascii="Times New Roman" w:hAnsi="Times New Roman" w:cs="Times New Roman"/>
          <w:color w:val="000000" w:themeColor="text1"/>
        </w:rPr>
        <w:t>=0.04), methyl (p</w:t>
      </w:r>
      <w:r w:rsidRPr="00277350">
        <w:rPr>
          <w:rFonts w:ascii="Times New Roman" w:hAnsi="Times New Roman" w:cs="Times New Roman"/>
          <w:color w:val="000000" w:themeColor="text1"/>
          <w:vertAlign w:val="subscript"/>
        </w:rPr>
        <w:t>interaction</w:t>
      </w:r>
      <w:r w:rsidRPr="00277350">
        <w:rPr>
          <w:rFonts w:ascii="Times New Roman" w:hAnsi="Times New Roman" w:cs="Times New Roman"/>
          <w:color w:val="000000" w:themeColor="text1"/>
        </w:rPr>
        <w:t>&lt;0.01), and propyl (</w:t>
      </w:r>
      <w:proofErr w:type="spellStart"/>
      <w:r w:rsidRPr="00277350">
        <w:rPr>
          <w:rFonts w:ascii="Times New Roman" w:hAnsi="Times New Roman" w:cs="Times New Roman"/>
          <w:color w:val="000000" w:themeColor="text1"/>
        </w:rPr>
        <w:t>p</w:t>
      </w:r>
      <w:r w:rsidRPr="00277350">
        <w:rPr>
          <w:rFonts w:ascii="Times New Roman" w:hAnsi="Times New Roman" w:cs="Times New Roman"/>
          <w:color w:val="000000" w:themeColor="text1"/>
          <w:vertAlign w:val="subscript"/>
        </w:rPr>
        <w:t>interaction</w:t>
      </w:r>
      <w:proofErr w:type="spellEnd"/>
      <w:r w:rsidRPr="00277350">
        <w:rPr>
          <w:rFonts w:ascii="Times New Roman" w:hAnsi="Times New Roman" w:cs="Times New Roman"/>
          <w:color w:val="000000" w:themeColor="text1"/>
          <w:vertAlign w:val="subscript"/>
        </w:rPr>
        <w:t xml:space="preserve"> </w:t>
      </w:r>
      <w:r w:rsidRPr="00277350">
        <w:rPr>
          <w:rFonts w:ascii="Times New Roman" w:hAnsi="Times New Roman" w:cs="Times New Roman"/>
          <w:color w:val="000000" w:themeColor="text1"/>
        </w:rPr>
        <w:t>&lt;0.01). Among non-Hispanic White individuals, reduced food security (marginal, low, and very low) was associated with lower levels of parabens. Non-Hispanic White individuals experiencing very low food secure participants had the largest negative difference (i.e. lowest levels) compared to non-Hispanic White adults with high food security (e.g. ethyl paraben concentrations: very low: -33.81% [95% CI: -49.12%, -13.90%]).</w:t>
      </w:r>
    </w:p>
    <w:p w14:paraId="47FDFFD6" w14:textId="1A5834A0" w:rsidR="0086036C" w:rsidRPr="00277350" w:rsidRDefault="0086036C" w:rsidP="005951E4">
      <w:pPr>
        <w:spacing w:after="0"/>
        <w:ind w:firstLine="720"/>
        <w:rPr>
          <w:rFonts w:ascii="Times New Roman" w:hAnsi="Times New Roman" w:cs="Times New Roman"/>
          <w:color w:val="000000" w:themeColor="text1"/>
        </w:rPr>
      </w:pPr>
      <w:r w:rsidRPr="00277350">
        <w:rPr>
          <w:rFonts w:ascii="Times New Roman" w:hAnsi="Times New Roman" w:cs="Times New Roman"/>
          <w:color w:val="000000" w:themeColor="text1"/>
        </w:rPr>
        <w:t xml:space="preserve">In contrast, </w:t>
      </w:r>
      <w:proofErr w:type="gramStart"/>
      <w:r w:rsidRPr="00277350">
        <w:rPr>
          <w:rFonts w:ascii="Times New Roman" w:hAnsi="Times New Roman" w:cs="Times New Roman"/>
          <w:color w:val="000000" w:themeColor="text1"/>
        </w:rPr>
        <w:t>Mexican-American</w:t>
      </w:r>
      <w:proofErr w:type="gramEnd"/>
      <w:r w:rsidRPr="00277350">
        <w:rPr>
          <w:rFonts w:ascii="Times New Roman" w:hAnsi="Times New Roman" w:cs="Times New Roman"/>
          <w:color w:val="000000" w:themeColor="text1"/>
        </w:rPr>
        <w:t xml:space="preserve"> participants experiencing low or very low food security generally had higher levels of parabens. For instance, relative to </w:t>
      </w:r>
      <w:proofErr w:type="gramStart"/>
      <w:r w:rsidRPr="00277350">
        <w:rPr>
          <w:rFonts w:ascii="Times New Roman" w:hAnsi="Times New Roman" w:cs="Times New Roman"/>
          <w:color w:val="000000" w:themeColor="text1"/>
        </w:rPr>
        <w:t>Mexican-Americans</w:t>
      </w:r>
      <w:proofErr w:type="gramEnd"/>
      <w:r w:rsidRPr="00277350">
        <w:rPr>
          <w:rFonts w:ascii="Times New Roman" w:hAnsi="Times New Roman" w:cs="Times New Roman"/>
          <w:color w:val="000000" w:themeColor="text1"/>
        </w:rPr>
        <w:t xml:space="preserve"> with high food security, methyl parabens estimates were lower among </w:t>
      </w:r>
      <w:proofErr w:type="gramStart"/>
      <w:r w:rsidRPr="00277350">
        <w:rPr>
          <w:rFonts w:ascii="Times New Roman" w:hAnsi="Times New Roman" w:cs="Times New Roman"/>
          <w:color w:val="000000" w:themeColor="text1"/>
        </w:rPr>
        <w:t>Mexican-Americans</w:t>
      </w:r>
      <w:proofErr w:type="gramEnd"/>
      <w:r w:rsidRPr="00277350">
        <w:rPr>
          <w:rFonts w:ascii="Times New Roman" w:hAnsi="Times New Roman" w:cs="Times New Roman"/>
          <w:color w:val="000000" w:themeColor="text1"/>
        </w:rPr>
        <w:t xml:space="preserve"> experiencing low (24.69% [95% CI: -10.20,73.13%]) and lower among those experiencing very low food security (42.53% 95% CI [-2.18, 107.69%]) (Figure 3, Supplemental Table 8). Among non-Hispanic Black individuals’ results were similar to those among non-Hispanic Black adults with low food security generally showing the largest positive percent difference for ethyl (low: 13.88% [95% CI: -15.89%, 54.18%) (Figure 3, Supplemental 7) methyl (low: 11.32% [95% CI: -17.07%, 49.43%]) (Figure 3, Supplemental 8) and propyl (low: 2.65% [95% CI: -15.89%, 54.18%]; very low: 10.44% [95% CI: -25.02%, 62.29%]) (Figure 3, Supplemental 9) parabens. Among other Hispanic and Other-race adults, associations between reduced food security and paraben concentrations appeared to be positive for some, but not all parabens; however, results were mixed overall. </w:t>
      </w:r>
    </w:p>
    <w:p w14:paraId="764C94CC" w14:textId="77777777" w:rsidR="0086036C" w:rsidRPr="00277350" w:rsidRDefault="0086036C" w:rsidP="0086036C">
      <w:pPr>
        <w:ind w:firstLine="720"/>
        <w:rPr>
          <w:rFonts w:ascii="Times New Roman" w:hAnsi="Times New Roman" w:cs="Times New Roman"/>
          <w:color w:val="000000" w:themeColor="text1"/>
        </w:rPr>
      </w:pPr>
    </w:p>
    <w:p w14:paraId="73FC74EB" w14:textId="54C5228A" w:rsidR="00AA3B9E" w:rsidRDefault="00AA3B9E" w:rsidP="00AA3B9E">
      <w:pPr>
        <w:pStyle w:val="NormalWeb"/>
        <w:spacing w:before="0" w:beforeAutospacing="0" w:after="0" w:afterAutospacing="0"/>
        <w:rPr>
          <w:b/>
          <w:bCs/>
          <w:sz w:val="28"/>
          <w:szCs w:val="28"/>
        </w:rPr>
      </w:pPr>
      <w:r>
        <w:rPr>
          <w:b/>
          <w:bCs/>
          <w:sz w:val="28"/>
          <w:szCs w:val="28"/>
        </w:rPr>
        <w:t>Discussion</w:t>
      </w:r>
    </w:p>
    <w:p w14:paraId="6A7ACA80" w14:textId="77777777" w:rsidR="00AA3B9E" w:rsidRDefault="00AA3B9E" w:rsidP="00AA3B9E">
      <w:pPr>
        <w:pStyle w:val="NormalWeb"/>
        <w:spacing w:before="0" w:beforeAutospacing="0" w:after="0" w:afterAutospacing="0"/>
        <w:rPr>
          <w:b/>
          <w:bCs/>
          <w:sz w:val="28"/>
          <w:szCs w:val="28"/>
        </w:rPr>
      </w:pPr>
    </w:p>
    <w:p w14:paraId="320F33E5" w14:textId="546E31A5" w:rsidR="00AA3B9E" w:rsidRPr="008B7713" w:rsidRDefault="00334FCF" w:rsidP="00AA3B9E">
      <w:pPr>
        <w:pStyle w:val="NormalWeb"/>
        <w:spacing w:before="0" w:beforeAutospacing="0" w:after="0" w:afterAutospacing="0"/>
      </w:pPr>
      <w:r>
        <w:rPr>
          <w:i/>
          <w:iCs/>
        </w:rPr>
        <w:t>Strengths</w:t>
      </w:r>
    </w:p>
    <w:p w14:paraId="06D8C56A" w14:textId="4D949E6E" w:rsidR="001A124E" w:rsidRPr="00334FCF" w:rsidRDefault="00FE5552" w:rsidP="00AA3B9E">
      <w:pPr>
        <w:pStyle w:val="NormalWeb"/>
        <w:spacing w:before="0" w:beforeAutospacing="0" w:after="0" w:afterAutospacing="0"/>
      </w:pPr>
      <w:r w:rsidRPr="00FE5552">
        <w:t xml:space="preserve">This study exhibited several strengths. The extensive NHANES dataset spanned an 11-year period and examined six urinary phenol metabolite concentrations. The study population was representative of multiple sociodemographic characteristics, enhancing generalizability. The collection and laboratory analysis of urine samples by the CDC National Center for Environmental Health Laboratory further strengthened exposure assessment, alongside the use of the well-validated 18-item gold standard USDA Food Security Survey Module (FSSM) to categorize household food security. Multivariable linear regression models were used to adjust for relevant covariates, including race/ethnicity, age, sex, poverty-income ratio, cycle year, and creatinine. Additionally, stratified analyses by race/ethnicity and sex allowed us to examine effect modification in the associations between race/ethnicity </w:t>
      </w:r>
      <w:r>
        <w:t>*</w:t>
      </w:r>
      <w:r w:rsidRPr="00FE5552">
        <w:t xml:space="preserve"> household food security status, as well as sex </w:t>
      </w:r>
      <w:r>
        <w:t>*</w:t>
      </w:r>
      <w:r w:rsidRPr="00FE5552">
        <w:t xml:space="preserve"> household food security status, with findings supporting existing literature</w:t>
      </w:r>
      <w:r w:rsidR="008B7713">
        <w:fldChar w:fldCharType="begin"/>
      </w:r>
      <w:r w:rsidR="008B7713">
        <w:instrText xml:space="preserve"> ADDIN ZOTERO_ITEM CSL_CITATION {"citationID":"qGtwq5GD","properties":{"unsorted":false,"formattedCitation":"\\super 6,8,10\\nosupersub{}","plainCitation":"6,8,10","noteIndex":0},"citationItems":[{"id":51,"uris":["http://zotero.org/users/local/N9bAOqPz/items/EGNDPPNJ"],"itemData":{"id":51,"type":"article-journal","abstract":"BACKGROUND: Cognitive impairment and dementia are severe public health issues in aging populations, which can be exacerbated by insufficient or unhealthy dietary intake. Food (in)security status is linked to cognitive function among older adults, but the relationship is complex and can vary by sociodemographic characteristics.\nOBJECTIVE: This article aimed to investigate the association between food insecurity and cognitive function among United States older adults and explore potential variations by race and ethnicity groups.\nMETHODS: We prospectively examined changes in cognitive function and incidence of cognitive impairment alongside the presence of self-reported food insecurity among older adults of different racial and ethnic groups. Data were from the 2012-2018 Health and Retirement Study (HRS) and the 2013 Health Care and Nutrition Study (HCNS), including N = 6,638 United States adults aged 50 years and older. Food insecurity was measured by a self-reported United States Household Food Security Survey Module, and cognitive function was assessed by the modified version of the Telephone Interview for Cognitive Status.\nRESULTS: Results showed that 17% of United States older adults reported food insecurity in the 2013 HCNS. Compared with food secure older adults, those reporting food insecurity experienced worsened cognitive functioning over time (B = -0.63, p &lt; .001), and they were more likely to have onset of cognitive impairment (OR= 1.46, p &lt; .001) in the 6-y observation. Compared with non-Hispanic White older adults, being non-Hispanic Black, non-Hispanic Other, or Hispanic was associated with 2.96, 2.09, or 1.26 odds (p &lt; .001) of cognitive impairment (2012-2018), respectively. Older adults of racial and ethnic minority groups also had higher risks of experiencing the double burden of cognitive impairment alongside food insecurity compared with non-Hispanic White older adults.\nCONCLUSION: Findings underscore racial and ethnic structural disparities in food security and cognitive health in the United States aging population.","container-title":"The Journal of Nutrition","DOI":"10.1016/j.tjnut.2023.11.015","ISSN":"1541-6100","issue":"1","journalAbbreviation":"J Nutr","language":"eng","page":"233-242","PMID":"37984739","PMCID":"PMC10925888","source":"PubMed","title":"Food Insecurity, Race and Ethnicity, and Cognitive Function Among United States Older Adults","volume":"154","author":[{"family":"Wang","given":"Haowei"},{"family":"El-Abbadi","given":"Naglaa"}],"issued":{"date-parts":[["2024",1]]}}},{"id":36,"uris":["http://zotero.org/users/local/N9bAOqPz/items/Y9HCTVLK"],"itemData":{"id":36,"type":"article-journal","abstract":"In recent years, many students have faced economic hardship and experienced food insecurity, even as universities strive to create more equitable pathways to college. There is a need for a more holistic perspective that addresses the complexity of food insecurity amongst college students. To this end, we examined the relationship between the social determinants of health, including college food insecurity (CoFI) and childhood food insecurity (ChFI), and their relationship with well-being measures. The study sample was a convenience sample that included 372 students at a public university who responded to an online survey in fall 2021. Students were asked to report their food security status in the previous 30 days. We used the following analytical strategies: chi-square tests to determine differences between food secure (FS) and food insecure (FI) students; binary logistic regression of CoFI on student demographics and ChFI; and ordinal or binary logistic regression for well-being measures. Black students, off-campus students, first-generation students, in-state students, and humanities/behavioral/social/health sciences majors were more likely to report CoFI. FI students were more likely to have experienced ChFI and to have lower scores on all well-being measures. ChFI was associated with four well-being measures and its effects were mediated by CoFI. College student health initiatives would benefit from accounting for SDOH, including ChFI experiences and its subsequent cumulative disadvantages experienced during college.","container-title":"Nutrients","DOI":"10.3390/nu16091391","ISSN":"2072-6643","issue":"9","journalAbbreviation":"Nutrients","language":"eng","page":"1391","PMID":"38732637","PMCID":"PMC11085391","source":"PubMed","title":"Social Determinants of Health and College Food Insecurity","volume":"16","author":[{"family":"Mobley","given":"Catherine"},{"family":"Luo","given":"Ye"},{"family":"Fernandez","given":"Mariela"},{"family":"Hossfeld","given":"Leslie"}],"issued":{"date-parts":[["2024",5,4]]}}},{"id":91,"uris":["http://zotero.org/users/local/N9bAOqPz/items/S534WIDD"],"itemData":{"id":91,"type":"article-journal","abstract":"INTRODUCTION: Food insecurity is associated with negative nutritional outcomes and is experienced differently by women vs men. We evaluated the effects of gender on food insecurity and dietary intake in the United States.\nMETHODS: Data from the National Health and Nutrition Examination Survey (2007-2016) were analyzed. Survey-weighted linear and logistic regression models were used to evaluate predictors of food security and the effect of food security on dietary consumption and body anthropometrics. Gender was modeled as a covariable and as an effect modifier.\nRESULTS: A total of 30,251 respondents were included. Approximately 15.1% (95% confidence interval [CI]: 14.1%-16.1%) of participants were food insecure. This increased over time from 11.7% in 2007-2008 to 18.2% in 2015-2016. A higher proportion of women experienced food insecurity compared with men (53.3% vs 46.7%, P = 0.02), although this was not significant after adjusting for poverty and other confounders (adjusted odds ratio 1.01; 95% CI: 0.93-1.09; P = 0.81). Among food insecure women, 32.4% (95% CI: 30.0%-34.9%) received emergency food assistance and 75.0% (95% CI: 71.5%-78.2%) received supplemental nutrition assistance benefits. Relative to men, food insecure women were less likely to meet the recommended dietary allowance of most macronutrients and micronutrients. They were also significantly more likely to be obese, have a wider waist circumference, and have higher total body fat percentage (P interaction all &lt;0.001).\nDISCUSSION: Food insecurity represents a substantial public health challenge in the United States that differentially affects women compared with men. Alternative strategies may be required to meet the nutritional requirements for food insecure women.","container-title":"The American Journal of Gastroenterology","DOI":"10.14309/ajg.0000000000001118","ISSN":"1572-0241","issue":"3","journalAbbreviation":"Am J Gastroenterol","language":"eng","page":"584-592","PMID":"33443848","source":"PubMed","title":"Gender Disparities in Food Security, Dietary Intake, and Nutritional Health in the United States","volume":"116","author":[{"family":"Ma","given":"Christopher"},{"family":"Ho","given":"Stephanie K. M."},{"family":"Singh","given":"Siddharth"},{"family":"Choi","given":"May Y."}],"issued":{"date-parts":[["2021",3,1]]}}}],"schema":"https://github.com/citation-style-language/schema/raw/master/csl-citation.json"} </w:instrText>
      </w:r>
      <w:r w:rsidR="008B7713">
        <w:fldChar w:fldCharType="separate"/>
      </w:r>
      <w:r w:rsidR="008B7713" w:rsidRPr="008B7713">
        <w:rPr>
          <w:vertAlign w:val="superscript"/>
        </w:rPr>
        <w:t>6,8,10</w:t>
      </w:r>
      <w:r w:rsidR="008B7713">
        <w:fldChar w:fldCharType="end"/>
      </w:r>
      <w:r w:rsidRPr="00FE5552">
        <w:t>.</w:t>
      </w:r>
    </w:p>
    <w:p w14:paraId="1C736033" w14:textId="77777777" w:rsidR="00334FCF" w:rsidRDefault="00334FCF" w:rsidP="00AA3B9E">
      <w:pPr>
        <w:pStyle w:val="NormalWeb"/>
        <w:spacing w:before="0" w:beforeAutospacing="0" w:after="0" w:afterAutospacing="0"/>
        <w:rPr>
          <w:i/>
          <w:iCs/>
        </w:rPr>
      </w:pPr>
    </w:p>
    <w:p w14:paraId="1A6D563F" w14:textId="77777777" w:rsidR="00334FCF" w:rsidRDefault="00334FCF" w:rsidP="00AA3B9E">
      <w:pPr>
        <w:pStyle w:val="NormalWeb"/>
        <w:spacing w:before="0" w:beforeAutospacing="0" w:after="0" w:afterAutospacing="0"/>
        <w:rPr>
          <w:i/>
          <w:iCs/>
        </w:rPr>
      </w:pPr>
    </w:p>
    <w:p w14:paraId="5EA911E3" w14:textId="4F223C27" w:rsidR="00334FCF" w:rsidRPr="00334FCF" w:rsidRDefault="00334FCF" w:rsidP="00AA3B9E">
      <w:pPr>
        <w:pStyle w:val="NormalWeb"/>
        <w:spacing w:before="0" w:beforeAutospacing="0" w:after="0" w:afterAutospacing="0"/>
        <w:rPr>
          <w:i/>
          <w:iCs/>
        </w:rPr>
      </w:pPr>
      <w:r>
        <w:rPr>
          <w:i/>
          <w:iCs/>
        </w:rPr>
        <w:lastRenderedPageBreak/>
        <w:t>Limitations</w:t>
      </w:r>
    </w:p>
    <w:p w14:paraId="40682CE2" w14:textId="6CDAB323" w:rsidR="00C0603E" w:rsidRPr="00461342" w:rsidRDefault="00461342" w:rsidP="00461342">
      <w:pPr>
        <w:rPr>
          <w:rFonts w:ascii="Times New Roman" w:eastAsia="Times New Roman" w:hAnsi="Times New Roman" w:cs="Times New Roman"/>
          <w:kern w:val="0"/>
          <w14:ligatures w14:val="none"/>
        </w:rPr>
      </w:pPr>
      <w:r w:rsidRPr="00461342">
        <w:rPr>
          <w:rFonts w:ascii="Times New Roman" w:hAnsi="Times New Roman" w:cs="Times New Roman"/>
          <w:color w:val="000000" w:themeColor="text1"/>
        </w:rPr>
        <w:t xml:space="preserve">Several limitations should be considered. Self-reported measures are subject to minimal nondifferential misclassification toward the null and potential bias. The cross-sectional study design </w:t>
      </w:r>
      <w:r w:rsidR="00DE63C1">
        <w:rPr>
          <w:rFonts w:ascii="Times New Roman" w:hAnsi="Times New Roman" w:cs="Times New Roman"/>
          <w:color w:val="000000" w:themeColor="text1"/>
        </w:rPr>
        <w:t>limits the</w:t>
      </w:r>
      <w:r w:rsidRPr="00461342">
        <w:rPr>
          <w:rFonts w:ascii="Times New Roman" w:hAnsi="Times New Roman" w:cs="Times New Roman"/>
          <w:color w:val="000000" w:themeColor="text1"/>
        </w:rPr>
        <w:t xml:space="preserve"> determination of temporality between </w:t>
      </w:r>
      <w:r w:rsidR="00DE63C1">
        <w:rPr>
          <w:rFonts w:ascii="Times New Roman" w:hAnsi="Times New Roman" w:cs="Times New Roman"/>
          <w:color w:val="000000" w:themeColor="text1"/>
        </w:rPr>
        <w:t xml:space="preserve">the </w:t>
      </w:r>
      <w:r w:rsidRPr="00461342">
        <w:rPr>
          <w:rFonts w:ascii="Times New Roman" w:hAnsi="Times New Roman" w:cs="Times New Roman"/>
          <w:color w:val="000000" w:themeColor="text1"/>
        </w:rPr>
        <w:t>exposure and outcome. Future studies should employ longitudinal designs to follow participants over time and assess exposures and outcomes prospectively. Phenol concentrations observed in some individuals may be influenced by sources such as personal care products, making it uncertain whether food packaging represents the primary exposure source. Exposure may also occur through non-dietary pathways, such as inhalation, and further investigation into food systems contributing to packaging and handling is warranted. Finally, the NHANES cycle years used in this study are not recent due to the unavailability of urinary phenol metabolite data in later cycles (approximately 10 years old at present); future research should incorporate more recent data as they become available.</w:t>
      </w:r>
      <w:r w:rsidR="00C0603E" w:rsidRPr="00461342">
        <w:rPr>
          <w:rFonts w:ascii="Times New Roman" w:hAnsi="Times New Roman" w:cs="Times New Roman"/>
        </w:rPr>
        <w:br w:type="page"/>
      </w:r>
    </w:p>
    <w:p w14:paraId="79BBA0A8" w14:textId="104278FF" w:rsidR="000B7464" w:rsidRPr="00277350" w:rsidRDefault="00C0603E" w:rsidP="00C0603E">
      <w:pPr>
        <w:pStyle w:val="NormalWeb"/>
        <w:spacing w:before="0" w:beforeAutospacing="0" w:after="0" w:afterAutospacing="0"/>
        <w:jc w:val="center"/>
        <w:rPr>
          <w:b/>
          <w:bCs/>
        </w:rPr>
      </w:pPr>
      <w:r w:rsidRPr="00277350">
        <w:rPr>
          <w:b/>
          <w:bCs/>
        </w:rPr>
        <w:lastRenderedPageBreak/>
        <w:t>References</w:t>
      </w:r>
    </w:p>
    <w:p w14:paraId="7A04C274" w14:textId="77777777" w:rsidR="00C0603E" w:rsidRPr="00277350" w:rsidRDefault="00C0603E" w:rsidP="00C0603E">
      <w:pPr>
        <w:pStyle w:val="NormalWeb"/>
        <w:spacing w:before="0" w:beforeAutospacing="0" w:after="0" w:afterAutospacing="0"/>
        <w:jc w:val="center"/>
      </w:pPr>
    </w:p>
    <w:p w14:paraId="69134916" w14:textId="77777777" w:rsidR="008B7713" w:rsidRPr="008B7713" w:rsidRDefault="00C0603E" w:rsidP="008B7713">
      <w:pPr>
        <w:pStyle w:val="Bibliography"/>
        <w:rPr>
          <w:rFonts w:ascii="Times New Roman" w:hAnsi="Times New Roman" w:cs="Times New Roman"/>
        </w:rPr>
      </w:pPr>
      <w:r w:rsidRPr="00277350">
        <w:fldChar w:fldCharType="begin"/>
      </w:r>
      <w:r w:rsidRPr="00277350">
        <w:instrText xml:space="preserve"> ADDIN ZOTERO_BIBL {"uncited":[],"omitted":[],"custom":[]} CSL_BIBLIOGRAPHY </w:instrText>
      </w:r>
      <w:r w:rsidRPr="00277350">
        <w:fldChar w:fldCharType="separate"/>
      </w:r>
      <w:r w:rsidR="008B7713" w:rsidRPr="008B7713">
        <w:rPr>
          <w:rFonts w:ascii="Times New Roman" w:hAnsi="Times New Roman" w:cs="Times New Roman"/>
        </w:rPr>
        <w:t>1.</w:t>
      </w:r>
      <w:r w:rsidR="008B7713" w:rsidRPr="008B7713">
        <w:rPr>
          <w:rFonts w:ascii="Times New Roman" w:hAnsi="Times New Roman" w:cs="Times New Roman"/>
        </w:rPr>
        <w:tab/>
        <w:t xml:space="preserve">Rabbitt M, Hales L, Reed-Jones, M. </w:t>
      </w:r>
      <w:r w:rsidR="008B7713" w:rsidRPr="008B7713">
        <w:rPr>
          <w:rFonts w:ascii="Times New Roman" w:hAnsi="Times New Roman" w:cs="Times New Roman"/>
          <w:i/>
          <w:iCs/>
        </w:rPr>
        <w:t>Food Security in the U.S. - Definitions of Food Security</w:t>
      </w:r>
      <w:r w:rsidR="008B7713" w:rsidRPr="008B7713">
        <w:rPr>
          <w:rFonts w:ascii="Times New Roman" w:hAnsi="Times New Roman" w:cs="Times New Roman"/>
        </w:rPr>
        <w:t>. United States Department of Agriculture; 2025. https://www.ers.usda.gov/topics/food-nutrition-assistance/food-security-in-the-us/definitions-of-food-security</w:t>
      </w:r>
    </w:p>
    <w:p w14:paraId="23E7D23F"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w:t>
      </w:r>
      <w:r w:rsidRPr="008B7713">
        <w:rPr>
          <w:rFonts w:ascii="Times New Roman" w:hAnsi="Times New Roman" w:cs="Times New Roman"/>
        </w:rPr>
        <w:tab/>
        <w:t xml:space="preserve">Berkowitz SA, Seligman HK, Palakshappa D. Understanding food insecurity risk in the United States: A longitudinal analysis. </w:t>
      </w:r>
      <w:r w:rsidRPr="008B7713">
        <w:rPr>
          <w:rFonts w:ascii="Times New Roman" w:hAnsi="Times New Roman" w:cs="Times New Roman"/>
          <w:i/>
          <w:iCs/>
        </w:rPr>
        <w:t>SSM - Popul Health</w:t>
      </w:r>
      <w:r w:rsidRPr="008B7713">
        <w:rPr>
          <w:rFonts w:ascii="Times New Roman" w:hAnsi="Times New Roman" w:cs="Times New Roman"/>
        </w:rPr>
        <w:t>. 2024;25:101569. doi:10.1016/j.ssmph.2023.101569</w:t>
      </w:r>
    </w:p>
    <w:p w14:paraId="0F797B07"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3.</w:t>
      </w:r>
      <w:r w:rsidRPr="008B7713">
        <w:rPr>
          <w:rFonts w:ascii="Times New Roman" w:hAnsi="Times New Roman" w:cs="Times New Roman"/>
        </w:rPr>
        <w:tab/>
        <w:t xml:space="preserve">Vercammen KA, Moran AJ, McClain AC, Thorndike AN, Fulay AP, Rimm EB. Food Security and 10-Year Cardiovascular Disease Risk Among U.S. Adults. </w:t>
      </w:r>
      <w:r w:rsidRPr="008B7713">
        <w:rPr>
          <w:rFonts w:ascii="Times New Roman" w:hAnsi="Times New Roman" w:cs="Times New Roman"/>
          <w:i/>
          <w:iCs/>
        </w:rPr>
        <w:t>Am J Prev Med</w:t>
      </w:r>
      <w:r w:rsidRPr="008B7713">
        <w:rPr>
          <w:rFonts w:ascii="Times New Roman" w:hAnsi="Times New Roman" w:cs="Times New Roman"/>
        </w:rPr>
        <w:t>. 2019;56(5):689-697. doi:10.1016/j.amepre.2018.11.016</w:t>
      </w:r>
    </w:p>
    <w:p w14:paraId="4271819A"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4.</w:t>
      </w:r>
      <w:r w:rsidRPr="008B7713">
        <w:rPr>
          <w:rFonts w:ascii="Times New Roman" w:hAnsi="Times New Roman" w:cs="Times New Roman"/>
        </w:rPr>
        <w:tab/>
        <w:t xml:space="preserve">Maynard M, Andrade L, Packull-McCormick S, Perlman CM, Leos-Toro C, Kirkpatrick SI. Food Insecurity and Mental Health among Females in High-Income Countries. </w:t>
      </w:r>
      <w:r w:rsidRPr="008B7713">
        <w:rPr>
          <w:rFonts w:ascii="Times New Roman" w:hAnsi="Times New Roman" w:cs="Times New Roman"/>
          <w:i/>
          <w:iCs/>
        </w:rPr>
        <w:t>Int J Environ Res Public Health</w:t>
      </w:r>
      <w:r w:rsidRPr="008B7713">
        <w:rPr>
          <w:rFonts w:ascii="Times New Roman" w:hAnsi="Times New Roman" w:cs="Times New Roman"/>
        </w:rPr>
        <w:t>. 2018;15(7):1424. doi:10.3390/ijerph15071424</w:t>
      </w:r>
    </w:p>
    <w:p w14:paraId="1785C46B"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5.</w:t>
      </w:r>
      <w:r w:rsidRPr="008B7713">
        <w:rPr>
          <w:rFonts w:ascii="Times New Roman" w:hAnsi="Times New Roman" w:cs="Times New Roman"/>
        </w:rPr>
        <w:tab/>
        <w:t xml:space="preserve">Rabbitt M, Reed-Jones, M, Hales L, Burke M. </w:t>
      </w:r>
      <w:r w:rsidRPr="008B7713">
        <w:rPr>
          <w:rFonts w:ascii="Times New Roman" w:hAnsi="Times New Roman" w:cs="Times New Roman"/>
          <w:i/>
          <w:iCs/>
        </w:rPr>
        <w:t>Household Food Security in the United States in 2023</w:t>
      </w:r>
      <w:r w:rsidRPr="008B7713">
        <w:rPr>
          <w:rFonts w:ascii="Times New Roman" w:hAnsi="Times New Roman" w:cs="Times New Roman"/>
        </w:rPr>
        <w:t>. United States. Department of Agriculture. Economic Research Service.; 2024. doi:https://doi.org/10113/8583175</w:t>
      </w:r>
    </w:p>
    <w:p w14:paraId="01CCFDB0"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6.</w:t>
      </w:r>
      <w:r w:rsidRPr="008B7713">
        <w:rPr>
          <w:rFonts w:ascii="Times New Roman" w:hAnsi="Times New Roman" w:cs="Times New Roman"/>
        </w:rPr>
        <w:tab/>
        <w:t xml:space="preserve">Wang H, El-Abbadi N. Food Insecurity, Race and Ethnicity, and Cognitive Function Among United States Older Adults. </w:t>
      </w:r>
      <w:r w:rsidRPr="008B7713">
        <w:rPr>
          <w:rFonts w:ascii="Times New Roman" w:hAnsi="Times New Roman" w:cs="Times New Roman"/>
          <w:i/>
          <w:iCs/>
        </w:rPr>
        <w:t>J Nutr</w:t>
      </w:r>
      <w:r w:rsidRPr="008B7713">
        <w:rPr>
          <w:rFonts w:ascii="Times New Roman" w:hAnsi="Times New Roman" w:cs="Times New Roman"/>
        </w:rPr>
        <w:t>. 2024;154(1):233-242. doi:10.1016/j.tjnut.2023.11.015</w:t>
      </w:r>
    </w:p>
    <w:p w14:paraId="302D00FC"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7.</w:t>
      </w:r>
      <w:r w:rsidRPr="008B7713">
        <w:rPr>
          <w:rFonts w:ascii="Times New Roman" w:hAnsi="Times New Roman" w:cs="Times New Roman"/>
        </w:rPr>
        <w:tab/>
        <w:t xml:space="preserve">Odoms-Young A, Brown AGM, Agurs-Collins T, Glanz K. Food Insecurity, Neighborhood Food Environment, and Health Disparities: State of the Science, Research Gaps and Opportunities. </w:t>
      </w:r>
      <w:r w:rsidRPr="008B7713">
        <w:rPr>
          <w:rFonts w:ascii="Times New Roman" w:hAnsi="Times New Roman" w:cs="Times New Roman"/>
          <w:i/>
          <w:iCs/>
        </w:rPr>
        <w:t>Am J Clin Nutr</w:t>
      </w:r>
      <w:r w:rsidRPr="008B7713">
        <w:rPr>
          <w:rFonts w:ascii="Times New Roman" w:hAnsi="Times New Roman" w:cs="Times New Roman"/>
        </w:rPr>
        <w:t>. 2024;119(3):850-861. doi:10.1016/j.ajcnut.2023.12.019</w:t>
      </w:r>
    </w:p>
    <w:p w14:paraId="498B984B"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8.</w:t>
      </w:r>
      <w:r w:rsidRPr="008B7713">
        <w:rPr>
          <w:rFonts w:ascii="Times New Roman" w:hAnsi="Times New Roman" w:cs="Times New Roman"/>
        </w:rPr>
        <w:tab/>
        <w:t xml:space="preserve">Mobley C, Luo Y, Fernandez M, Hossfeld L. Social Determinants of Health and College Food Insecurity. </w:t>
      </w:r>
      <w:r w:rsidRPr="008B7713">
        <w:rPr>
          <w:rFonts w:ascii="Times New Roman" w:hAnsi="Times New Roman" w:cs="Times New Roman"/>
          <w:i/>
          <w:iCs/>
        </w:rPr>
        <w:t>Nutrients</w:t>
      </w:r>
      <w:r w:rsidRPr="008B7713">
        <w:rPr>
          <w:rFonts w:ascii="Times New Roman" w:hAnsi="Times New Roman" w:cs="Times New Roman"/>
        </w:rPr>
        <w:t>. 2024;16(9):1391. doi:10.3390/nu16091391</w:t>
      </w:r>
    </w:p>
    <w:p w14:paraId="0B5E5070"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9.</w:t>
      </w:r>
      <w:r w:rsidRPr="008B7713">
        <w:rPr>
          <w:rFonts w:ascii="Times New Roman" w:hAnsi="Times New Roman" w:cs="Times New Roman"/>
        </w:rPr>
        <w:tab/>
        <w:t xml:space="preserve">Cowan-Pyle AE, Bailey RL, Gao J, et al. Dietary Quality and Diet-Related Factors Among Emerging Adults (18-23 y) in the United States Are a Cause for Concern: National Health and Nutrition Examination Survey 2015-2018. </w:t>
      </w:r>
      <w:r w:rsidRPr="008B7713">
        <w:rPr>
          <w:rFonts w:ascii="Times New Roman" w:hAnsi="Times New Roman" w:cs="Times New Roman"/>
          <w:i/>
          <w:iCs/>
        </w:rPr>
        <w:t>J Nutr</w:t>
      </w:r>
      <w:r w:rsidRPr="008B7713">
        <w:rPr>
          <w:rFonts w:ascii="Times New Roman" w:hAnsi="Times New Roman" w:cs="Times New Roman"/>
        </w:rPr>
        <w:t>. 2024;154(8):2524-2533. doi:10.1016/j.tjnut.2024.06.015</w:t>
      </w:r>
    </w:p>
    <w:p w14:paraId="3C408E56"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10.</w:t>
      </w:r>
      <w:r w:rsidRPr="008B7713">
        <w:rPr>
          <w:rFonts w:ascii="Times New Roman" w:hAnsi="Times New Roman" w:cs="Times New Roman"/>
        </w:rPr>
        <w:tab/>
        <w:t xml:space="preserve">Ma C, Ho SKM, Singh S, Choi MY. Gender Disparities in Food Security, Dietary Intake, and Nutritional Health in the United States. </w:t>
      </w:r>
      <w:r w:rsidRPr="008B7713">
        <w:rPr>
          <w:rFonts w:ascii="Times New Roman" w:hAnsi="Times New Roman" w:cs="Times New Roman"/>
          <w:i/>
          <w:iCs/>
        </w:rPr>
        <w:t>Am J Gastroenterol</w:t>
      </w:r>
      <w:r w:rsidRPr="008B7713">
        <w:rPr>
          <w:rFonts w:ascii="Times New Roman" w:hAnsi="Times New Roman" w:cs="Times New Roman"/>
        </w:rPr>
        <w:t>. 2021;116(3):584-592. doi:10.14309/ajg.0000000000001118</w:t>
      </w:r>
    </w:p>
    <w:p w14:paraId="13A1552F"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11.</w:t>
      </w:r>
      <w:r w:rsidRPr="008B7713">
        <w:rPr>
          <w:rFonts w:ascii="Times New Roman" w:hAnsi="Times New Roman" w:cs="Times New Roman"/>
        </w:rPr>
        <w:tab/>
        <w:t xml:space="preserve">Yates J, Deeney M, Rolker HB, White H, Kalamatianou S, Kadiyala S. A systematic scoping review of environmental, food security and health impacts of food system plastics. </w:t>
      </w:r>
      <w:r w:rsidRPr="008B7713">
        <w:rPr>
          <w:rFonts w:ascii="Times New Roman" w:hAnsi="Times New Roman" w:cs="Times New Roman"/>
          <w:i/>
          <w:iCs/>
        </w:rPr>
        <w:t>Nat Food</w:t>
      </w:r>
      <w:r w:rsidRPr="008B7713">
        <w:rPr>
          <w:rFonts w:ascii="Times New Roman" w:hAnsi="Times New Roman" w:cs="Times New Roman"/>
        </w:rPr>
        <w:t>. 2021;2(2):80-87. doi:10.1038/s43016-021-00221-z</w:t>
      </w:r>
    </w:p>
    <w:p w14:paraId="2F4D9AAE"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12.</w:t>
      </w:r>
      <w:r w:rsidRPr="008B7713">
        <w:rPr>
          <w:rFonts w:ascii="Times New Roman" w:hAnsi="Times New Roman" w:cs="Times New Roman"/>
        </w:rPr>
        <w:tab/>
        <w:t xml:space="preserve">Buckley JP, Kim H, Wong E, Rebholz CM. Ultra-processed food consumption and exposure to phthalates and bisphenols in the US National Health and Nutrition Examination Survey, 2013-2014. </w:t>
      </w:r>
      <w:r w:rsidRPr="008B7713">
        <w:rPr>
          <w:rFonts w:ascii="Times New Roman" w:hAnsi="Times New Roman" w:cs="Times New Roman"/>
          <w:i/>
          <w:iCs/>
        </w:rPr>
        <w:t>Environ Int</w:t>
      </w:r>
      <w:r w:rsidRPr="008B7713">
        <w:rPr>
          <w:rFonts w:ascii="Times New Roman" w:hAnsi="Times New Roman" w:cs="Times New Roman"/>
        </w:rPr>
        <w:t>. 2019;131:105057. doi:10.1016/j.envint.2019.105057</w:t>
      </w:r>
    </w:p>
    <w:p w14:paraId="4F33DE4D"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lastRenderedPageBreak/>
        <w:t>13.</w:t>
      </w:r>
      <w:r w:rsidRPr="008B7713">
        <w:rPr>
          <w:rFonts w:ascii="Times New Roman" w:hAnsi="Times New Roman" w:cs="Times New Roman"/>
        </w:rPr>
        <w:tab/>
        <w:t xml:space="preserve">Ziso D, Chun OK, Puglisi MJ. Increasing Access to Healthy Foods through Improving Food Environment: A Review of Mixed Methods Intervention Studies with Residents of Low-Income Communities. </w:t>
      </w:r>
      <w:r w:rsidRPr="008B7713">
        <w:rPr>
          <w:rFonts w:ascii="Times New Roman" w:hAnsi="Times New Roman" w:cs="Times New Roman"/>
          <w:i/>
          <w:iCs/>
        </w:rPr>
        <w:t>Nutrients</w:t>
      </w:r>
      <w:r w:rsidRPr="008B7713">
        <w:rPr>
          <w:rFonts w:ascii="Times New Roman" w:hAnsi="Times New Roman" w:cs="Times New Roman"/>
        </w:rPr>
        <w:t>. 2022;14(11):2278. doi:10.3390/nu14112278</w:t>
      </w:r>
    </w:p>
    <w:p w14:paraId="13E408B1"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14.</w:t>
      </w:r>
      <w:r w:rsidRPr="008B7713">
        <w:rPr>
          <w:rFonts w:ascii="Times New Roman" w:hAnsi="Times New Roman" w:cs="Times New Roman"/>
        </w:rPr>
        <w:tab/>
        <w:t xml:space="preserve">Ruggiero E, Di Castelnuovo A, Costanzo S, et al. Dietary Polyphenol Intake in Relation to Ultra-Processed Food Consumption in a Mediterranean Population-Based Cohort: Findings from the Moli-Sani Study. In: </w:t>
      </w:r>
      <w:r w:rsidRPr="008B7713">
        <w:rPr>
          <w:rFonts w:ascii="Times New Roman" w:hAnsi="Times New Roman" w:cs="Times New Roman"/>
          <w:i/>
          <w:iCs/>
        </w:rPr>
        <w:t>The 14th European Nutrition Conference FENS 2023</w:t>
      </w:r>
      <w:r w:rsidRPr="008B7713">
        <w:rPr>
          <w:rFonts w:ascii="Times New Roman" w:hAnsi="Times New Roman" w:cs="Times New Roman"/>
        </w:rPr>
        <w:t>. MDPI; 2024:168. doi:10.3390/proceedings2023091168</w:t>
      </w:r>
    </w:p>
    <w:p w14:paraId="2E2E242D"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15.</w:t>
      </w:r>
      <w:r w:rsidRPr="008B7713">
        <w:rPr>
          <w:rFonts w:ascii="Times New Roman" w:hAnsi="Times New Roman" w:cs="Times New Roman"/>
        </w:rPr>
        <w:tab/>
        <w:t xml:space="preserve">Martínez Steele E, Khandpur N, Da Costa Louzada ML, Monteiro CA. Association between dietary contribution of ultra-processed foods and urinary concentrations of phthalates and bisphenol in a nationally representative sample of the US population aged 6 years and older. Foo LH, ed. </w:t>
      </w:r>
      <w:r w:rsidRPr="008B7713">
        <w:rPr>
          <w:rFonts w:ascii="Times New Roman" w:hAnsi="Times New Roman" w:cs="Times New Roman"/>
          <w:i/>
          <w:iCs/>
        </w:rPr>
        <w:t>PLOS ONE</w:t>
      </w:r>
      <w:r w:rsidRPr="008B7713">
        <w:rPr>
          <w:rFonts w:ascii="Times New Roman" w:hAnsi="Times New Roman" w:cs="Times New Roman"/>
        </w:rPr>
        <w:t>. 2020;15(7):e0236738. doi:10.1371/journal.pone.0236738</w:t>
      </w:r>
    </w:p>
    <w:p w14:paraId="3B2E9CD4"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16.</w:t>
      </w:r>
      <w:r w:rsidRPr="008B7713">
        <w:rPr>
          <w:rFonts w:ascii="Times New Roman" w:hAnsi="Times New Roman" w:cs="Times New Roman"/>
        </w:rPr>
        <w:tab/>
      </w:r>
      <w:r w:rsidRPr="008B7713">
        <w:rPr>
          <w:rFonts w:ascii="Times New Roman" w:hAnsi="Times New Roman" w:cs="Times New Roman"/>
          <w:i/>
          <w:iCs/>
        </w:rPr>
        <w:t>Phenols/Phenoxy Acids</w:t>
      </w:r>
      <w:r w:rsidRPr="008B7713">
        <w:rPr>
          <w:rFonts w:ascii="Times New Roman" w:hAnsi="Times New Roman" w:cs="Times New Roman"/>
        </w:rPr>
        <w:t>. Agency for Toxic Substances and Disease Registry; 2008. https://wwwn.cdc.gov/tsp/substances/ToxChemicalListing.aspx?toxid=40</w:t>
      </w:r>
    </w:p>
    <w:p w14:paraId="064339A0"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17.</w:t>
      </w:r>
      <w:r w:rsidRPr="008B7713">
        <w:rPr>
          <w:rFonts w:ascii="Times New Roman" w:hAnsi="Times New Roman" w:cs="Times New Roman"/>
        </w:rPr>
        <w:tab/>
        <w:t xml:space="preserve">Xu Z, Tian L, Liu L, Goodyer CG, Hales BF, Bayen S. Food Thermal Labels are a Source of Dietary Exposure to Bisphenol S and Other Color Developers. </w:t>
      </w:r>
      <w:r w:rsidRPr="008B7713">
        <w:rPr>
          <w:rFonts w:ascii="Times New Roman" w:hAnsi="Times New Roman" w:cs="Times New Roman"/>
          <w:i/>
          <w:iCs/>
        </w:rPr>
        <w:t>Environ Sci Technol</w:t>
      </w:r>
      <w:r w:rsidRPr="008B7713">
        <w:rPr>
          <w:rFonts w:ascii="Times New Roman" w:hAnsi="Times New Roman" w:cs="Times New Roman"/>
        </w:rPr>
        <w:t>. 2023;57(12):4984-4991. doi:10.1021/acs.est.2c09390</w:t>
      </w:r>
    </w:p>
    <w:p w14:paraId="5C0662F9"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18.</w:t>
      </w:r>
      <w:r w:rsidRPr="008B7713">
        <w:rPr>
          <w:rFonts w:ascii="Times New Roman" w:hAnsi="Times New Roman" w:cs="Times New Roman"/>
        </w:rPr>
        <w:tab/>
        <w:t xml:space="preserve">Martínez Steele E, Khandpur N, da Costa Louzada ML, Monteiro CA. Association between dietary contribution of ultra-processed foods and urinary concentrations of phthalates and bisphenol in a nationally representative sample of the US population aged 6 years and older. </w:t>
      </w:r>
      <w:r w:rsidRPr="008B7713">
        <w:rPr>
          <w:rFonts w:ascii="Times New Roman" w:hAnsi="Times New Roman" w:cs="Times New Roman"/>
          <w:i/>
          <w:iCs/>
        </w:rPr>
        <w:t>PloS One</w:t>
      </w:r>
      <w:r w:rsidRPr="008B7713">
        <w:rPr>
          <w:rFonts w:ascii="Times New Roman" w:hAnsi="Times New Roman" w:cs="Times New Roman"/>
        </w:rPr>
        <w:t>. 2020;15(7):e0236738. doi:10.1371/journal.pone.0236738</w:t>
      </w:r>
    </w:p>
    <w:p w14:paraId="7C0FDEF8"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19.</w:t>
      </w:r>
      <w:r w:rsidRPr="008B7713">
        <w:rPr>
          <w:rFonts w:ascii="Times New Roman" w:hAnsi="Times New Roman" w:cs="Times New Roman"/>
        </w:rPr>
        <w:tab/>
        <w:t xml:space="preserve">Gee GC, Payne-Sturges DC. Environmental health disparities: a framework integrating psychosocial and environmental concepts. </w:t>
      </w:r>
      <w:r w:rsidRPr="008B7713">
        <w:rPr>
          <w:rFonts w:ascii="Times New Roman" w:hAnsi="Times New Roman" w:cs="Times New Roman"/>
          <w:i/>
          <w:iCs/>
        </w:rPr>
        <w:t>Environ Health Perspect</w:t>
      </w:r>
      <w:r w:rsidRPr="008B7713">
        <w:rPr>
          <w:rFonts w:ascii="Times New Roman" w:hAnsi="Times New Roman" w:cs="Times New Roman"/>
        </w:rPr>
        <w:t>. 2004;112(17):1645-1653. doi:10.1289/ehp.7074</w:t>
      </w:r>
    </w:p>
    <w:p w14:paraId="07E9BB3F"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20.</w:t>
      </w:r>
      <w:r w:rsidRPr="008B7713">
        <w:rPr>
          <w:rFonts w:ascii="Times New Roman" w:hAnsi="Times New Roman" w:cs="Times New Roman"/>
        </w:rPr>
        <w:tab/>
      </w:r>
      <w:r w:rsidRPr="008B7713">
        <w:rPr>
          <w:rFonts w:ascii="Times New Roman" w:hAnsi="Times New Roman" w:cs="Times New Roman"/>
          <w:i/>
          <w:iCs/>
        </w:rPr>
        <w:t>NHANES - About the National Health and Nutrition Examination Survey</w:t>
      </w:r>
      <w:r w:rsidRPr="008B7713">
        <w:rPr>
          <w:rFonts w:ascii="Times New Roman" w:hAnsi="Times New Roman" w:cs="Times New Roman"/>
        </w:rPr>
        <w:t>. 2023. https://www.cdc.gov/nchs/nhanes/about_nhanes.htm</w:t>
      </w:r>
    </w:p>
    <w:p w14:paraId="2CC109A0"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21.</w:t>
      </w:r>
      <w:r w:rsidRPr="008B7713">
        <w:rPr>
          <w:rFonts w:ascii="Times New Roman" w:hAnsi="Times New Roman" w:cs="Times New Roman"/>
        </w:rPr>
        <w:tab/>
        <w:t>National Health and Nutrition Examination Survey, 2015−2018: Sample Design and Estimation Procedures. Published online April 2020. https://www.cdc.gov/nchs/data/series/sr_02/sr02-184-508.pdf</w:t>
      </w:r>
    </w:p>
    <w:p w14:paraId="049AF946"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22.</w:t>
      </w:r>
      <w:r w:rsidRPr="008B7713">
        <w:rPr>
          <w:rFonts w:ascii="Times New Roman" w:hAnsi="Times New Roman" w:cs="Times New Roman"/>
        </w:rPr>
        <w:tab/>
      </w:r>
      <w:r w:rsidRPr="008B7713">
        <w:rPr>
          <w:rFonts w:ascii="Times New Roman" w:hAnsi="Times New Roman" w:cs="Times New Roman"/>
          <w:i/>
          <w:iCs/>
        </w:rPr>
        <w:t>Food Security in the U.S. - Survey Tools</w:t>
      </w:r>
      <w:r w:rsidRPr="008B7713">
        <w:rPr>
          <w:rFonts w:ascii="Times New Roman" w:hAnsi="Times New Roman" w:cs="Times New Roman"/>
        </w:rPr>
        <w:t>. United States Department of Agriculture (USDA); 2026. https://www.ers.usda.gov/topics/food-nutrition-assistance/food-security-in-the-us/survey-tools</w:t>
      </w:r>
    </w:p>
    <w:p w14:paraId="4859A41B"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23.</w:t>
      </w:r>
      <w:r w:rsidRPr="008B7713">
        <w:rPr>
          <w:rFonts w:ascii="Times New Roman" w:hAnsi="Times New Roman" w:cs="Times New Roman"/>
        </w:rPr>
        <w:tab/>
        <w:t>NHANES 2019-2020 Questionnaire Data Overview. Published online National Health and Nutrition Examination. https://wwwn.cdc.gov/nchs/nhanes/continuousnhanes/overviewquex.aspx?BeginYear=2019</w:t>
      </w:r>
    </w:p>
    <w:p w14:paraId="31F98A0F"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24.</w:t>
      </w:r>
      <w:r w:rsidRPr="008B7713">
        <w:rPr>
          <w:rFonts w:ascii="Times New Roman" w:hAnsi="Times New Roman" w:cs="Times New Roman"/>
        </w:rPr>
        <w:tab/>
        <w:t>Metabolites of phthalates and phthalate alternatives. https://wwwn.cdc.gov/nchs/data/nhanes/public/2017/labmethods/PHTHTE-J-MET-508.pdf</w:t>
      </w:r>
    </w:p>
    <w:p w14:paraId="4D322AA7"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lastRenderedPageBreak/>
        <w:t>25.</w:t>
      </w:r>
      <w:r w:rsidRPr="008B7713">
        <w:rPr>
          <w:rFonts w:ascii="Times New Roman" w:hAnsi="Times New Roman" w:cs="Times New Roman"/>
        </w:rPr>
        <w:tab/>
        <w:t>Environmental Phenols (EPH_E). Published online 2011. https://wwwn.cdc.gov/Nchs/Data/Nhanes/Public/2007/DataFiles/EPH_E.htm</w:t>
      </w:r>
    </w:p>
    <w:p w14:paraId="189B3445"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26.</w:t>
      </w:r>
      <w:r w:rsidRPr="008B7713">
        <w:rPr>
          <w:rFonts w:ascii="Times New Roman" w:hAnsi="Times New Roman" w:cs="Times New Roman"/>
        </w:rPr>
        <w:tab/>
        <w:t xml:space="preserve">James-Todd T, Stahlhut R, Meeker JD, et al. Urinary phthalate metabolite concentrations and diabetes among women in the National Health and Nutrition Examination Survey (NHANES) 2001-2008. </w:t>
      </w:r>
      <w:r w:rsidRPr="008B7713">
        <w:rPr>
          <w:rFonts w:ascii="Times New Roman" w:hAnsi="Times New Roman" w:cs="Times New Roman"/>
          <w:i/>
          <w:iCs/>
        </w:rPr>
        <w:t>Environ Health Perspect</w:t>
      </w:r>
      <w:r w:rsidRPr="008B7713">
        <w:rPr>
          <w:rFonts w:ascii="Times New Roman" w:hAnsi="Times New Roman" w:cs="Times New Roman"/>
        </w:rPr>
        <w:t>. 2012;120(9):1307-1313. doi:10.1289/ehp.1104717</w:t>
      </w:r>
    </w:p>
    <w:p w14:paraId="1530E840"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27.</w:t>
      </w:r>
      <w:r w:rsidRPr="008B7713">
        <w:rPr>
          <w:rFonts w:ascii="Times New Roman" w:hAnsi="Times New Roman" w:cs="Times New Roman"/>
        </w:rPr>
        <w:tab/>
        <w:t>Personal Care and Consumer Product Chemicals and Metabolites (EPHPP_I). Published online January 2019. https://wwwn.cdc.gov/Nchs/Data/Nhanes/Public/2015/DataFiles/EPHPP_I.htm</w:t>
      </w:r>
    </w:p>
    <w:p w14:paraId="104AA709"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28.</w:t>
      </w:r>
      <w:r w:rsidRPr="008B7713">
        <w:rPr>
          <w:rFonts w:ascii="Times New Roman" w:hAnsi="Times New Roman" w:cs="Times New Roman"/>
        </w:rPr>
        <w:tab/>
        <w:t xml:space="preserve">Hartle JC, Navas-Acien A, Lawrence RS. The consumption of canned food and beverages and urinary Bisphenol A concentrations in NHANES 2003-2008. </w:t>
      </w:r>
      <w:r w:rsidRPr="008B7713">
        <w:rPr>
          <w:rFonts w:ascii="Times New Roman" w:hAnsi="Times New Roman" w:cs="Times New Roman"/>
          <w:i/>
          <w:iCs/>
        </w:rPr>
        <w:t>Environ Res</w:t>
      </w:r>
      <w:r w:rsidRPr="008B7713">
        <w:rPr>
          <w:rFonts w:ascii="Times New Roman" w:hAnsi="Times New Roman" w:cs="Times New Roman"/>
        </w:rPr>
        <w:t>. 2016;150:375-382. doi:10.1016/j.envres.2016.06.008</w:t>
      </w:r>
    </w:p>
    <w:p w14:paraId="1AF6B833"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29.</w:t>
      </w:r>
      <w:r w:rsidRPr="008B7713">
        <w:rPr>
          <w:rFonts w:ascii="Times New Roman" w:hAnsi="Times New Roman" w:cs="Times New Roman"/>
        </w:rPr>
        <w:tab/>
        <w:t>NHANES Demographics Variable List. https://wwwn.cdc.gov/nchs/nhanes/search/variablelist.aspx?Component=Demographics&amp;Cycle=</w:t>
      </w:r>
    </w:p>
    <w:p w14:paraId="055B5C84" w14:textId="06052B49" w:rsidR="00C0603E" w:rsidRPr="00277350" w:rsidRDefault="00C0603E" w:rsidP="008B7713">
      <w:pPr>
        <w:pStyle w:val="Bibliography"/>
        <w:rPr>
          <w:rFonts w:ascii="Times New Roman" w:hAnsi="Times New Roman" w:cs="Times New Roman"/>
        </w:rPr>
      </w:pPr>
      <w:r w:rsidRPr="00277350">
        <w:rPr>
          <w:rFonts w:ascii="Times New Roman" w:hAnsi="Times New Roman" w:cs="Times New Roman"/>
        </w:rPr>
        <w:fldChar w:fldCharType="end"/>
      </w:r>
    </w:p>
    <w:sectPr w:rsidR="00C0603E" w:rsidRPr="002773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3CEA"/>
    <w:multiLevelType w:val="hybridMultilevel"/>
    <w:tmpl w:val="636493AC"/>
    <w:lvl w:ilvl="0" w:tplc="39E6AEE0">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E5553"/>
    <w:multiLevelType w:val="hybridMultilevel"/>
    <w:tmpl w:val="8154F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637717"/>
    <w:multiLevelType w:val="hybridMultilevel"/>
    <w:tmpl w:val="D576A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816185"/>
    <w:multiLevelType w:val="hybridMultilevel"/>
    <w:tmpl w:val="0C5C75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E62CCB"/>
    <w:multiLevelType w:val="hybridMultilevel"/>
    <w:tmpl w:val="52088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E340A6"/>
    <w:multiLevelType w:val="hybridMultilevel"/>
    <w:tmpl w:val="DF5C6A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4562380">
    <w:abstractNumId w:val="0"/>
  </w:num>
  <w:num w:numId="2" w16cid:durableId="261888267">
    <w:abstractNumId w:val="2"/>
  </w:num>
  <w:num w:numId="3" w16cid:durableId="135802971">
    <w:abstractNumId w:val="1"/>
  </w:num>
  <w:num w:numId="4" w16cid:durableId="339965455">
    <w:abstractNumId w:val="5"/>
  </w:num>
  <w:num w:numId="5" w16cid:durableId="902060502">
    <w:abstractNumId w:val="4"/>
  </w:num>
  <w:num w:numId="6" w16cid:durableId="2133553037">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37B"/>
    <w:rsid w:val="00001343"/>
    <w:rsid w:val="00001D7A"/>
    <w:rsid w:val="00005A43"/>
    <w:rsid w:val="000225B6"/>
    <w:rsid w:val="00032A41"/>
    <w:rsid w:val="000341DD"/>
    <w:rsid w:val="00043DA3"/>
    <w:rsid w:val="00045F19"/>
    <w:rsid w:val="00054728"/>
    <w:rsid w:val="000749AE"/>
    <w:rsid w:val="00076D73"/>
    <w:rsid w:val="00081198"/>
    <w:rsid w:val="0009625C"/>
    <w:rsid w:val="000A1DF0"/>
    <w:rsid w:val="000A4A14"/>
    <w:rsid w:val="000A6676"/>
    <w:rsid w:val="000B09E5"/>
    <w:rsid w:val="000B7464"/>
    <w:rsid w:val="000C4B0C"/>
    <w:rsid w:val="000D6F0B"/>
    <w:rsid w:val="000E7187"/>
    <w:rsid w:val="001070EE"/>
    <w:rsid w:val="00112384"/>
    <w:rsid w:val="00116B49"/>
    <w:rsid w:val="00155940"/>
    <w:rsid w:val="00161776"/>
    <w:rsid w:val="00171CA7"/>
    <w:rsid w:val="001771DC"/>
    <w:rsid w:val="00191AFF"/>
    <w:rsid w:val="001A124E"/>
    <w:rsid w:val="001A377C"/>
    <w:rsid w:val="001A5D88"/>
    <w:rsid w:val="001D5FBA"/>
    <w:rsid w:val="001D7C4B"/>
    <w:rsid w:val="001E1669"/>
    <w:rsid w:val="001F1E85"/>
    <w:rsid w:val="00200246"/>
    <w:rsid w:val="00230877"/>
    <w:rsid w:val="002336F4"/>
    <w:rsid w:val="002472DD"/>
    <w:rsid w:val="00247AB3"/>
    <w:rsid w:val="00263A77"/>
    <w:rsid w:val="002648A6"/>
    <w:rsid w:val="00277350"/>
    <w:rsid w:val="00280E8F"/>
    <w:rsid w:val="00285E07"/>
    <w:rsid w:val="002915E5"/>
    <w:rsid w:val="002A63E3"/>
    <w:rsid w:val="002C0551"/>
    <w:rsid w:val="002E0372"/>
    <w:rsid w:val="002E0446"/>
    <w:rsid w:val="002E22BF"/>
    <w:rsid w:val="002E753D"/>
    <w:rsid w:val="002F6CA9"/>
    <w:rsid w:val="003018AA"/>
    <w:rsid w:val="00303A7A"/>
    <w:rsid w:val="0031401C"/>
    <w:rsid w:val="0033188F"/>
    <w:rsid w:val="003328C5"/>
    <w:rsid w:val="00334FCF"/>
    <w:rsid w:val="00335EE6"/>
    <w:rsid w:val="00337DFB"/>
    <w:rsid w:val="00340FE6"/>
    <w:rsid w:val="00342810"/>
    <w:rsid w:val="0034498D"/>
    <w:rsid w:val="00352220"/>
    <w:rsid w:val="003565C2"/>
    <w:rsid w:val="00361061"/>
    <w:rsid w:val="003909C5"/>
    <w:rsid w:val="003924AE"/>
    <w:rsid w:val="003A503A"/>
    <w:rsid w:val="003B10A7"/>
    <w:rsid w:val="003B1988"/>
    <w:rsid w:val="003B444A"/>
    <w:rsid w:val="003B6DAD"/>
    <w:rsid w:val="003C65CB"/>
    <w:rsid w:val="003D060B"/>
    <w:rsid w:val="003D09EF"/>
    <w:rsid w:val="003D6105"/>
    <w:rsid w:val="003D6ED2"/>
    <w:rsid w:val="003E68D3"/>
    <w:rsid w:val="00401866"/>
    <w:rsid w:val="00402BD6"/>
    <w:rsid w:val="004130C3"/>
    <w:rsid w:val="00420CAA"/>
    <w:rsid w:val="00434E01"/>
    <w:rsid w:val="0044526E"/>
    <w:rsid w:val="00461342"/>
    <w:rsid w:val="004710DD"/>
    <w:rsid w:val="00476499"/>
    <w:rsid w:val="00476F3A"/>
    <w:rsid w:val="00484787"/>
    <w:rsid w:val="00484F2E"/>
    <w:rsid w:val="004972DD"/>
    <w:rsid w:val="004974CF"/>
    <w:rsid w:val="004A0E96"/>
    <w:rsid w:val="004A15B9"/>
    <w:rsid w:val="004A6252"/>
    <w:rsid w:val="004A6DD2"/>
    <w:rsid w:val="004B3E5E"/>
    <w:rsid w:val="004B44CA"/>
    <w:rsid w:val="004B5416"/>
    <w:rsid w:val="004B62F0"/>
    <w:rsid w:val="004C6A3F"/>
    <w:rsid w:val="004D01B5"/>
    <w:rsid w:val="004D4177"/>
    <w:rsid w:val="004F67F9"/>
    <w:rsid w:val="00506440"/>
    <w:rsid w:val="00540331"/>
    <w:rsid w:val="005441D6"/>
    <w:rsid w:val="005453EB"/>
    <w:rsid w:val="00545CAE"/>
    <w:rsid w:val="00547AF5"/>
    <w:rsid w:val="00551A7A"/>
    <w:rsid w:val="00553744"/>
    <w:rsid w:val="00557A4B"/>
    <w:rsid w:val="005704C4"/>
    <w:rsid w:val="005775F3"/>
    <w:rsid w:val="00580499"/>
    <w:rsid w:val="00580697"/>
    <w:rsid w:val="00580FE7"/>
    <w:rsid w:val="005951E4"/>
    <w:rsid w:val="00597784"/>
    <w:rsid w:val="005A7C8C"/>
    <w:rsid w:val="005B17AD"/>
    <w:rsid w:val="005B3884"/>
    <w:rsid w:val="005B442D"/>
    <w:rsid w:val="005C6FB8"/>
    <w:rsid w:val="005D1FCC"/>
    <w:rsid w:val="005D3384"/>
    <w:rsid w:val="005D76C2"/>
    <w:rsid w:val="005E0C72"/>
    <w:rsid w:val="005E4878"/>
    <w:rsid w:val="005E55AF"/>
    <w:rsid w:val="005F08E9"/>
    <w:rsid w:val="005F4B8C"/>
    <w:rsid w:val="00616893"/>
    <w:rsid w:val="00620F58"/>
    <w:rsid w:val="006244A3"/>
    <w:rsid w:val="00625F58"/>
    <w:rsid w:val="00627A03"/>
    <w:rsid w:val="00633002"/>
    <w:rsid w:val="00634D02"/>
    <w:rsid w:val="0063626E"/>
    <w:rsid w:val="006473C3"/>
    <w:rsid w:val="006537BF"/>
    <w:rsid w:val="00657ED1"/>
    <w:rsid w:val="006647FC"/>
    <w:rsid w:val="006761BD"/>
    <w:rsid w:val="00681F56"/>
    <w:rsid w:val="0068216F"/>
    <w:rsid w:val="006911D6"/>
    <w:rsid w:val="006B7CCA"/>
    <w:rsid w:val="006C1AE2"/>
    <w:rsid w:val="006E63BF"/>
    <w:rsid w:val="006F2680"/>
    <w:rsid w:val="006F2BD4"/>
    <w:rsid w:val="006F2DEC"/>
    <w:rsid w:val="007049FD"/>
    <w:rsid w:val="00706254"/>
    <w:rsid w:val="0070631D"/>
    <w:rsid w:val="00710957"/>
    <w:rsid w:val="0071569B"/>
    <w:rsid w:val="007347C2"/>
    <w:rsid w:val="00736062"/>
    <w:rsid w:val="0074381C"/>
    <w:rsid w:val="00746DC7"/>
    <w:rsid w:val="00747532"/>
    <w:rsid w:val="00747697"/>
    <w:rsid w:val="0075306E"/>
    <w:rsid w:val="00760D0F"/>
    <w:rsid w:val="007707ED"/>
    <w:rsid w:val="007862A4"/>
    <w:rsid w:val="00797B15"/>
    <w:rsid w:val="007A2013"/>
    <w:rsid w:val="007A6776"/>
    <w:rsid w:val="007C4A12"/>
    <w:rsid w:val="007C6351"/>
    <w:rsid w:val="007D770F"/>
    <w:rsid w:val="007E4793"/>
    <w:rsid w:val="007F5055"/>
    <w:rsid w:val="00810A96"/>
    <w:rsid w:val="00816858"/>
    <w:rsid w:val="008204C5"/>
    <w:rsid w:val="00833064"/>
    <w:rsid w:val="008372A9"/>
    <w:rsid w:val="00842992"/>
    <w:rsid w:val="00843150"/>
    <w:rsid w:val="00852499"/>
    <w:rsid w:val="00856BF2"/>
    <w:rsid w:val="0086036C"/>
    <w:rsid w:val="008731CE"/>
    <w:rsid w:val="0087386A"/>
    <w:rsid w:val="00875E2D"/>
    <w:rsid w:val="00880253"/>
    <w:rsid w:val="00880AC8"/>
    <w:rsid w:val="008873D3"/>
    <w:rsid w:val="008A3493"/>
    <w:rsid w:val="008B2F78"/>
    <w:rsid w:val="008B7713"/>
    <w:rsid w:val="008C4875"/>
    <w:rsid w:val="008C5206"/>
    <w:rsid w:val="008D2777"/>
    <w:rsid w:val="008E06D7"/>
    <w:rsid w:val="008E64E0"/>
    <w:rsid w:val="008F59B4"/>
    <w:rsid w:val="008F68A7"/>
    <w:rsid w:val="008F75D3"/>
    <w:rsid w:val="0090202E"/>
    <w:rsid w:val="00926741"/>
    <w:rsid w:val="00931C39"/>
    <w:rsid w:val="00932135"/>
    <w:rsid w:val="0093307D"/>
    <w:rsid w:val="0093728E"/>
    <w:rsid w:val="0094584E"/>
    <w:rsid w:val="00957EDA"/>
    <w:rsid w:val="0096184C"/>
    <w:rsid w:val="00966159"/>
    <w:rsid w:val="00977C85"/>
    <w:rsid w:val="00992001"/>
    <w:rsid w:val="009A63FB"/>
    <w:rsid w:val="009A6CE1"/>
    <w:rsid w:val="009B53E2"/>
    <w:rsid w:val="009E153E"/>
    <w:rsid w:val="009F0D94"/>
    <w:rsid w:val="009F3EE2"/>
    <w:rsid w:val="009F4A91"/>
    <w:rsid w:val="00A10AEA"/>
    <w:rsid w:val="00A13F7F"/>
    <w:rsid w:val="00A2484B"/>
    <w:rsid w:val="00A27074"/>
    <w:rsid w:val="00A303BA"/>
    <w:rsid w:val="00A35A31"/>
    <w:rsid w:val="00A40315"/>
    <w:rsid w:val="00A445B1"/>
    <w:rsid w:val="00A44A68"/>
    <w:rsid w:val="00A45FA2"/>
    <w:rsid w:val="00A522FA"/>
    <w:rsid w:val="00A5449D"/>
    <w:rsid w:val="00A554CA"/>
    <w:rsid w:val="00A56288"/>
    <w:rsid w:val="00A56DD0"/>
    <w:rsid w:val="00A648CB"/>
    <w:rsid w:val="00A73232"/>
    <w:rsid w:val="00A83CC3"/>
    <w:rsid w:val="00A85E66"/>
    <w:rsid w:val="00A919E9"/>
    <w:rsid w:val="00A9531A"/>
    <w:rsid w:val="00A96837"/>
    <w:rsid w:val="00AA2F15"/>
    <w:rsid w:val="00AA3B9E"/>
    <w:rsid w:val="00AA4041"/>
    <w:rsid w:val="00AA54C7"/>
    <w:rsid w:val="00AB24D7"/>
    <w:rsid w:val="00AC3D53"/>
    <w:rsid w:val="00AC7012"/>
    <w:rsid w:val="00AD2F5C"/>
    <w:rsid w:val="00AD3A8F"/>
    <w:rsid w:val="00AD742E"/>
    <w:rsid w:val="00AE320D"/>
    <w:rsid w:val="00AF0545"/>
    <w:rsid w:val="00B038D8"/>
    <w:rsid w:val="00B0762C"/>
    <w:rsid w:val="00B157CC"/>
    <w:rsid w:val="00B2402A"/>
    <w:rsid w:val="00B30247"/>
    <w:rsid w:val="00B308B3"/>
    <w:rsid w:val="00B462B1"/>
    <w:rsid w:val="00B51CE2"/>
    <w:rsid w:val="00B52047"/>
    <w:rsid w:val="00B5540B"/>
    <w:rsid w:val="00B575A1"/>
    <w:rsid w:val="00B64D69"/>
    <w:rsid w:val="00B6793B"/>
    <w:rsid w:val="00B75550"/>
    <w:rsid w:val="00B77E3A"/>
    <w:rsid w:val="00B80C18"/>
    <w:rsid w:val="00B836E0"/>
    <w:rsid w:val="00B87A5F"/>
    <w:rsid w:val="00BA40BD"/>
    <w:rsid w:val="00BC118E"/>
    <w:rsid w:val="00BC1D61"/>
    <w:rsid w:val="00BC3578"/>
    <w:rsid w:val="00BC6F36"/>
    <w:rsid w:val="00BD129C"/>
    <w:rsid w:val="00BE530C"/>
    <w:rsid w:val="00BE65DE"/>
    <w:rsid w:val="00BF059B"/>
    <w:rsid w:val="00C04778"/>
    <w:rsid w:val="00C0603E"/>
    <w:rsid w:val="00C060F9"/>
    <w:rsid w:val="00C14D35"/>
    <w:rsid w:val="00C254EB"/>
    <w:rsid w:val="00C2692B"/>
    <w:rsid w:val="00C362E5"/>
    <w:rsid w:val="00C42B8F"/>
    <w:rsid w:val="00C504BA"/>
    <w:rsid w:val="00C5109B"/>
    <w:rsid w:val="00C5206E"/>
    <w:rsid w:val="00C53034"/>
    <w:rsid w:val="00C638F2"/>
    <w:rsid w:val="00C64215"/>
    <w:rsid w:val="00C645AA"/>
    <w:rsid w:val="00C66279"/>
    <w:rsid w:val="00C7082E"/>
    <w:rsid w:val="00C723CF"/>
    <w:rsid w:val="00C756E2"/>
    <w:rsid w:val="00C760B5"/>
    <w:rsid w:val="00C854B7"/>
    <w:rsid w:val="00C87654"/>
    <w:rsid w:val="00C9798C"/>
    <w:rsid w:val="00CA02A8"/>
    <w:rsid w:val="00CB1C47"/>
    <w:rsid w:val="00CB7D32"/>
    <w:rsid w:val="00CC4512"/>
    <w:rsid w:val="00CE1027"/>
    <w:rsid w:val="00CE222E"/>
    <w:rsid w:val="00CE23C0"/>
    <w:rsid w:val="00CE2ED7"/>
    <w:rsid w:val="00CE4EEC"/>
    <w:rsid w:val="00CF00EB"/>
    <w:rsid w:val="00D0301C"/>
    <w:rsid w:val="00D11D2F"/>
    <w:rsid w:val="00D11DD0"/>
    <w:rsid w:val="00D40919"/>
    <w:rsid w:val="00D41F63"/>
    <w:rsid w:val="00D46AFA"/>
    <w:rsid w:val="00D56237"/>
    <w:rsid w:val="00D64853"/>
    <w:rsid w:val="00D714BD"/>
    <w:rsid w:val="00D93D00"/>
    <w:rsid w:val="00D94F98"/>
    <w:rsid w:val="00DA7011"/>
    <w:rsid w:val="00DA73BC"/>
    <w:rsid w:val="00DB22D1"/>
    <w:rsid w:val="00DB3EAB"/>
    <w:rsid w:val="00DB5AAE"/>
    <w:rsid w:val="00DC0319"/>
    <w:rsid w:val="00DC210B"/>
    <w:rsid w:val="00DC2BF9"/>
    <w:rsid w:val="00DD7858"/>
    <w:rsid w:val="00DE4DF2"/>
    <w:rsid w:val="00DE5B65"/>
    <w:rsid w:val="00DE60D5"/>
    <w:rsid w:val="00DE63C1"/>
    <w:rsid w:val="00DE737B"/>
    <w:rsid w:val="00DE759E"/>
    <w:rsid w:val="00DF02D5"/>
    <w:rsid w:val="00DF27E1"/>
    <w:rsid w:val="00DF2F6F"/>
    <w:rsid w:val="00DF5CEE"/>
    <w:rsid w:val="00E0668E"/>
    <w:rsid w:val="00E13B6A"/>
    <w:rsid w:val="00E373F8"/>
    <w:rsid w:val="00E4150D"/>
    <w:rsid w:val="00E424F9"/>
    <w:rsid w:val="00E44135"/>
    <w:rsid w:val="00E57A52"/>
    <w:rsid w:val="00E666B3"/>
    <w:rsid w:val="00E766CB"/>
    <w:rsid w:val="00E84535"/>
    <w:rsid w:val="00E861AF"/>
    <w:rsid w:val="00E87350"/>
    <w:rsid w:val="00E878E9"/>
    <w:rsid w:val="00E934B8"/>
    <w:rsid w:val="00E963E2"/>
    <w:rsid w:val="00E97107"/>
    <w:rsid w:val="00EA3ED8"/>
    <w:rsid w:val="00EA4427"/>
    <w:rsid w:val="00EA635A"/>
    <w:rsid w:val="00EB1669"/>
    <w:rsid w:val="00EB1DF5"/>
    <w:rsid w:val="00EB4CCE"/>
    <w:rsid w:val="00EB5863"/>
    <w:rsid w:val="00EB7513"/>
    <w:rsid w:val="00EC6CA7"/>
    <w:rsid w:val="00ED3448"/>
    <w:rsid w:val="00ED3C87"/>
    <w:rsid w:val="00ED67FD"/>
    <w:rsid w:val="00EE0A37"/>
    <w:rsid w:val="00F041C4"/>
    <w:rsid w:val="00F117F7"/>
    <w:rsid w:val="00F15130"/>
    <w:rsid w:val="00F215CE"/>
    <w:rsid w:val="00F27F7F"/>
    <w:rsid w:val="00F305D7"/>
    <w:rsid w:val="00F37E35"/>
    <w:rsid w:val="00F37F29"/>
    <w:rsid w:val="00F4099D"/>
    <w:rsid w:val="00F425F1"/>
    <w:rsid w:val="00F45866"/>
    <w:rsid w:val="00F51B85"/>
    <w:rsid w:val="00F651D2"/>
    <w:rsid w:val="00F67CB8"/>
    <w:rsid w:val="00F7121E"/>
    <w:rsid w:val="00F73FCB"/>
    <w:rsid w:val="00F80F9E"/>
    <w:rsid w:val="00F811A9"/>
    <w:rsid w:val="00F827CD"/>
    <w:rsid w:val="00F85D19"/>
    <w:rsid w:val="00F9022F"/>
    <w:rsid w:val="00F923BA"/>
    <w:rsid w:val="00F95B7A"/>
    <w:rsid w:val="00F9615E"/>
    <w:rsid w:val="00F97717"/>
    <w:rsid w:val="00FA6396"/>
    <w:rsid w:val="00FB69CA"/>
    <w:rsid w:val="00FC0616"/>
    <w:rsid w:val="00FC1D8D"/>
    <w:rsid w:val="00FC28E1"/>
    <w:rsid w:val="00FC4BC5"/>
    <w:rsid w:val="00FD222E"/>
    <w:rsid w:val="00FD28A5"/>
    <w:rsid w:val="00FD6C39"/>
    <w:rsid w:val="00FD789C"/>
    <w:rsid w:val="00FE04DD"/>
    <w:rsid w:val="00FE29BD"/>
    <w:rsid w:val="00FE5552"/>
    <w:rsid w:val="00FF6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DF204"/>
  <w15:chartTrackingRefBased/>
  <w15:docId w15:val="{38DD43C7-0950-9F44-AF90-EB34AAFE6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CA7"/>
  </w:style>
  <w:style w:type="paragraph" w:styleId="Heading1">
    <w:name w:val="heading 1"/>
    <w:basedOn w:val="Normal"/>
    <w:next w:val="Normal"/>
    <w:link w:val="Heading1Char"/>
    <w:uiPriority w:val="9"/>
    <w:qFormat/>
    <w:rsid w:val="00DE7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7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7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7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7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37B"/>
    <w:rPr>
      <w:rFonts w:eastAsiaTheme="majorEastAsia" w:cstheme="majorBidi"/>
      <w:color w:val="272727" w:themeColor="text1" w:themeTint="D8"/>
    </w:rPr>
  </w:style>
  <w:style w:type="paragraph" w:styleId="Title">
    <w:name w:val="Title"/>
    <w:basedOn w:val="Normal"/>
    <w:next w:val="Normal"/>
    <w:link w:val="TitleChar"/>
    <w:uiPriority w:val="10"/>
    <w:qFormat/>
    <w:rsid w:val="00DE7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37B"/>
    <w:pPr>
      <w:spacing w:before="160"/>
      <w:jc w:val="center"/>
    </w:pPr>
    <w:rPr>
      <w:i/>
      <w:iCs/>
      <w:color w:val="404040" w:themeColor="text1" w:themeTint="BF"/>
    </w:rPr>
  </w:style>
  <w:style w:type="character" w:customStyle="1" w:styleId="QuoteChar">
    <w:name w:val="Quote Char"/>
    <w:basedOn w:val="DefaultParagraphFont"/>
    <w:link w:val="Quote"/>
    <w:uiPriority w:val="29"/>
    <w:rsid w:val="00DE737B"/>
    <w:rPr>
      <w:i/>
      <w:iCs/>
      <w:color w:val="404040" w:themeColor="text1" w:themeTint="BF"/>
    </w:rPr>
  </w:style>
  <w:style w:type="paragraph" w:styleId="ListParagraph">
    <w:name w:val="List Paragraph"/>
    <w:basedOn w:val="Normal"/>
    <w:uiPriority w:val="34"/>
    <w:qFormat/>
    <w:rsid w:val="00DE737B"/>
    <w:pPr>
      <w:ind w:left="720"/>
      <w:contextualSpacing/>
    </w:pPr>
  </w:style>
  <w:style w:type="character" w:styleId="IntenseEmphasis">
    <w:name w:val="Intense Emphasis"/>
    <w:basedOn w:val="DefaultParagraphFont"/>
    <w:uiPriority w:val="21"/>
    <w:qFormat/>
    <w:rsid w:val="00DE737B"/>
    <w:rPr>
      <w:i/>
      <w:iCs/>
      <w:color w:val="0F4761" w:themeColor="accent1" w:themeShade="BF"/>
    </w:rPr>
  </w:style>
  <w:style w:type="paragraph" w:styleId="IntenseQuote">
    <w:name w:val="Intense Quote"/>
    <w:basedOn w:val="Normal"/>
    <w:next w:val="Normal"/>
    <w:link w:val="IntenseQuoteChar"/>
    <w:uiPriority w:val="30"/>
    <w:qFormat/>
    <w:rsid w:val="00DE7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37B"/>
    <w:rPr>
      <w:i/>
      <w:iCs/>
      <w:color w:val="0F4761" w:themeColor="accent1" w:themeShade="BF"/>
    </w:rPr>
  </w:style>
  <w:style w:type="character" w:styleId="IntenseReference">
    <w:name w:val="Intense Reference"/>
    <w:basedOn w:val="DefaultParagraphFont"/>
    <w:uiPriority w:val="32"/>
    <w:qFormat/>
    <w:rsid w:val="00DE737B"/>
    <w:rPr>
      <w:b/>
      <w:bCs/>
      <w:smallCaps/>
      <w:color w:val="0F4761" w:themeColor="accent1" w:themeShade="BF"/>
      <w:spacing w:val="5"/>
    </w:rPr>
  </w:style>
  <w:style w:type="paragraph" w:styleId="NormalWeb">
    <w:name w:val="Normal (Web)"/>
    <w:basedOn w:val="Normal"/>
    <w:uiPriority w:val="99"/>
    <w:unhideWhenUsed/>
    <w:rsid w:val="008873D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810A96"/>
    <w:pPr>
      <w:spacing w:after="0" w:line="240" w:lineRule="auto"/>
    </w:pPr>
  </w:style>
  <w:style w:type="character" w:styleId="CommentReference">
    <w:name w:val="annotation reference"/>
    <w:basedOn w:val="DefaultParagraphFont"/>
    <w:uiPriority w:val="99"/>
    <w:semiHidden/>
    <w:unhideWhenUsed/>
    <w:rsid w:val="00810A96"/>
    <w:rPr>
      <w:sz w:val="16"/>
      <w:szCs w:val="16"/>
    </w:rPr>
  </w:style>
  <w:style w:type="paragraph" w:styleId="CommentText">
    <w:name w:val="annotation text"/>
    <w:basedOn w:val="Normal"/>
    <w:link w:val="CommentTextChar"/>
    <w:uiPriority w:val="99"/>
    <w:unhideWhenUsed/>
    <w:rsid w:val="00810A96"/>
    <w:pPr>
      <w:spacing w:line="240" w:lineRule="auto"/>
    </w:pPr>
    <w:rPr>
      <w:sz w:val="20"/>
      <w:szCs w:val="20"/>
    </w:rPr>
  </w:style>
  <w:style w:type="character" w:customStyle="1" w:styleId="CommentTextChar">
    <w:name w:val="Comment Text Char"/>
    <w:basedOn w:val="DefaultParagraphFont"/>
    <w:link w:val="CommentText"/>
    <w:uiPriority w:val="99"/>
    <w:rsid w:val="00810A96"/>
    <w:rPr>
      <w:sz w:val="20"/>
      <w:szCs w:val="20"/>
    </w:rPr>
  </w:style>
  <w:style w:type="paragraph" w:styleId="CommentSubject">
    <w:name w:val="annotation subject"/>
    <w:basedOn w:val="CommentText"/>
    <w:next w:val="CommentText"/>
    <w:link w:val="CommentSubjectChar"/>
    <w:uiPriority w:val="99"/>
    <w:semiHidden/>
    <w:unhideWhenUsed/>
    <w:rsid w:val="00810A96"/>
    <w:rPr>
      <w:b/>
      <w:bCs/>
    </w:rPr>
  </w:style>
  <w:style w:type="character" w:customStyle="1" w:styleId="CommentSubjectChar">
    <w:name w:val="Comment Subject Char"/>
    <w:basedOn w:val="CommentTextChar"/>
    <w:link w:val="CommentSubject"/>
    <w:uiPriority w:val="99"/>
    <w:semiHidden/>
    <w:rsid w:val="00810A96"/>
    <w:rPr>
      <w:b/>
      <w:bCs/>
      <w:sz w:val="20"/>
      <w:szCs w:val="20"/>
    </w:rPr>
  </w:style>
  <w:style w:type="character" w:styleId="Hyperlink">
    <w:name w:val="Hyperlink"/>
    <w:basedOn w:val="DefaultParagraphFont"/>
    <w:uiPriority w:val="99"/>
    <w:unhideWhenUsed/>
    <w:rsid w:val="00E963E2"/>
    <w:rPr>
      <w:color w:val="467886" w:themeColor="hyperlink"/>
      <w:u w:val="single"/>
    </w:rPr>
  </w:style>
  <w:style w:type="character" w:styleId="UnresolvedMention">
    <w:name w:val="Unresolved Mention"/>
    <w:basedOn w:val="DefaultParagraphFont"/>
    <w:uiPriority w:val="99"/>
    <w:semiHidden/>
    <w:unhideWhenUsed/>
    <w:rsid w:val="00E963E2"/>
    <w:rPr>
      <w:color w:val="605E5C"/>
      <w:shd w:val="clear" w:color="auto" w:fill="E1DFDD"/>
    </w:rPr>
  </w:style>
  <w:style w:type="table" w:styleId="TableGrid">
    <w:name w:val="Table Grid"/>
    <w:basedOn w:val="TableNormal"/>
    <w:uiPriority w:val="39"/>
    <w:rsid w:val="00860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6036C"/>
    <w:rPr>
      <w:color w:val="666666"/>
    </w:rPr>
  </w:style>
  <w:style w:type="paragraph" w:styleId="Header">
    <w:name w:val="header"/>
    <w:basedOn w:val="Normal"/>
    <w:link w:val="HeaderChar"/>
    <w:uiPriority w:val="99"/>
    <w:unhideWhenUsed/>
    <w:rsid w:val="008603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36C"/>
  </w:style>
  <w:style w:type="paragraph" w:styleId="Footer">
    <w:name w:val="footer"/>
    <w:basedOn w:val="Normal"/>
    <w:link w:val="FooterChar"/>
    <w:uiPriority w:val="99"/>
    <w:unhideWhenUsed/>
    <w:rsid w:val="008603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36C"/>
  </w:style>
  <w:style w:type="paragraph" w:styleId="Index1">
    <w:name w:val="index 1"/>
    <w:basedOn w:val="Normal"/>
    <w:next w:val="Normal"/>
    <w:autoRedefine/>
    <w:uiPriority w:val="99"/>
    <w:unhideWhenUsed/>
    <w:rsid w:val="0086036C"/>
    <w:pPr>
      <w:spacing w:after="0" w:line="240" w:lineRule="auto"/>
      <w:ind w:left="240" w:hanging="240"/>
    </w:pPr>
    <w:rPr>
      <w:sz w:val="20"/>
      <w:szCs w:val="20"/>
    </w:rPr>
  </w:style>
  <w:style w:type="paragraph" w:styleId="Index2">
    <w:name w:val="index 2"/>
    <w:basedOn w:val="Normal"/>
    <w:next w:val="Normal"/>
    <w:autoRedefine/>
    <w:uiPriority w:val="99"/>
    <w:unhideWhenUsed/>
    <w:rsid w:val="0086036C"/>
    <w:pPr>
      <w:spacing w:after="0" w:line="240" w:lineRule="auto"/>
      <w:ind w:left="480" w:hanging="240"/>
    </w:pPr>
    <w:rPr>
      <w:sz w:val="20"/>
      <w:szCs w:val="20"/>
    </w:rPr>
  </w:style>
  <w:style w:type="paragraph" w:styleId="Index3">
    <w:name w:val="index 3"/>
    <w:basedOn w:val="Normal"/>
    <w:next w:val="Normal"/>
    <w:autoRedefine/>
    <w:uiPriority w:val="99"/>
    <w:unhideWhenUsed/>
    <w:rsid w:val="0086036C"/>
    <w:pPr>
      <w:spacing w:after="0" w:line="240" w:lineRule="auto"/>
      <w:ind w:left="720" w:hanging="240"/>
    </w:pPr>
    <w:rPr>
      <w:sz w:val="20"/>
      <w:szCs w:val="20"/>
    </w:rPr>
  </w:style>
  <w:style w:type="paragraph" w:styleId="Index4">
    <w:name w:val="index 4"/>
    <w:basedOn w:val="Normal"/>
    <w:next w:val="Normal"/>
    <w:autoRedefine/>
    <w:uiPriority w:val="99"/>
    <w:unhideWhenUsed/>
    <w:rsid w:val="0086036C"/>
    <w:pPr>
      <w:spacing w:after="0" w:line="240" w:lineRule="auto"/>
      <w:ind w:left="960" w:hanging="240"/>
    </w:pPr>
    <w:rPr>
      <w:sz w:val="20"/>
      <w:szCs w:val="20"/>
    </w:rPr>
  </w:style>
  <w:style w:type="paragraph" w:styleId="Index5">
    <w:name w:val="index 5"/>
    <w:basedOn w:val="Normal"/>
    <w:next w:val="Normal"/>
    <w:autoRedefine/>
    <w:uiPriority w:val="99"/>
    <w:unhideWhenUsed/>
    <w:rsid w:val="0086036C"/>
    <w:pPr>
      <w:spacing w:after="0" w:line="240" w:lineRule="auto"/>
      <w:ind w:left="1200" w:hanging="240"/>
    </w:pPr>
    <w:rPr>
      <w:sz w:val="20"/>
      <w:szCs w:val="20"/>
    </w:rPr>
  </w:style>
  <w:style w:type="paragraph" w:styleId="Index6">
    <w:name w:val="index 6"/>
    <w:basedOn w:val="Normal"/>
    <w:next w:val="Normal"/>
    <w:autoRedefine/>
    <w:uiPriority w:val="99"/>
    <w:unhideWhenUsed/>
    <w:rsid w:val="0086036C"/>
    <w:pPr>
      <w:spacing w:after="0" w:line="240" w:lineRule="auto"/>
      <w:ind w:left="1440" w:hanging="240"/>
    </w:pPr>
    <w:rPr>
      <w:sz w:val="20"/>
      <w:szCs w:val="20"/>
    </w:rPr>
  </w:style>
  <w:style w:type="paragraph" w:styleId="Index7">
    <w:name w:val="index 7"/>
    <w:basedOn w:val="Normal"/>
    <w:next w:val="Normal"/>
    <w:autoRedefine/>
    <w:uiPriority w:val="99"/>
    <w:unhideWhenUsed/>
    <w:rsid w:val="0086036C"/>
    <w:pPr>
      <w:spacing w:after="0" w:line="240" w:lineRule="auto"/>
      <w:ind w:left="1680" w:hanging="240"/>
    </w:pPr>
    <w:rPr>
      <w:sz w:val="20"/>
      <w:szCs w:val="20"/>
    </w:rPr>
  </w:style>
  <w:style w:type="paragraph" w:styleId="Index8">
    <w:name w:val="index 8"/>
    <w:basedOn w:val="Normal"/>
    <w:next w:val="Normal"/>
    <w:autoRedefine/>
    <w:uiPriority w:val="99"/>
    <w:unhideWhenUsed/>
    <w:rsid w:val="0086036C"/>
    <w:pPr>
      <w:spacing w:after="0" w:line="240" w:lineRule="auto"/>
      <w:ind w:left="1920" w:hanging="240"/>
    </w:pPr>
    <w:rPr>
      <w:sz w:val="20"/>
      <w:szCs w:val="20"/>
    </w:rPr>
  </w:style>
  <w:style w:type="paragraph" w:styleId="Index9">
    <w:name w:val="index 9"/>
    <w:basedOn w:val="Normal"/>
    <w:next w:val="Normal"/>
    <w:autoRedefine/>
    <w:uiPriority w:val="99"/>
    <w:unhideWhenUsed/>
    <w:rsid w:val="0086036C"/>
    <w:pPr>
      <w:spacing w:after="0" w:line="240" w:lineRule="auto"/>
      <w:ind w:left="2160" w:hanging="240"/>
    </w:pPr>
    <w:rPr>
      <w:sz w:val="20"/>
      <w:szCs w:val="20"/>
    </w:rPr>
  </w:style>
  <w:style w:type="paragraph" w:styleId="IndexHeading">
    <w:name w:val="index heading"/>
    <w:basedOn w:val="Normal"/>
    <w:next w:val="Index1"/>
    <w:uiPriority w:val="99"/>
    <w:unhideWhenUsed/>
    <w:rsid w:val="0086036C"/>
    <w:pPr>
      <w:spacing w:before="120" w:after="120" w:line="240" w:lineRule="auto"/>
    </w:pPr>
    <w:rPr>
      <w:b/>
      <w:bCs/>
      <w:i/>
      <w:iCs/>
      <w:sz w:val="20"/>
      <w:szCs w:val="20"/>
    </w:rPr>
  </w:style>
  <w:style w:type="character" w:styleId="FollowedHyperlink">
    <w:name w:val="FollowedHyperlink"/>
    <w:basedOn w:val="DefaultParagraphFont"/>
    <w:uiPriority w:val="99"/>
    <w:semiHidden/>
    <w:unhideWhenUsed/>
    <w:rsid w:val="0086036C"/>
    <w:rPr>
      <w:color w:val="96607D"/>
      <w:u w:val="single"/>
    </w:rPr>
  </w:style>
  <w:style w:type="paragraph" w:customStyle="1" w:styleId="msonormal0">
    <w:name w:val="msonormal"/>
    <w:basedOn w:val="Normal"/>
    <w:rsid w:val="0086036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5">
    <w:name w:val="xl65"/>
    <w:basedOn w:val="Normal"/>
    <w:rsid w:val="0086036C"/>
    <w:pPr>
      <w:spacing w:before="100" w:beforeAutospacing="1" w:after="100" w:afterAutospacing="1" w:line="240" w:lineRule="auto"/>
      <w:jc w:val="center"/>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6036C"/>
    <w:rPr>
      <w:b/>
      <w:bCs/>
    </w:rPr>
  </w:style>
  <w:style w:type="paragraph" w:styleId="Bibliography">
    <w:name w:val="Bibliography"/>
    <w:basedOn w:val="Normal"/>
    <w:next w:val="Normal"/>
    <w:uiPriority w:val="37"/>
    <w:unhideWhenUsed/>
    <w:rsid w:val="00C0603E"/>
    <w:pPr>
      <w:tabs>
        <w:tab w:val="left" w:pos="380"/>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515345">
      <w:bodyDiv w:val="1"/>
      <w:marLeft w:val="0"/>
      <w:marRight w:val="0"/>
      <w:marTop w:val="0"/>
      <w:marBottom w:val="0"/>
      <w:divBdr>
        <w:top w:val="none" w:sz="0" w:space="0" w:color="auto"/>
        <w:left w:val="none" w:sz="0" w:space="0" w:color="auto"/>
        <w:bottom w:val="none" w:sz="0" w:space="0" w:color="auto"/>
        <w:right w:val="none" w:sz="0" w:space="0" w:color="auto"/>
      </w:divBdr>
      <w:divsChild>
        <w:div w:id="281573605">
          <w:marLeft w:val="547"/>
          <w:marRight w:val="0"/>
          <w:marTop w:val="0"/>
          <w:marBottom w:val="0"/>
          <w:divBdr>
            <w:top w:val="none" w:sz="0" w:space="0" w:color="auto"/>
            <w:left w:val="none" w:sz="0" w:space="0" w:color="auto"/>
            <w:bottom w:val="none" w:sz="0" w:space="0" w:color="auto"/>
            <w:right w:val="none" w:sz="0" w:space="0" w:color="auto"/>
          </w:divBdr>
        </w:div>
      </w:divsChild>
    </w:div>
    <w:div w:id="784350734">
      <w:bodyDiv w:val="1"/>
      <w:marLeft w:val="0"/>
      <w:marRight w:val="0"/>
      <w:marTop w:val="0"/>
      <w:marBottom w:val="0"/>
      <w:divBdr>
        <w:top w:val="none" w:sz="0" w:space="0" w:color="auto"/>
        <w:left w:val="none" w:sz="0" w:space="0" w:color="auto"/>
        <w:bottom w:val="none" w:sz="0" w:space="0" w:color="auto"/>
        <w:right w:val="none" w:sz="0" w:space="0" w:color="auto"/>
      </w:divBdr>
    </w:div>
    <w:div w:id="1090543132">
      <w:bodyDiv w:val="1"/>
      <w:marLeft w:val="0"/>
      <w:marRight w:val="0"/>
      <w:marTop w:val="0"/>
      <w:marBottom w:val="0"/>
      <w:divBdr>
        <w:top w:val="none" w:sz="0" w:space="0" w:color="auto"/>
        <w:left w:val="none" w:sz="0" w:space="0" w:color="auto"/>
        <w:bottom w:val="none" w:sz="0" w:space="0" w:color="auto"/>
        <w:right w:val="none" w:sz="0" w:space="0" w:color="auto"/>
      </w:divBdr>
    </w:div>
    <w:div w:id="1968244086">
      <w:bodyDiv w:val="1"/>
      <w:marLeft w:val="0"/>
      <w:marRight w:val="0"/>
      <w:marTop w:val="0"/>
      <w:marBottom w:val="0"/>
      <w:divBdr>
        <w:top w:val="none" w:sz="0" w:space="0" w:color="auto"/>
        <w:left w:val="none" w:sz="0" w:space="0" w:color="auto"/>
        <w:bottom w:val="none" w:sz="0" w:space="0" w:color="auto"/>
        <w:right w:val="none" w:sz="0" w:space="0" w:color="auto"/>
      </w:divBdr>
      <w:divsChild>
        <w:div w:id="922375520">
          <w:marLeft w:val="547"/>
          <w:marRight w:val="0"/>
          <w:marTop w:val="0"/>
          <w:marBottom w:val="0"/>
          <w:divBdr>
            <w:top w:val="none" w:sz="0" w:space="0" w:color="auto"/>
            <w:left w:val="none" w:sz="0" w:space="0" w:color="auto"/>
            <w:bottom w:val="none" w:sz="0" w:space="0" w:color="auto"/>
            <w:right w:val="none" w:sz="0" w:space="0" w:color="auto"/>
          </w:divBdr>
        </w:div>
      </w:divsChild>
    </w:div>
    <w:div w:id="2049527904">
      <w:bodyDiv w:val="1"/>
      <w:marLeft w:val="0"/>
      <w:marRight w:val="0"/>
      <w:marTop w:val="0"/>
      <w:marBottom w:val="0"/>
      <w:divBdr>
        <w:top w:val="none" w:sz="0" w:space="0" w:color="auto"/>
        <w:left w:val="none" w:sz="0" w:space="0" w:color="auto"/>
        <w:bottom w:val="none" w:sz="0" w:space="0" w:color="auto"/>
        <w:right w:val="none" w:sz="0" w:space="0" w:color="auto"/>
      </w:divBdr>
    </w:div>
    <w:div w:id="205149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yishatyussuf@spelman.edu"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FB21D-0ECD-C74F-8F8E-CF2F3FE6D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20709</Words>
  <Characters>118042</Characters>
  <Application>Microsoft Office Word</Application>
  <DocSecurity>0</DocSecurity>
  <Lines>983</Lines>
  <Paragraphs>276</Paragraphs>
  <ScaleCrop>false</ScaleCrop>
  <Company/>
  <LinksUpToDate>false</LinksUpToDate>
  <CharactersWithSpaces>138475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Ayishat Abimbola Yussuf</dc:creator>
  <cp:keywords/>
  <dc:description/>
  <cp:lastModifiedBy>Ayishat Abimbola Yussuf</cp:lastModifiedBy>
  <cp:revision>2</cp:revision>
  <dcterms:created xsi:type="dcterms:W3CDTF">2026-02-10T16:48:00Z</dcterms:created>
  <dcterms:modified xsi:type="dcterms:W3CDTF">2026-02-10T16:48:00Z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id="ALZv7y7d"/&gt;&lt;style id="http://www.zotero.org/styles/american-medical-association" hasBibliography="1" bibliographyStyleHasBeenSet="1"/&gt;&lt;prefs&gt;&lt;pref name="fieldType" value="Field"/&gt;&lt;pref name="autom</vt:lpwstr>
  </property>
  <property fmtid="{D5CDD505-2E9C-101B-9397-08002B2CF9AE}" pid="3" name="ZOTERO_PREF_2">
    <vt:lpwstr>aticJournalAbbreviations" value="true"/&gt;&lt;/prefs&gt;&lt;/data&gt;</vt:lpwstr>
  </property>
</Properties>
</file>