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3B207" w14:textId="1A071E65" w:rsidR="005E0C72" w:rsidRPr="00277350" w:rsidRDefault="005E0C72" w:rsidP="00FB69CA">
      <w:pPr>
        <w:pStyle w:val="NormalWeb"/>
        <w:rPr>
          <w:b/>
          <w:bCs/>
        </w:rPr>
      </w:pPr>
      <w:r w:rsidRPr="00277350">
        <w:rPr>
          <w:b/>
          <w:bCs/>
        </w:rPr>
        <w:t>Introduction</w:t>
      </w:r>
    </w:p>
    <w:p w14:paraId="273C1538" w14:textId="57602B74" w:rsidR="00FB69CA" w:rsidRPr="00277350" w:rsidRDefault="00746DC7" w:rsidP="005E0C72">
      <w:pPr>
        <w:pStyle w:val="NormalWeb"/>
        <w:spacing w:before="0" w:beforeAutospacing="0" w:after="0" w:afterAutospacing="0"/>
        <w:ind w:firstLine="720"/>
      </w:pPr>
      <w:r w:rsidRPr="00277350">
        <w:t>In 2023, approximately 12.2 million adults experienced</w:t>
      </w:r>
      <w:r w:rsidR="00D11D2F" w:rsidRPr="00277350">
        <w:t xml:space="preserve"> reduced food security or</w:t>
      </w:r>
      <w:r w:rsidRPr="00277350">
        <w:t xml:space="preserve"> food insecurity.</w:t>
      </w:r>
      <w:r w:rsidR="00D714BD" w:rsidRPr="00277350">
        <w:fldChar w:fldCharType="begin"/>
      </w:r>
      <w:r w:rsidR="00E934B8" w:rsidRPr="00277350">
        <w:instrText xml:space="preserve"> ADDIN ZOTERO_ITEM CSL_CITATION {"citationID":"x9uojkJ2","properties":{"formattedCitation":"\\super 1\\nosupersub{}","plainCitation":"1","noteIndex":0},"citationItems":[{"id":58,"uris":["http://zotero.org/users/local/N9bAOqPz/items/G3XBXV9H"],"itemData":{"id":58,"type":"report","publisher":"United States Department of Agriculture","title":"Food Security in the U.S. - Definitions of Food Security","URL":"https://www.ers.usda.gov/topics/food-nutrition-assistance/food-security-in-the-us/definitions-of-food-security","author":[{"family":"Rabbitt","given":"Matthew"},{"family":"Hales","given":"Laura"},{"family":"Reed-Jones,","given":"Madeline"}],"issued":{"date-parts":[["2025"]]}}}],"schema":"https://github.com/citation-style-language/schema/raw/master/csl-citation.json"} </w:instrText>
      </w:r>
      <w:r w:rsidR="00D714BD" w:rsidRPr="00277350">
        <w:fldChar w:fldCharType="separate"/>
      </w:r>
      <w:r w:rsidR="00E934B8" w:rsidRPr="00277350">
        <w:rPr>
          <w:vertAlign w:val="superscript"/>
        </w:rPr>
        <w:t>1</w:t>
      </w:r>
      <w:r w:rsidR="00D714BD" w:rsidRPr="00277350">
        <w:fldChar w:fldCharType="end"/>
      </w:r>
      <w:r w:rsidR="00E934B8" w:rsidRPr="00277350">
        <w:t xml:space="preserve"> </w:t>
      </w:r>
      <w:r w:rsidR="00D11D2F" w:rsidRPr="00277350">
        <w:t>Food security is defined as “the reliable access to adequate food for a healthy lifestyle”</w:t>
      </w:r>
      <w:r w:rsidR="00D11D2F" w:rsidRPr="00277350">
        <w:fldChar w:fldCharType="begin"/>
      </w:r>
      <w:r w:rsidR="00D11D2F" w:rsidRPr="00277350">
        <w:instrText xml:space="preserve"> ADDIN ZOTERO_ITEM CSL_CITATION {"citationID":"z0ARFAwQ","properties":{"formattedCitation":"\\super 1\\nosupersub{}","plainCitation":"1","noteIndex":0},"citationItems":[{"id":58,"uris":["http://zotero.org/users/local/N9bAOqPz/items/G3XBXV9H"],"itemData":{"id":58,"type":"report","publisher":"United States Department of Agriculture","title":"Food Security in the U.S. - Definitions of Food Security","URL":"https://www.ers.usda.gov/topics/food-nutrition-assistance/food-security-in-the-us/definitions-of-food-security","author":[{"family":"Rabbitt","given":"Matthew"},{"family":"Hales","given":"Laura"},{"family":"Reed-Jones,","given":"Madeline"}],"issued":{"date-parts":[["2025"]]}}}],"schema":"https://github.com/citation-style-language/schema/raw/master/csl-citation.json"} </w:instrText>
      </w:r>
      <w:r w:rsidR="00D11D2F" w:rsidRPr="00277350">
        <w:fldChar w:fldCharType="separate"/>
      </w:r>
      <w:r w:rsidR="00D11D2F" w:rsidRPr="00277350">
        <w:rPr>
          <w:vertAlign w:val="superscript"/>
        </w:rPr>
        <w:t>1</w:t>
      </w:r>
      <w:r w:rsidR="00D11D2F" w:rsidRPr="00277350">
        <w:fldChar w:fldCharType="end"/>
      </w:r>
      <w:r w:rsidR="00D11D2F" w:rsidRPr="00277350">
        <w:t>, while food insecurity refers to limited or uncertain access due to financial or resource constraints.</w:t>
      </w:r>
      <w:r w:rsidR="00992001" w:rsidRPr="00277350">
        <w:fldChar w:fldCharType="begin"/>
      </w:r>
      <w:r w:rsidR="00B836E0" w:rsidRPr="00277350">
        <w:instrText xml:space="preserve"> ADDIN ZOTERO_ITEM CSL_CITATION {"citationID":"ECHB4vZZ","properties":{"unsorted":false,"formattedCitation":"\\super 1,2\\nosupersub{}","plainCitation":"1,2","noteIndex":0},"citationItems":[{"id":58,"uris":["http://zotero.org/users/local/N9bAOqPz/items/G3XBXV9H"],"itemData":{"id":58,"type":"report","publisher":"United States Department of Agriculture","title":"Food Security in the U.S. - Definitions of Food Security","URL":"https://www.ers.usda.gov/topics/food-nutrition-assistance/food-security-in-the-us/definitions-of-food-security","author":[{"family":"Rabbitt","given":"Matthew"},{"family":"Hales","given":"Laura"},{"family":"Reed-Jones,","given":"Madeline"}],"issued":{"date-parts":[["2025"]]}}},{"id":86,"uris":["http://zotero.org/users/local/N9bAOqPz/items/PBF3ZM5K"],"itemData":{"id":86,"type":"article-journal","abstract":"BACKGROUND: Food insecurity, lack of consistent access to the food needed for an active, healthy life, harms population health. Although substantial biomedical evidence examines the connections between food insecurity and health, fewer studies examine why food insecurity occurs.\nMETHODS: We propose a conceptual understanding of food insecurity risk based on institutions that distribute income-the factor payment system (income distribution stemming from paid labor and asset ownership), transfers within households, and the government tax-and-transfer system. A key feature of our understanding is 'roles' individuals inhabit in relation to the factor payment system: child, older adult, disabled working-age adult, student, unemployed individual, caregiver, or paid laborer. A second feature is that the roles of others in an individual's household also affect an individual's food insecurity risk. We tested hypotheses implied by this understanding, particularly hypotheses relating to role, household composition, and income support programs, using nationally-representative, longitudinal U.S. Current Population Survey data (2016-2019).\nRESULTS: There were 16,884 participants (year 1 food insecurity prevalence: 10.0%). Inhabiting roles of child (Relative Risk [RR] 1.79, 95% Confidence Interval [95%CI] 1.67 to 1.93), disabled working age-adult (RR 3.74, 95%CI 3.25 to 4.31), or unemployed individual (RR 3.29, 95%CI 2.51 to 4.33) were associated with a greater risk of food insecurity than being a paid laborer. Most food insecure households, 74.8%, had members inhabiting roles of child or disabled working age-adult, and/or contained individuals who experienced job loss. Similar associations held when examining those transitioning from food insecurity to food security in year 2.\nCONCLUSIONS: The proposed understanding accords with the pattern of food insecurity risk observed in the U.S. An implication is that transfer income programs for individuals inhabiting roles, such as childhood and disability, that limit factor payment system participation may reduce food insecurity risk for both those individuals and those in their household.","container-title":"SSM - population health","DOI":"10.1016/j.ssmph.2023.101569","ISSN":"2352-8273","journalAbbreviation":"SSM Popul Health","language":"eng","page":"101569","PMID":"38156292","PMCID":"PMC10753081","source":"PubMed","title":"Understanding food insecurity risk in the United States: A longitudinal analysis","title-short":"Understanding food insecurity risk in the United States","volume":"25","author":[{"family":"Berkowitz","given":"Seth A."},{"family":"Seligman","given":"Hilary K."},{"family":"Palakshappa","given":"Deepak"}],"issued":{"date-parts":[["2024",3]]}}}],"schema":"https://github.com/citation-style-language/schema/raw/master/csl-citation.json"} </w:instrText>
      </w:r>
      <w:r w:rsidR="00992001" w:rsidRPr="00277350">
        <w:fldChar w:fldCharType="separate"/>
      </w:r>
      <w:r w:rsidR="00B836E0" w:rsidRPr="00277350">
        <w:rPr>
          <w:vertAlign w:val="superscript"/>
        </w:rPr>
        <w:t>1,2</w:t>
      </w:r>
      <w:r w:rsidR="00992001" w:rsidRPr="00277350">
        <w:fldChar w:fldCharType="end"/>
      </w:r>
      <w:r w:rsidR="00992001" w:rsidRPr="00277350">
        <w:t xml:space="preserve"> </w:t>
      </w:r>
      <w:r w:rsidR="00AA54C7" w:rsidRPr="00277350">
        <w:t xml:space="preserve">Food insecurity in the United States is one of the leading social determinants of health </w:t>
      </w:r>
      <w:r w:rsidR="00420CAA" w:rsidRPr="00277350">
        <w:t>that</w:t>
      </w:r>
      <w:r w:rsidR="00AA54C7" w:rsidRPr="00277350">
        <w:t xml:space="preserve"> can heighten an individual’s risk for diet-related </w:t>
      </w:r>
      <w:r w:rsidR="00D11D2F" w:rsidRPr="00277350">
        <w:t xml:space="preserve">chronic health </w:t>
      </w:r>
      <w:r w:rsidR="00AA54C7" w:rsidRPr="00277350">
        <w:t xml:space="preserve">diseases </w:t>
      </w:r>
      <w:r w:rsidR="00D11D2F" w:rsidRPr="00277350">
        <w:t>including</w:t>
      </w:r>
      <w:r w:rsidR="00AA54C7" w:rsidRPr="00277350">
        <w:t xml:space="preserve"> cardiovascular disease, diabetes, and certain cancers</w:t>
      </w:r>
      <w:r w:rsidR="00E934B8" w:rsidRPr="00277350">
        <w:fldChar w:fldCharType="begin"/>
      </w:r>
      <w:r w:rsidR="00B836E0" w:rsidRPr="00277350">
        <w:instrText xml:space="preserve"> ADDIN ZOTERO_ITEM CSL_CITATION {"citationID":"FtHaVTkI","properties":{"formattedCitation":"\\super 3,4\\nosupersub{}","plainCitation":"3,4","noteIndex":0},"citationItems":[{"id":32,"uris":["http://zotero.org/users/local/N9bAOqPz/items/DV8RCPS9"],"itemData":{"id":32,"type":"article-journal","abstract":"INTRODUCTION: Cardiovascular disease is a leading cause of mortality in the U.S. Although the risk of cardiovascular disease can be mitigated substantially by following a healthy lifestyle, adhering to a healthy diet and other healthy behaviors are limited by reduced food security. This study aims to determine the association between food security and cardiovascular disease risk.\nMETHODS: Three samples from the 2007-2014 National Health and Nutrition Examination Survey were examined: (1) 7,340 non-fasting adults (aged 40-79 years); (2) 13,518 non-fasting adults (aged 20-64 years); and (3) 6,494 fasting adults (aged 20-64 years). Food security was assessed using the U.S. Household Food Security Survey Module, with households categorized as having full, marginal, low, or very low food security. Regressions were conducted in 2018 to test the associations between food security status and odds of ≥20% 10-year cardiovascular disease risk among middle-aged to older adults (OR, 95% CI) and cardiovascular disease risk factors among all adults (β, 95% CI).\nRESULTS: Compared with adults with full food security, those with very low food security had higher odds of ≥20% 10-year cardiovascular disease risk (OR=2.36, 95% CI=1.25, 4.46), whereas those with marginal food security had higher systolic blood pressure (β=0.94 mmHg, 95% CI=0.09, 1.80). Compared with adults with full food security, adults with different levels of food security had higher BMIs (marginal: 0.76, 95% CI=0.26, 1.26; low: 0.97, 95% CI=0.34, 1.60; and very low: 1.03, 95% CI=0.44, 1.63) and higher odds of current smoking (marginal: OR=1.43, 95% CI=1.17, 1.75; low: OR=1.47, 95% CI=1.22, 1.77; and very low: OR=1.95, 95% CI=1.60, 2.37).\nCONCLUSIONS: Adults with food insecurity have elevated cardiovascular disease risk factors and excess predicted 10-year cardiovascular disease risk. Substantially improving food security may be an important public health intervention to reduce future cardiovascular disease in the U.S.","container-title":"American Journal of Preventive Medicine","DOI":"10.1016/j.amepre.2018.11.016","ISSN":"1873-2607","issue":"5","journalAbbreviation":"Am J Prev Med","language":"eng","page":"689-697","PMID":"30885515","PMCID":"PMC8011593","source":"PubMed","title":"Food Security and 10-Year Cardiovascular Disease Risk Among U.S. Adults","volume":"56","author":[{"family":"Vercammen","given":"Kelsey A."},{"family":"Moran","given":"Alyssa J."},{"family":"McClain","given":"Amanda C."},{"family":"Thorndike","given":"Anne N."},{"family":"Fulay","given":"Aarohee P."},{"family":"Rimm","given":"Eric B."}],"issued":{"date-parts":[["2019",5]]}}},{"id":48,"uris":["http://zotero.org/users/local/N9bAOqPz/items/6NZ2STDT"],"itemData":{"id":48,"type":"article-journal","abstract":"Food insecurity is a persistent concern in high-income countries, and has been associated with poor mental health, particularly among females. We conducted a scoping review to characterize the state of the evidence on food insecurity and mental health among women in high-income countries. The research databases PubMed, EMBASE, and psycINFO were searched using keywords capturing food insecurity, mental health, and women. Thirty-nine articles (representing 31 unique studies/surveys) were identified. Three-quarters of the articles drew upon data from a version of the United States Department of Agriculture Household Food Security Survey Module. A range of mental health measures were used, most commonly to measure depression and depressive symptoms, but also anxiety and stress. Most research was cross-sectional and showed associations between depression and food insecurity; longitudinal analyses suggested bidirectional relationships (with food insecurity increasing the risk of depressive symptoms or diagnosis, or depression predicting food insecurity). Several articles focused on vulnerable subgroups, such as pregnant women and mothers, women at risk of homelessness, refugees, and those who had been exposed to violence or substance abuse. Overall, this review supports a link between food insecurity and mental health (and other factors, such as housing circumstances and exposure to violence) among women in high-income countries and underscores the need for comprehensive policies and programs that recognize complex links among public health challenges.","container-title":"International Journal of Environmental Research and Public Health","DOI":"10.3390/ijerph15071424","ISSN":"1660-4601","issue":"7","journalAbbreviation":"Int J Environ Res Public Health","language":"eng","page":"1424","PMID":"29986420","PMCID":"PMC6068629","source":"PubMed","title":"Food Insecurity and Mental Health among Females in High-Income Countries","volume":"15","author":[{"family":"Maynard","given":"Merryn"},{"family":"Andrade","given":"Lesley"},{"family":"Packull-McCormick","given":"Sara"},{"family":"Perlman","given":"Christopher M."},{"family":"Leos-Toro","given":"Cesar"},{"family":"Kirkpatrick","given":"Sharon I."}],"issued":{"date-parts":[["2018",7,6]]}}}],"schema":"https://github.com/citation-style-language/schema/raw/master/csl-citation.json"} </w:instrText>
      </w:r>
      <w:r w:rsidR="00E934B8" w:rsidRPr="00277350">
        <w:fldChar w:fldCharType="separate"/>
      </w:r>
      <w:r w:rsidR="00B836E0" w:rsidRPr="00277350">
        <w:rPr>
          <w:vertAlign w:val="superscript"/>
        </w:rPr>
        <w:t>3,4</w:t>
      </w:r>
      <w:r w:rsidR="00E934B8" w:rsidRPr="00277350">
        <w:fldChar w:fldCharType="end"/>
      </w:r>
      <w:r w:rsidR="00D11D2F" w:rsidRPr="00277350">
        <w:t>.</w:t>
      </w:r>
      <w:r w:rsidR="00AA54C7" w:rsidRPr="00277350">
        <w:t xml:space="preserve"> </w:t>
      </w:r>
      <w:r w:rsidR="00D11D2F" w:rsidRPr="00277350">
        <w:t xml:space="preserve">Additional disparities are observed given the severity and scale of food insecurity experienced. </w:t>
      </w:r>
      <w:r w:rsidR="00AA54C7" w:rsidRPr="00277350">
        <w:t>On average, about one-third of households with very low food security experience chronic food insecurity, lasting roughly eight months per year</w:t>
      </w:r>
      <w:r w:rsidR="00FA6396" w:rsidRPr="00277350">
        <w:t>.</w:t>
      </w:r>
      <w:r w:rsidR="006244A3" w:rsidRPr="00277350">
        <w:fldChar w:fldCharType="begin"/>
      </w:r>
      <w:r w:rsidR="00B836E0" w:rsidRPr="00277350">
        <w:instrText xml:space="preserve"> ADDIN ZOTERO_ITEM CSL_CITATION {"citationID":"1iJahery","properties":{"formattedCitation":"\\super 5\\nosupersub{}","plainCitation":"5","noteIndex":0},"citationItems":[{"id":56,"uris":["http://zotero.org/users/local/N9bAOqPz/items/444EEBLN"],"itemData":{"id":56,"type":"report","abstract":"This report provides statistics on food security in U.S. households throughout 2023 based on the Current Population Survey Food Security Supplement data collected by the U.S. Department of Commerce, Bureau of the Census, in December 2023. An estimated 86.5 percent of U.S. households were food secure throughout the entire year in 2023, with access at all times to enough food for an active, healthy life for all household members. The remaining households (13.5 percent, statistically significantly higher than the 12.8 percent in 2022) were food insecure at least some time during the year. Very low food security is the more severe range of food insecurity where one or more household members experience reduced food intake and disrupted eating patterns at times during the year because of limited money or other resources for food. In 2023, 5.1 percent of households were very low food secure, an estimate that is statistically similar to the 5.1 percent in 2022. Children and adults were food insecure at times during 2023 in 8.9 percent of U.S. households with children, statistically similar to the 8.8 percent in 2022. In 2023, very low food security among children was 1.0 percent, statistically similar to the 1.0 percent in 2022 and 0.7 percent in 2021. In 2023, the typical food-secure household spent 16 percent more on food than the typical food-insecure household of the same size and household composition. About 58 percent of food-insecure households participated in one or more of the three largest Federal nutrition assistance programs from the U.S. Department of Agriculture's Supplemental Nutrition Assistance Program (SNAP); the Special Supplemental Nutrition Program for Women, Infants, and Children (WIC); and the National School Lunch Program during the month before the 2023 survey.","DOI":"https://doi.org/10113/8583175","publisher":"United States. Department of Agriculture. Economic Research Service.","publisher-place":"Washington, D.C","title":"Household food security in the United States in 2023","author":[{"family":"Rabbitt","given":"Matthew"},{"family":"Reed-Jones,","given":"Madeline"},{"family":"Hales","given":"Laura"},{"family":"Burke","given":"Michael"}],"issued":{"date-parts":[["2024"]]}}}],"schema":"https://github.com/citation-style-language/schema/raw/master/csl-citation.json"} </w:instrText>
      </w:r>
      <w:r w:rsidR="006244A3" w:rsidRPr="00277350">
        <w:fldChar w:fldCharType="separate"/>
      </w:r>
      <w:r w:rsidR="00B836E0" w:rsidRPr="00277350">
        <w:rPr>
          <w:vertAlign w:val="superscript"/>
        </w:rPr>
        <w:t>5</w:t>
      </w:r>
      <w:r w:rsidR="006244A3" w:rsidRPr="00277350">
        <w:fldChar w:fldCharType="end"/>
      </w:r>
      <w:r w:rsidR="00AA54C7" w:rsidRPr="00277350">
        <w:t xml:space="preserve"> </w:t>
      </w:r>
      <w:r w:rsidR="003D09EF" w:rsidRPr="00277350">
        <w:t>Existing literature has found that structural inequities such as systemic racism, economic disadvantage, and neighborhood-level barriers contribute to</w:t>
      </w:r>
      <w:r w:rsidR="00D11D2F" w:rsidRPr="00277350">
        <w:t xml:space="preserve"> variation in the level of food insecurity experienced among households</w:t>
      </w:r>
      <w:r w:rsidR="00C2692B" w:rsidRPr="00277350">
        <w:fldChar w:fldCharType="begin"/>
      </w:r>
      <w:r w:rsidR="00B836E0" w:rsidRPr="00277350">
        <w:instrText xml:space="preserve"> ADDIN ZOTERO_ITEM CSL_CITATION {"citationID":"ab2IxnTo","properties":{"formattedCitation":"\\super 6\\uc0\\u8211{}8\\nosupersub{}","plainCitation":"6–8","noteIndex":0},"citationItems":[{"id":51,"uris":["http://zotero.org/users/local/N9bAOqPz/items/EGNDPPNJ"],"itemData":{"id":51,"type":"article-journal","abstract":"BACKGROUND: Cognitive impairment and dementia are severe public health issues in aging populations, which can be exacerbated by insufficient or unhealthy dietary intake. Food (in)security status is linked to cognitive function among older adults, but the relationship is complex and can vary by sociodemographic characteristics.\nOBJECTIVE: This article aimed to investigate the association between food insecurity and cognitive function among United States older adults and explore potential variations by race and ethnicity groups.\nMETHODS: We prospectively examined changes in cognitive function and incidence of cognitive impairment alongside the presence of self-reported food insecurity among older adults of different racial and ethnic groups. Data were from the 2012-2018 Health and Retirement Study (HRS) and the 2013 Health Care and Nutrition Study (HCNS), including N = 6,638 United States adults aged 50 years and older. Food insecurity was measured by a self-reported United States Household Food Security Survey Module, and cognitive function was assessed by the modified version of the Telephone Interview for Cognitive Status.\nRESULTS: Results showed that 17% of United States older adults reported food insecurity in the 2013 HCNS. Compared with food secure older adults, those reporting food insecurity experienced worsened cognitive functioning over time (B = -0.63, p &lt; .001), and they were more likely to have onset of cognitive impairment (OR= 1.46, p &lt; .001) in the 6-y observation. Compared with non-Hispanic White older adults, being non-Hispanic Black, non-Hispanic Other, or Hispanic was associated with 2.96, 2.09, or 1.26 odds (p &lt; .001) of cognitive impairment (2012-2018), respectively. Older adults of racial and ethnic minority groups also had higher risks of experiencing the double burden of cognitive impairment alongside food insecurity compared with non-Hispanic White older adults.\nCONCLUSION: Findings underscore racial and ethnic structural disparities in food security and cognitive health in the United States aging population.","container-title":"The Journal of Nutrition","DOI":"10.1016/j.tjnut.2023.11.015","ISSN":"1541-6100","issue":"1","journalAbbreviation":"J Nutr","language":"eng","page":"233-242","PMID":"37984739","PMCID":"PMC10925888","source":"PubMed","title":"Food Insecurity, Race and Ethnicity, and Cognitive Function Among United States Older Adults","volume":"154","author":[{"family":"Wang","given":"Haowei"},{"family":"El-Abbadi","given":"Naglaa"}],"issued":{"date-parts":[["2024",1]]}}},{"id":34,"uris":["http://zotero.org/users/local/N9bAOqPz/items/3PT2CHKD"],"itemData":{"id":34,"type":"article-journal","abstract":"Food insecurity and the lack of access to affordable, nutritious food are associated with poor dietary quality and an increased risk of diet-related diseases, including cardiovascular disease, diabetes, and certain types of cancer. Those of lower socioeconomic status and racial and ethnic minority groups experience higher rates of food insecurity, are more likely to live in under-resourced food environments, and continue to bear the greatest burden of diet-related chronic diseases in the United States. Despite the growing body of literature in this area, there are still significant gaps in our understanding of the various pathways that link food insecurity and neighborhood food environments to racial/ethnic and socioeconomic disparities in health and the most effective intervention strategies to address these disparities. To better understand the science in this area, the National Institutes of Health, in collaboration with the Centers for Disease Control (CDC) and Prevention and the United States Department of Agriculture (USDA), convened a virtual 3-d workshop 21-23 September 2021: Food Insecurity, Neighborhood Food Environment, and Nutrition Health Disparities: State of the Science. The workshop brought together a diverse group of researchers, practitioners, policymakers, and federal partners with expertise in nutrition, the food environment, health and social policy, and behavioral and social sciences. The workshop had the following 3 research objectives: 1) summarize the state of the science and knowledge gaps related to food insecurity, neighborhood food environments, and nutrition health disparities, 2) identify research opportunities and strategies to address research gaps, and 3) examine evidence-based interventions and implementation approaches to address food insecurity and neighborhood food environments to promote health equity. This article summarizes workshop proceedings and describes research gaps and future opportunities that emerged from discussions.","container-title":"The American Journal of Clinical Nutrition","DOI":"10.1016/j.ajcnut.2023.12.019","ISSN":"1938-3207","issue":"3","journalAbbreviation":"Am J Clin Nutr","language":"eng","page":"850-861","PMID":"38160801","PMCID":"PMC10972712","source":"PubMed","title":"Food Insecurity, Neighborhood Food Environment, and Health Disparities: State of the Science, Research Gaps and Opportunities","title-short":"Food Insecurity, Neighborhood Food Environment, and Health Disparities","volume":"119","author":[{"family":"Odoms-Young","given":"Angela"},{"family":"Brown","given":"Alison G. M."},{"family":"Agurs-Collins","given":"Tanya"},{"family":"Glanz","given":"Karen"}],"issued":{"date-parts":[["2024",3]]}}},{"id":36,"uris":["http://zotero.org/users/local/N9bAOqPz/items/Y9HCTVLK"],"itemData":{"id":36,"type":"article-journal","abstract":"In recent years, many students have faced economic hardship and experienced food insecurity, even as universities strive to create more equitable pathways to college. There is a need for a more holistic perspective that addresses the complexity of food insecurity amongst college students. To this end, we examined the relationship between the social determinants of health, including college food insecurity (CoFI) and childhood food insecurity (ChFI), and their relationship with well-being measures. The study sample was a convenience sample that included 372 students at a public university who responded to an online survey in fall 2021. Students were asked to report their food security status in the previous 30 days. We used the following analytical strategies: chi-square tests to determine differences between food secure (FS) and food insecure (FI) students; binary logistic regression of CoFI on student demographics and ChFI; and ordinal or binary logistic regression for well-being measures. Black students, off-campus students, first-generation students, in-state students, and humanities/behavioral/social/health sciences majors were more likely to report CoFI. FI students were more likely to have experienced ChFI and to have lower scores on all well-being measures. ChFI was associated with four well-being measures and its effects were mediated by CoFI. College student health initiatives would benefit from accounting for SDOH, including ChFI experiences and its subsequent cumulative disadvantages experienced during college.","container-title":"Nutrients","DOI":"10.3390/nu16091391","ISSN":"2072-6643","issue":"9","journalAbbreviation":"Nutrients","language":"eng","page":"1391","PMID":"38732637","PMCID":"PMC11085391","source":"PubMed","title":"Social Determinants of Health and College Food Insecurity","volume":"16","author":[{"family":"Mobley","given":"Catherine"},{"family":"Luo","given":"Ye"},{"family":"Fernandez","given":"Mariela"},{"family":"Hossfeld","given":"Leslie"}],"issued":{"date-parts":[["2024",5,4]]}}}],"schema":"https://github.com/citation-style-language/schema/raw/master/csl-citation.json"} </w:instrText>
      </w:r>
      <w:r w:rsidR="00C2692B" w:rsidRPr="00277350">
        <w:fldChar w:fldCharType="separate"/>
      </w:r>
      <w:r w:rsidR="00B836E0" w:rsidRPr="00277350">
        <w:rPr>
          <w:vertAlign w:val="superscript"/>
        </w:rPr>
        <w:t>6–8</w:t>
      </w:r>
      <w:r w:rsidR="00C2692B" w:rsidRPr="00277350">
        <w:fldChar w:fldCharType="end"/>
      </w:r>
      <w:r w:rsidR="00D11D2F" w:rsidRPr="00277350">
        <w:t>.</w:t>
      </w:r>
      <w:r w:rsidR="003D09EF" w:rsidRPr="00277350">
        <w:t xml:space="preserve"> </w:t>
      </w:r>
      <w:r w:rsidR="00D11D2F" w:rsidRPr="00277350">
        <w:t xml:space="preserve">Resultingly, populations with lower </w:t>
      </w:r>
      <w:r w:rsidR="00A85E66" w:rsidRPr="00277350">
        <w:t>socioeconomic</w:t>
      </w:r>
      <w:r w:rsidR="00D11D2F" w:rsidRPr="00277350">
        <w:t xml:space="preserve"> status, or marginalized racial and ethnic identities including </w:t>
      </w:r>
      <w:r w:rsidR="003D09EF" w:rsidRPr="00277350">
        <w:t>Non-Hispanic Black and Hispanic households often face</w:t>
      </w:r>
      <w:r w:rsidR="00D11D2F" w:rsidRPr="00277350">
        <w:t xml:space="preserve"> higher rates of</w:t>
      </w:r>
      <w:r w:rsidR="003D09EF" w:rsidRPr="00277350">
        <w:t xml:space="preserve"> </w:t>
      </w:r>
      <w:r w:rsidR="00BA40BD" w:rsidRPr="00277350">
        <w:t>compared to Non-Hispanic White households</w:t>
      </w:r>
      <w:r w:rsidR="00001343" w:rsidRPr="00277350">
        <w:t>.</w:t>
      </w:r>
      <w:r w:rsidR="00001343" w:rsidRPr="00277350">
        <w:fldChar w:fldCharType="begin"/>
      </w:r>
      <w:r w:rsidR="00B836E0" w:rsidRPr="00277350">
        <w:instrText xml:space="preserve"> ADDIN ZOTERO_ITEM CSL_CITATION {"citationID":"22Q8Xyd7","properties":{"formattedCitation":"\\super 7,9\\nosupersub{}","plainCitation":"7,9","noteIndex":0},"citationItems":[{"id":34,"uris":["http://zotero.org/users/local/N9bAOqPz/items/3PT2CHKD"],"itemData":{"id":34,"type":"article-journal","abstract":"Food insecurity and the lack of access to affordable, nutritious food are associated with poor dietary quality and an increased risk of diet-related diseases, including cardiovascular disease, diabetes, and certain types of cancer. Those of lower socioeconomic status and racial and ethnic minority groups experience higher rates of food insecurity, are more likely to live in under-resourced food environments, and continue to bear the greatest burden of diet-related chronic diseases in the United States. Despite the growing body of literature in this area, there are still significant gaps in our understanding of the various pathways that link food insecurity and neighborhood food environments to racial/ethnic and socioeconomic disparities in health and the most effective intervention strategies to address these disparities. To better understand the science in this area, the National Institutes of Health, in collaboration with the Centers for Disease Control (CDC) and Prevention and the United States Department of Agriculture (USDA), convened a virtual 3-d workshop 21-23 September 2021: Food Insecurity, Neighborhood Food Environment, and Nutrition Health Disparities: State of the Science. The workshop brought together a diverse group of researchers, practitioners, policymakers, and federal partners with expertise in nutrition, the food environment, health and social policy, and behavioral and social sciences. The workshop had the following 3 research objectives: 1) summarize the state of the science and knowledge gaps related to food insecurity, neighborhood food environments, and nutrition health disparities, 2) identify research opportunities and strategies to address research gaps, and 3) examine evidence-based interventions and implementation approaches to address food insecurity and neighborhood food environments to promote health equity. This article summarizes workshop proceedings and describes research gaps and future opportunities that emerged from discussions.","container-title":"The American Journal of Clinical Nutrition","DOI":"10.1016/j.ajcnut.2023.12.019","ISSN":"1938-3207","issue":"3","journalAbbreviation":"Am J Clin Nutr","language":"eng","page":"850-861","PMID":"38160801","PMCID":"PMC10972712","source":"PubMed","title":"Food Insecurity, Neighborhood Food Environment, and Health Disparities: State of the Science, Research Gaps and Opportunities","title-short":"Food Insecurity, Neighborhood Food Environment, and Health Disparities","volume":"119","author":[{"family":"Odoms-Young","given":"Angela"},{"family":"Brown","given":"Alison G. M."},{"family":"Agurs-Collins","given":"Tanya"},{"family":"Glanz","given":"Karen"}],"issued":{"date-parts":[["2024",3]]}}},{"id":44,"uris":["http://zotero.org/users/local/N9bAOqPz/items/TBMQ87PY"],"itemData":{"id":44,"type":"article-journal","abstract":"BACKGROUND: Poor dietary quality is a risk factor for diet-related chronic disease and suboptimal nutritional patterns often begin early in the life course. Although the dietary intakes of young children, adolescents, and middle-aged and older adults are well established, much less is known about emerging adults, who represent a unique time point in life, as they are undergoing significant changes in food environments, autonomy, finances, and caregiver and parental involvement.\nOBJECTIVES: This study aimed to examine dietary quality, as assessed via the Healthy Eating Index (HEI), by demographic, socioeconomic, and health-related characteristics among emerging adults (18-23 y) in the United States who participated in the 2015-2018 National Health and Nutrition Examination Survey (NHANES).\nMETHODS: NHANES data were collected via a household interview and 2 24-h dietary recalls (24HR). Usual dietary intakes from the 24HRs were approximated using the multivariate National Cancer Institute Method to compute mean HEI-2015 overall and component scores (range: 0-100; higher scores indicating higher dietary quality).\nRESULTS: Overall dietary quality among emerging adults (HEI-2015: 50.3 ± 1.3) was significantly lower than other adults (≥24 y) (HEI-2015: 56.3 ± 0.5; P &lt; 0.0001) in the United States, with differences primarily driven by lower intakes of whole fruit, vegetables, and whole grains and higher intakes of sodium, refined grains, and saturated fat. Few differences in HEI-2015 scores were noted across population subgroups by sex, food security, family income, and food assistance program participation, except for added sugar; intakes of added sugar were significantly higher among women, food insecure, and food assistance program participants than those in their counterparts, respectively.\nCONCLUSIONS: Dietary quality is poor among emerging adults in the United States and persists across all population subgroups, suggesting a significant need for tailored public health interventions to improve dietary quality among this population. Future research investigating to what extent emerging adults prioritize healthful behaviors and exploring other indicators for identifying nutritionally vulnerable subgroups may be impactful for identifying disparities among this life stage.","container-title":"The Journal of Nutrition","DOI":"10.1016/j.tjnut.2024.06.015","ISSN":"1541-6100","issue":"8","journalAbbreviation":"J Nutr","language":"eng","page":"2524-2533","PMID":"38944345","PMCID":"PMC11826523","source":"PubMed","title":"Dietary Quality and Diet-Related Factors Among Emerging Adults (18-23 y) in the United States Are a Cause for Concern: National Health and Nutrition Examination Survey 2015-2018","title-short":"Dietary Quality and Diet-Related Factors Among Emerging Adults (18-23 y) in the United States Are a Cause for Concern","volume":"154","author":[{"family":"Cowan-Pyle","given":"Alexandra E."},{"family":"Bailey","given":"Regan L."},{"family":"Gao","given":"Jingjing"},{"family":"Hess","given":"Julie M."},{"family":"Ademu","given":"Lilian O."},{"family":"Smith","given":"Jane Lankes"},{"family":"Mitchell","given":"Diane C."},{"family":"Racine","given":"Elizabeth F."}],"issued":{"date-parts":[["2024",8]]}}}],"schema":"https://github.com/citation-style-language/schema/raw/master/csl-citation.json"} </w:instrText>
      </w:r>
      <w:r w:rsidR="00001343" w:rsidRPr="00277350">
        <w:fldChar w:fldCharType="separate"/>
      </w:r>
      <w:r w:rsidR="00B836E0" w:rsidRPr="00277350">
        <w:rPr>
          <w:vertAlign w:val="superscript"/>
        </w:rPr>
        <w:t>7,9</w:t>
      </w:r>
      <w:r w:rsidR="00001343" w:rsidRPr="00277350">
        <w:fldChar w:fldCharType="end"/>
      </w:r>
      <w:r w:rsidR="003E68D3" w:rsidRPr="00277350">
        <w:t xml:space="preserve"> </w:t>
      </w:r>
      <w:r w:rsidR="00FE04DD" w:rsidRPr="00277350">
        <w:t>Furthermore</w:t>
      </w:r>
      <w:r w:rsidR="005A7C8C" w:rsidRPr="00277350">
        <w:t>,</w:t>
      </w:r>
      <w:r w:rsidR="00FE04DD" w:rsidRPr="00277350">
        <w:t xml:space="preserve"> gender </w:t>
      </w:r>
      <w:r w:rsidR="007A6776" w:rsidRPr="00277350">
        <w:t>disparities</w:t>
      </w:r>
      <w:r w:rsidR="00FE04DD" w:rsidRPr="00277350">
        <w:t xml:space="preserve"> </w:t>
      </w:r>
      <w:r w:rsidR="00681F56" w:rsidRPr="00277350">
        <w:t>persist</w:t>
      </w:r>
      <w:r w:rsidR="007A6776" w:rsidRPr="00277350">
        <w:t xml:space="preserve"> </w:t>
      </w:r>
      <w:r w:rsidR="00681F56" w:rsidRPr="00277350">
        <w:t xml:space="preserve">in regard to </w:t>
      </w:r>
      <w:r w:rsidR="007A6776" w:rsidRPr="00277350">
        <w:t>food insecu</w:t>
      </w:r>
      <w:r w:rsidR="00681F56" w:rsidRPr="00277350">
        <w:t>rity as women face more food insecurity compared to men.</w:t>
      </w:r>
      <w:r w:rsidR="00681F56" w:rsidRPr="00277350">
        <w:fldChar w:fldCharType="begin"/>
      </w:r>
      <w:r w:rsidR="00DD7858" w:rsidRPr="00277350">
        <w:instrText xml:space="preserve"> ADDIN ZOTERO_ITEM CSL_CITATION {"citationID":"1lbjboQb","properties":{"unsorted":false,"formattedCitation":"\\super 10\\nosupersub{}","plainCitation":"10","noteIndex":0},"citationItems":[{"id":91,"uris":["http://zotero.org/users/local/N9bAOqPz/items/S534WIDD"],"itemData":{"id":91,"type":"article-journal","abstract":"INTRODUCTION: Food insecurity is associated with negative nutritional outcomes and is experienced differently by women vs men. We evaluated the effects of gender on food insecurity and dietary intake in the United States.\nMETHODS: Data from the National Health and Nutrition Examination Survey (2007-2016) were analyzed. Survey-weighted linear and logistic regression models were used to evaluate predictors of food security and the effect of food security on dietary consumption and body anthropometrics. Gender was modeled as a covariable and as an effect modifier.\nRESULTS: A total of 30,251 respondents were included. Approximately 15.1% (95% confidence interval [CI]: 14.1%-16.1%) of participants were food insecure. This increased over time from 11.7% in 2007-2008 to 18.2% in 2015-2016. A higher proportion of women experienced food insecurity compared with men (53.3% vs 46.7%, P = 0.02), although this was not significant after adjusting for poverty and other confounders (adjusted odds ratio 1.01; 95% CI: 0.93-1.09; P = 0.81). Among food insecure women, 32.4% (95% CI: 30.0%-34.9%) received emergency food assistance and 75.0% (95% CI: 71.5%-78.2%) received supplemental nutrition assistance benefits. Relative to men, food insecure women were less likely to meet the recommended dietary allowance of most macronutrients and micronutrients. They were also significantly more likely to be obese, have a wider waist circumference, and have higher total body fat percentage (P interaction all &lt;0.001).\nDISCUSSION: Food insecurity represents a substantial public health challenge in the United States that differentially affects women compared with men. Alternative strategies may be required to meet the nutritional requirements for food insecure women.","container-title":"The American Journal of Gastroenterology","DOI":"10.14309/ajg.0000000000001118","ISSN":"1572-0241","issue":"3","journalAbbreviation":"Am J Gastroenterol","language":"eng","page":"584-592","PMID":"33443848","source":"PubMed","title":"Gender Disparities in Food Security, Dietary Intake, and Nutritional Health in the United States","volume":"116","author":[{"family":"Ma","given":"Christopher"},{"family":"Ho","given":"Stephanie K. M."},{"family":"Singh","given":"Siddharth"},{"family":"Choi","given":"May Y."}],"issued":{"date-parts":[["2021",3,1]]}}}],"schema":"https://github.com/citation-style-language/schema/raw/master/csl-citation.json"} </w:instrText>
      </w:r>
      <w:r w:rsidR="00681F56" w:rsidRPr="00277350">
        <w:fldChar w:fldCharType="separate"/>
      </w:r>
      <w:r w:rsidR="00DD7858" w:rsidRPr="00277350">
        <w:rPr>
          <w:vertAlign w:val="superscript"/>
        </w:rPr>
        <w:t>10</w:t>
      </w:r>
      <w:r w:rsidR="00681F56" w:rsidRPr="00277350">
        <w:fldChar w:fldCharType="end"/>
      </w:r>
      <w:r w:rsidR="00681F56" w:rsidRPr="00277350">
        <w:t xml:space="preserve"> </w:t>
      </w:r>
      <w:r w:rsidR="003D09EF" w:rsidRPr="00277350">
        <w:t xml:space="preserve">These inequities reflect broader social and economic conditions that </w:t>
      </w:r>
      <w:r w:rsidR="00D11D2F" w:rsidRPr="00277350">
        <w:t xml:space="preserve">may </w:t>
      </w:r>
      <w:r w:rsidR="003D09EF" w:rsidRPr="00277350">
        <w:t>contribute to enduring health disparities</w:t>
      </w:r>
      <w:r w:rsidR="005B3884" w:rsidRPr="00277350">
        <w:t>.</w:t>
      </w:r>
      <w:r w:rsidR="00932135" w:rsidRPr="00277350">
        <w:fldChar w:fldCharType="begin"/>
      </w:r>
      <w:r w:rsidR="00932135" w:rsidRPr="00277350">
        <w:instrText xml:space="preserve"> ADDIN ZOTERO_ITEM CSL_CITATION {"citationID":"9pTwQ64i","properties":{"unsorted":false,"formattedCitation":"\\super 7\\nosupersub{}","plainCitation":"7","noteIndex":0},"citationItems":[{"id":34,"uris":["http://zotero.org/users/local/N9bAOqPz/items/3PT2CHKD"],"itemData":{"id":34,"type":"article-journal","abstract":"Food insecurity and the lack of access to affordable, nutritious food are associated with poor dietary quality and an increased risk of diet-related diseases, including cardiovascular disease, diabetes, and certain types of cancer. Those of lower socioeconomic status and racial and ethnic minority groups experience higher rates of food insecurity, are more likely to live in under-resourced food environments, and continue to bear the greatest burden of diet-related chronic diseases in the United States. Despite the growing body of literature in this area, there are still significant gaps in our understanding of the various pathways that link food insecurity and neighborhood food environments to racial/ethnic and socioeconomic disparities in health and the most effective intervention strategies to address these disparities. To better understand the science in this area, the National Institutes of Health, in collaboration with the Centers for Disease Control (CDC) and Prevention and the United States Department of Agriculture (USDA), convened a virtual 3-d workshop 21-23 September 2021: Food Insecurity, Neighborhood Food Environment, and Nutrition Health Disparities: State of the Science. The workshop brought together a diverse group of researchers, practitioners, policymakers, and federal partners with expertise in nutrition, the food environment, health and social policy, and behavioral and social sciences. The workshop had the following 3 research objectives: 1) summarize the state of the science and knowledge gaps related to food insecurity, neighborhood food environments, and nutrition health disparities, 2) identify research opportunities and strategies to address research gaps, and 3) examine evidence-based interventions and implementation approaches to address food insecurity and neighborhood food environments to promote health equity. This article summarizes workshop proceedings and describes research gaps and future opportunities that emerged from discussions.","container-title":"The American Journal of Clinical Nutrition","DOI":"10.1016/j.ajcnut.2023.12.019","ISSN":"1938-3207","issue":"3","journalAbbreviation":"Am J Clin Nutr","language":"eng","page":"850-861","PMID":"38160801","PMCID":"PMC10972712","source":"PubMed","title":"Food Insecurity, Neighborhood Food Environment, and Health Disparities: State of the Science, Research Gaps and Opportunities","title-short":"Food Insecurity, Neighborhood Food Environment, and Health Disparities","volume":"119","author":[{"family":"Odoms-Young","given":"Angela"},{"family":"Brown","given":"Alison G. M."},{"family":"Agurs-Collins","given":"Tanya"},{"family":"Glanz","given":"Karen"}],"issued":{"date-parts":[["2024",3]]}}}],"schema":"https://github.com/citation-style-language/schema/raw/master/csl-citation.json"} </w:instrText>
      </w:r>
      <w:r w:rsidR="00932135" w:rsidRPr="00277350">
        <w:fldChar w:fldCharType="separate"/>
      </w:r>
      <w:r w:rsidR="00932135" w:rsidRPr="00277350">
        <w:rPr>
          <w:vertAlign w:val="superscript"/>
        </w:rPr>
        <w:t>7</w:t>
      </w:r>
      <w:r w:rsidR="00932135" w:rsidRPr="00277350">
        <w:fldChar w:fldCharType="end"/>
      </w:r>
    </w:p>
    <w:p w14:paraId="4DE7F15C" w14:textId="371DFAA9" w:rsidR="003D6ED2" w:rsidRPr="00277350" w:rsidRDefault="00977C85" w:rsidP="000B09E5">
      <w:pPr>
        <w:pStyle w:val="NormalWeb"/>
        <w:spacing w:before="0" w:beforeAutospacing="0" w:after="0" w:afterAutospacing="0"/>
        <w:ind w:firstLine="720"/>
      </w:pPr>
      <w:r w:rsidRPr="00277350">
        <w:t>Food insecurity often leads to changes in both the quantity and quality of food consumed, with households facing limited access to fresh, whole foods and relying more heavily on packaged, processed, and shelf-stable items.</w:t>
      </w:r>
      <w:r w:rsidR="006647FC" w:rsidRPr="00277350">
        <w:fldChar w:fldCharType="begin"/>
      </w:r>
      <w:r w:rsidR="00932135" w:rsidRPr="00277350">
        <w:instrText xml:space="preserve"> ADDIN ZOTERO_ITEM CSL_CITATION {"citationID":"aGmyaxms","properties":{"formattedCitation":"\\super 5,11,12\\nosupersub{}","plainCitation":"5,11,12","noteIndex":0},"citationItems":[{"id":56,"uris":["http://zotero.org/users/local/N9bAOqPz/items/444EEBLN"],"itemData":{"id":56,"type":"report","abstract":"This report provides statistics on food security in U.S. households throughout 2023 based on the Current Population Survey Food Security Supplement data collected by the U.S. Department of Commerce, Bureau of the Census, in December 2023. An estimated 86.5 percent of U.S. households were food secure throughout the entire year in 2023, with access at all times to enough food for an active, healthy life for all household members. The remaining households (13.5 percent, statistically significantly higher than the 12.8 percent in 2022) were food insecure at least some time during the year. Very low food security is the more severe range of food insecurity where one or more household members experience reduced food intake and disrupted eating patterns at times during the year because of limited money or other resources for food. In 2023, 5.1 percent of households were very low food secure, an estimate that is statistically similar to the 5.1 percent in 2022. Children and adults were food insecure at times during 2023 in 8.9 percent of U.S. households with children, statistically similar to the 8.8 percent in 2022. In 2023, very low food security among children was 1.0 percent, statistically similar to the 1.0 percent in 2022 and 0.7 percent in 2021. In 2023, the typical food-secure household spent 16 percent more on food than the typical food-insecure household of the same size and household composition. About 58 percent of food-insecure households participated in one or more of the three largest Federal nutrition assistance programs from the U.S. Department of Agriculture's Supplemental Nutrition Assistance Program (SNAP); the Special Supplemental Nutrition Program for Women, Infants, and Children (WIC); and the National School Lunch Program during the month before the 2023 survey.","DOI":"https://doi.org/10113/8583175","publisher":"United States. Department of Agriculture. Economic Research Service.","publisher-place":"Washington, D.C","title":"Household food security in the United States in 2023","author":[{"family":"Rabbitt","given":"Matthew"},{"family":"Reed-Jones,","given":"Madeline"},{"family":"Hales","given":"Laura"},{"family":"Burke","given":"Michael"}],"issued":{"date-parts":[["2024"]]}}},{"id":59,"uris":["http://zotero.org/users/local/N9bAOqPz/items/3V6G4L63"],"itemData":{"id":59,"type":"article-journal","abstract":"Plastic pollution arising from food systems is driving policies for reduction, removal, reuse and recycling, but literature on plastic uses and outcomes across subsectors is fragmented. We use a systematic scoping review to describe the extent, range and nature of published evidence since 2000 on seven major plastic types used at any point within food systems and their quantifiable effects on the environment, food security and human health. Although the majority of publications focus on agricultural production, relatively fewer consider retail, household and food waste disposal plastics. Gaps in the research include evidence from low- and middle-income countries, health or food security and/or economic outcomes generated from human population studies-and the subsequent environmental and human health effects. A greater understanding of this disparate evidence landscape is essential to formulate coherent research strategies to inform potential policy actions and assess trade-offs across economic and environmental targets, human health and food security.","container-title":"Nature Food","DOI":"10.1038/s43016-021-00221-z","ISSN":"2662-1355","issue":"2","journalAbbreviation":"Nat Food","language":"eng","page":"80-87","PMID":"37117403","source":"PubMed","title":"A systematic scoping review of environmental, food security and health impacts of food system plastics","volume":"2","author":[{"family":"Yates","given":"Joe"},{"family":"Deeney","given":"Megan"},{"family":"Rolker","given":"Heike B."},{"family":"White","given":"Howard"},{"family":"Kalamatianou","given":"Sofia"},{"family":"Kadiyala","given":"Suneetha"}],"issued":{"date-parts":[["2021",2]]}}},{"id":42,"uris":["http://zotero.org/users/local/N9bAOqPz/items/67LM76YC"],"itemData":{"id":42,"type":"article-journal","abstract":"BACKGROUND: Ultra-processed food has low nutritional quality, is associated with development of chronic diseases, and may increase exposure to chemicals used in food packaging and production.\nOBJECTIVES: To assess associations of ultra-processed food consumption with exposure to phthalates and bisphenols, including newer replacements, in the general U.S.\nMETHODS: Among 2212 National Health and Nutrition Examination Survey (NHANES) 2013-2014 participants (≥6 years), we classified items reported in a 24-h dietary recall according to the NOVA food processing classification system and calculated energy intake from ultra-processed food. Urinary concentrations of mono-benzyl (MBzP), mono-(3-carboxypropyl) (MCPP), mono-(carboxyisononyl) (MCNP), mono-(carboxyisoctyl) (MCOP), and four metabolites of di(2-ethylhexyl) (∑DEHP) phthalates and bisphenols A, F, and S were measured in spot urine samples. We estimated percent changes in natural log creatinine-standardized concentrations per 10% higher energy from ultra-processed food in covariate-adjusted multivariable linear regression models. We examined effect measure modification by age group, race/ethnicity, and poverty:income ratio and assessed associations with minimally processed food intake.\nRESULTS: In adjusted models, higher energy from ultra-processed food was associated with higher urinary concentrations of MCPP, MCNP, and MCOP but not MBzP, ∑DEHP, or bisphenols. Each 10% higher energy from ultra-processed food was associated with 8.0% (95% CI: 5.6%, 10.3%) higher urinary MCOP concentrations, with a stronger association among children than adolescents or adults. Ultra-processed sandwiches/hamburgers, French fries/other potato products, and ice cream/pops were associated with higher concentrations of multiple chemicals. Higher energy from minimally processed food was associated with lower concentrations of MCPP, MCNP, MCOP, and bisphenols A and F.\nDISCUSSION: Ultra-processed food consumption may increase exposure to currently used phthalates. Additional research is needed to determine whether minimally processed food diets or changes in food production practices can reduce phthalate and bisphenol exposures and related health effects, particularly among children who are more vulnerable to toxicants and tend to consume more ultra-processed food than adults.","container-title":"Environment International","DOI":"10.1016/j.envint.2019.105057","ISSN":"1873-6750","journalAbbreviation":"Environ Int","language":"eng","page":"105057","PMID":"31398592","PMCID":"PMC6728187","source":"PubMed","title":"Ultra-processed food consumption and exposure to phthalates and bisphenols in the US National Health and Nutrition Examination Survey, 2013-2014","volume":"131","author":[{"family":"Buckley","given":"Jessie P."},{"family":"Kim","given":"Hyunju"},{"family":"Wong","given":"Eugenia"},{"family":"Rebholz","given":"Casey M."}],"issued":{"date-parts":[["2019",10]]}}}],"schema":"https://github.com/citation-style-language/schema/raw/master/csl-citation.json"} </w:instrText>
      </w:r>
      <w:r w:rsidR="006647FC" w:rsidRPr="00277350">
        <w:fldChar w:fldCharType="separate"/>
      </w:r>
      <w:r w:rsidR="00932135" w:rsidRPr="00277350">
        <w:rPr>
          <w:vertAlign w:val="superscript"/>
        </w:rPr>
        <w:t>5,11,12</w:t>
      </w:r>
      <w:r w:rsidR="006647FC" w:rsidRPr="00277350">
        <w:fldChar w:fldCharType="end"/>
      </w:r>
      <w:r w:rsidRPr="00277350">
        <w:t xml:space="preserve"> Previous literature has examined the complex relationship between food security, diet, and one’s built environment, demonstrating that food insecurity is closely linked to poorer dietary quality and greater intake of ultra-processed foods</w:t>
      </w:r>
      <w:r w:rsidR="003924AE" w:rsidRPr="00277350">
        <w:t>.</w:t>
      </w:r>
      <w:r w:rsidR="00E861AF" w:rsidRPr="00277350">
        <w:fldChar w:fldCharType="begin"/>
      </w:r>
      <w:r w:rsidR="00932135" w:rsidRPr="00277350">
        <w:instrText xml:space="preserve"> ADDIN ZOTERO_ITEM CSL_CITATION {"citationID":"8bHoikoF","properties":{"formattedCitation":"\\super 12\\nosupersub{}","plainCitation":"12","noteIndex":0},"citationItems":[{"id":42,"uris":["http://zotero.org/users/local/N9bAOqPz/items/67LM76YC"],"itemData":{"id":42,"type":"article-journal","abstract":"BACKGROUND: Ultra-processed food has low nutritional quality, is associated with development of chronic diseases, and may increase exposure to chemicals used in food packaging and production.\nOBJECTIVES: To assess associations of ultra-processed food consumption with exposure to phthalates and bisphenols, including newer replacements, in the general U.S.\nMETHODS: Among 2212 National Health and Nutrition Examination Survey (NHANES) 2013-2014 participants (≥6 years), we classified items reported in a 24-h dietary recall according to the NOVA food processing classification system and calculated energy intake from ultra-processed food. Urinary concentrations of mono-benzyl (MBzP), mono-(3-carboxypropyl) (MCPP), mono-(carboxyisononyl) (MCNP), mono-(carboxyisoctyl) (MCOP), and four metabolites of di(2-ethylhexyl) (∑DEHP) phthalates and bisphenols A, F, and S were measured in spot urine samples. We estimated percent changes in natural log creatinine-standardized concentrations per 10% higher energy from ultra-processed food in covariate-adjusted multivariable linear regression models. We examined effect measure modification by age group, race/ethnicity, and poverty:income ratio and assessed associations with minimally processed food intake.\nRESULTS: In adjusted models, higher energy from ultra-processed food was associated with higher urinary concentrations of MCPP, MCNP, and MCOP but not MBzP, ∑DEHP, or bisphenols. Each 10% higher energy from ultra-processed food was associated with 8.0% (95% CI: 5.6%, 10.3%) higher urinary MCOP concentrations, with a stronger association among children than adolescents or adults. Ultra-processed sandwiches/hamburgers, French fries/other potato products, and ice cream/pops were associated with higher concentrations of multiple chemicals. Higher energy from minimally processed food was associated with lower concentrations of MCPP, MCNP, MCOP, and bisphenols A and F.\nDISCUSSION: Ultra-processed food consumption may increase exposure to currently used phthalates. Additional research is needed to determine whether minimally processed food diets or changes in food production practices can reduce phthalate and bisphenol exposures and related health effects, particularly among children who are more vulnerable to toxicants and tend to consume more ultra-processed food than adults.","container-title":"Environment International","DOI":"10.1016/j.envint.2019.105057","ISSN":"1873-6750","journalAbbreviation":"Environ Int","language":"eng","page":"105057","PMID":"31398592","PMCID":"PMC6728187","source":"PubMed","title":"Ultra-processed food consumption and exposure to phthalates and bisphenols in the US National Health and Nutrition Examination Survey, 2013-2014","volume":"131","author":[{"family":"Buckley","given":"Jessie P."},{"family":"Kim","given":"Hyunju"},{"family":"Wong","given":"Eugenia"},{"family":"Rebholz","given":"Casey M."}],"issued":{"date-parts":[["2019",10]]}}}],"schema":"https://github.com/citation-style-language/schema/raw/master/csl-citation.json"} </w:instrText>
      </w:r>
      <w:r w:rsidR="00E861AF" w:rsidRPr="00277350">
        <w:fldChar w:fldCharType="separate"/>
      </w:r>
      <w:r w:rsidR="00932135" w:rsidRPr="00277350">
        <w:rPr>
          <w:vertAlign w:val="superscript"/>
        </w:rPr>
        <w:t>12</w:t>
      </w:r>
      <w:r w:rsidR="00E861AF" w:rsidRPr="00277350">
        <w:fldChar w:fldCharType="end"/>
      </w:r>
      <w:r w:rsidR="005E0C72" w:rsidRPr="00277350">
        <w:t xml:space="preserve"> </w:t>
      </w:r>
      <w:r w:rsidR="005775F3" w:rsidRPr="00277350">
        <w:t>This</w:t>
      </w:r>
      <w:r w:rsidR="00D11D2F" w:rsidRPr="00277350">
        <w:t xml:space="preserve"> is likely due to structural barriers including reduced access to healthy retailers</w:t>
      </w:r>
      <w:r w:rsidR="00625F58" w:rsidRPr="00277350">
        <w:fldChar w:fldCharType="begin"/>
      </w:r>
      <w:r w:rsidR="00F37F29" w:rsidRPr="00277350">
        <w:instrText xml:space="preserve"> ADDIN ZOTERO_ITEM CSL_CITATION {"citationID":"Rg5Cbb6A","properties":{"unsorted":false,"formattedCitation":"\\super 13\\nosupersub{}","plainCitation":"13","noteIndex":0},"citationItems":[{"id":94,"uris":["http://zotero.org/users/local/N9bAOqPz/items/DVBVXL4N"],"itemData":{"id":94,"type":"article-journal","abstract":"Food insecurity is a broad and serious public health issue in the United States, where many people are reporting lack of access to healthy foods. The reduced availability of healthy, affordable foods has led to increased consumption of energy-dense and nutrient-poor foods, resulting in increasing the risk for many chronic diseases such as obesity, cardiovascular diseases, and type 2 diabetes mellitus. Thus, identifying promising approaches to increase access to healthy foods through improving the food environment is of importance. The purpose of this review article is to highlight how the food environment affects directly a person's food choices, and how to increase access to healthy foods through improving environmental approaches. The literature search was focused on finding different approaches to improve food security, primarily those with an impact on food environment. Overall, potential solutions were gathered through multilevel environmental approaches, including nutrition education and peer education, community-based participatory research, and policy changes in supplemental nutrition programs. A recommendation to reduce food insecurity is learning to create meals with a variety of seasonal fruits and vegetables purchased from affordable farmers' markets.","container-title":"Nutrients","DOI":"10.3390/nu14112278","ISSN":"2072-6643","issue":"11","journalAbbreviation":"Nutrients","language":"eng","page":"2278","PMID":"35684077","PMCID":"PMC9182982","source":"PubMed","title":"Increasing Access to Healthy Foods through Improving Food Environment: A Review of Mixed Methods Intervention Studies with Residents of Low-Income Communities","title-short":"Increasing Access to Healthy Foods through Improving Food Environment","volume":"14","author":[{"family":"Ziso","given":"Dea"},{"family":"Chun","given":"Ock K."},{"family":"Puglisi","given":"Michael J."}],"issued":{"date-parts":[["2022",5,29]]}}}],"schema":"https://github.com/citation-style-language/schema/raw/master/csl-citation.json"} </w:instrText>
      </w:r>
      <w:r w:rsidR="00625F58" w:rsidRPr="00277350">
        <w:fldChar w:fldCharType="separate"/>
      </w:r>
      <w:r w:rsidR="00F37F29" w:rsidRPr="00277350">
        <w:rPr>
          <w:vertAlign w:val="superscript"/>
        </w:rPr>
        <w:t>13</w:t>
      </w:r>
      <w:r w:rsidR="00625F58" w:rsidRPr="00277350">
        <w:fldChar w:fldCharType="end"/>
      </w:r>
      <w:r w:rsidR="00625F58" w:rsidRPr="00277350">
        <w:t xml:space="preserve"> </w:t>
      </w:r>
      <w:r w:rsidR="00D11D2F" w:rsidRPr="00277350">
        <w:t>such and the economic burden of affording foods with higher nutritional value.</w:t>
      </w:r>
      <w:r w:rsidR="00D11D2F" w:rsidRPr="00277350">
        <w:fldChar w:fldCharType="begin"/>
      </w:r>
      <w:r w:rsidR="00932135" w:rsidRPr="00277350">
        <w:instrText xml:space="preserve"> ADDIN ZOTERO_ITEM CSL_CITATION {"citationID":"NJncgdHQ","properties":{"formattedCitation":"\\super 7,11\\nosupersub{}","plainCitation":"7,11","noteIndex":0},"citationItems":[{"id":34,"uris":["http://zotero.org/users/local/N9bAOqPz/items/3PT2CHKD"],"itemData":{"id":34,"type":"article-journal","abstract":"Food insecurity and the lack of access to affordable, nutritious food are associated with poor dietary quality and an increased risk of diet-related diseases, including cardiovascular disease, diabetes, and certain types of cancer. Those of lower socioeconomic status and racial and ethnic minority groups experience higher rates of food insecurity, are more likely to live in under-resourced food environments, and continue to bear the greatest burden of diet-related chronic diseases in the United States. Despite the growing body of literature in this area, there are still significant gaps in our understanding of the various pathways that link food insecurity and neighborhood food environments to racial/ethnic and socioeconomic disparities in health and the most effective intervention strategies to address these disparities. To better understand the science in this area, the National Institutes of Health, in collaboration with the Centers for Disease Control (CDC) and Prevention and the United States Department of Agriculture (USDA), convened a virtual 3-d workshop 21-23 September 2021: Food Insecurity, Neighborhood Food Environment, and Nutrition Health Disparities: State of the Science. The workshop brought together a diverse group of researchers, practitioners, policymakers, and federal partners with expertise in nutrition, the food environment, health and social policy, and behavioral and social sciences. The workshop had the following 3 research objectives: 1) summarize the state of the science and knowledge gaps related to food insecurity, neighborhood food environments, and nutrition health disparities, 2) identify research opportunities and strategies to address research gaps, and 3) examine evidence-based interventions and implementation approaches to address food insecurity and neighborhood food environments to promote health equity. This article summarizes workshop proceedings and describes research gaps and future opportunities that emerged from discussions.","container-title":"The American Journal of Clinical Nutrition","DOI":"10.1016/j.ajcnut.2023.12.019","ISSN":"1938-3207","issue":"3","journalAbbreviation":"Am J Clin Nutr","language":"eng","page":"850-861","PMID":"38160801","PMCID":"PMC10972712","source":"PubMed","title":"Food Insecurity, Neighborhood Food Environment, and Health Disparities: State of the Science, Research Gaps and Opportunities","title-short":"Food Insecurity, Neighborhood Food Environment, and Health Disparities","volume":"119","author":[{"family":"Odoms-Young","given":"Angela"},{"family":"Brown","given":"Alison G. M."},{"family":"Agurs-Collins","given":"Tanya"},{"family":"Glanz","given":"Karen"}],"issued":{"date-parts":[["2024",3]]}}},{"id":59,"uris":["http://zotero.org/users/local/N9bAOqPz/items/3V6G4L63"],"itemData":{"id":59,"type":"article-journal","abstract":"Plastic pollution arising from food systems is driving policies for reduction, removal, reuse and recycling, but literature on plastic uses and outcomes across subsectors is fragmented. We use a systematic scoping review to describe the extent, range and nature of published evidence since 2000 on seven major plastic types used at any point within food systems and their quantifiable effects on the environment, food security and human health. Although the majority of publications focus on agricultural production, relatively fewer consider retail, household and food waste disposal plastics. Gaps in the research include evidence from low- and middle-income countries, health or food security and/or economic outcomes generated from human population studies-and the subsequent environmental and human health effects. A greater understanding of this disparate evidence landscape is essential to formulate coherent research strategies to inform potential policy actions and assess trade-offs across economic and environmental targets, human health and food security.","container-title":"Nature Food","DOI":"10.1038/s43016-021-00221-z","ISSN":"2662-1355","issue":"2","journalAbbreviation":"Nat Food","language":"eng","page":"80-87","PMID":"37117403","source":"PubMed","title":"A systematic scoping review of environmental, food security and health impacts of food system plastics","volume":"2","author":[{"family":"Yates","given":"Joe"},{"family":"Deeney","given":"Megan"},{"family":"Rolker","given":"Heike B."},{"family":"White","given":"Howard"},{"family":"Kalamatianou","given":"Sofia"},{"family":"Kadiyala","given":"Suneetha"}],"issued":{"date-parts":[["2021",2]]}}}],"schema":"https://github.com/citation-style-language/schema/raw/master/csl-citation.json"} </w:instrText>
      </w:r>
      <w:r w:rsidR="00D11D2F" w:rsidRPr="00277350">
        <w:fldChar w:fldCharType="separate"/>
      </w:r>
      <w:r w:rsidR="00932135" w:rsidRPr="00277350">
        <w:rPr>
          <w:vertAlign w:val="superscript"/>
        </w:rPr>
        <w:t>7,11</w:t>
      </w:r>
      <w:r w:rsidR="00D11D2F" w:rsidRPr="00277350">
        <w:fldChar w:fldCharType="end"/>
      </w:r>
      <w:r w:rsidR="00D11D2F" w:rsidRPr="00277350">
        <w:t xml:space="preserve"> </w:t>
      </w:r>
      <w:r w:rsidR="00285E07" w:rsidRPr="00277350">
        <w:t xml:space="preserve">The intake of ultra-processed </w:t>
      </w:r>
      <w:r w:rsidR="00200246" w:rsidRPr="00277350">
        <w:t xml:space="preserve">foods can lead to the ingestion of </w:t>
      </w:r>
      <w:r w:rsidR="000B09E5" w:rsidRPr="00277350">
        <w:t>endocrine</w:t>
      </w:r>
      <w:r w:rsidR="00200246" w:rsidRPr="00277350">
        <w:t xml:space="preserve"> disrupting chemicals, including </w:t>
      </w:r>
      <w:r w:rsidR="00F4099D" w:rsidRPr="00277350">
        <w:t>phenol</w:t>
      </w:r>
      <w:r w:rsidR="00F651D2" w:rsidRPr="00277350">
        <w:t xml:space="preserve">ic </w:t>
      </w:r>
      <w:r w:rsidR="000B09E5" w:rsidRPr="00277350">
        <w:t>compounds</w:t>
      </w:r>
      <w:r w:rsidR="00ED3C87" w:rsidRPr="00277350">
        <w:t>, due to their extensive processing, packaging, and storage</w:t>
      </w:r>
      <w:r w:rsidR="004B62F0" w:rsidRPr="00277350">
        <w:t xml:space="preserve"> </w:t>
      </w:r>
      <w:r w:rsidR="00ED3C87" w:rsidRPr="00277350">
        <w:t xml:space="preserve">in materials that leach </w:t>
      </w:r>
      <w:r w:rsidR="004F67F9" w:rsidRPr="00277350">
        <w:t>these substances into food.</w:t>
      </w:r>
      <w:r w:rsidR="00B462B1" w:rsidRPr="00277350">
        <w:fldChar w:fldCharType="begin"/>
      </w:r>
      <w:r w:rsidR="00B462B1" w:rsidRPr="00277350">
        <w:instrText xml:space="preserve"> ADDIN ZOTERO_ITEM CSL_CITATION {"citationID":"hYpkTDJW","properties":{"unsorted":false,"formattedCitation":"\\super 12,14\\nosupersub{}","plainCitation":"12,14","noteIndex":0},"citationItems":[{"id":42,"uris":["http://zotero.org/users/local/N9bAOqPz/items/67LM76YC"],"itemData":{"id":42,"type":"article-journal","abstract":"BACKGROUND: Ultra-processed food has low nutritional quality, is associated with development of chronic diseases, and may increase exposure to chemicals used in food packaging and production.\nOBJECTIVES: To assess associations of ultra-processed food consumption with exposure to phthalates and bisphenols, including newer replacements, in the general U.S.\nMETHODS: Among 2212 National Health and Nutrition Examination Survey (NHANES) 2013-2014 participants (≥6 years), we classified items reported in a 24-h dietary recall according to the NOVA food processing classification system and calculated energy intake from ultra-processed food. Urinary concentrations of mono-benzyl (MBzP), mono-(3-carboxypropyl) (MCPP), mono-(carboxyisononyl) (MCNP), mono-(carboxyisoctyl) (MCOP), and four metabolites of di(2-ethylhexyl) (∑DEHP) phthalates and bisphenols A, F, and S were measured in spot urine samples. We estimated percent changes in natural log creatinine-standardized concentrations per 10% higher energy from ultra-processed food in covariate-adjusted multivariable linear regression models. We examined effect measure modification by age group, race/ethnicity, and poverty:income ratio and assessed associations with minimally processed food intake.\nRESULTS: In adjusted models, higher energy from ultra-processed food was associated with higher urinary concentrations of MCPP, MCNP, and MCOP but not MBzP, ∑DEHP, or bisphenols. Each 10% higher energy from ultra-processed food was associated with 8.0% (95% CI: 5.6%, 10.3%) higher urinary MCOP concentrations, with a stronger association among children than adolescents or adults. Ultra-processed sandwiches/hamburgers, French fries/other potato products, and ice cream/pops were associated with higher concentrations of multiple chemicals. Higher energy from minimally processed food was associated with lower concentrations of MCPP, MCNP, MCOP, and bisphenols A and F.\nDISCUSSION: Ultra-processed food consumption may increase exposure to currently used phthalates. Additional research is needed to determine whether minimally processed food diets or changes in food production practices can reduce phthalate and bisphenol exposures and related health effects, particularly among children who are more vulnerable to toxicants and tend to consume more ultra-processed food than adults.","container-title":"Environment International","DOI":"10.1016/j.envint.2019.105057","ISSN":"1873-6750","journalAbbreviation":"Environ Int","language":"eng","page":"105057","PMID":"31398592","PMCID":"PMC6728187","source":"PubMed","title":"Ultra-processed food consumption and exposure to phthalates and bisphenols in the US National Health and Nutrition Examination Survey, 2013-2014","volume":"131","author":[{"family":"Buckley","given":"Jessie P."},{"family":"Kim","given":"Hyunju"},{"family":"Wong","given":"Eugenia"},{"family":"Rebholz","given":"Casey M."}],"issued":{"date-parts":[["2019",10]]}}},{"id":97,"uris":["http://zotero.org/users/local/N9bAOqPz/items/JDM3R33D"],"itemData":{"id":97,"type":"paper-conference","container-title":"The 14th European Nutrition Conference FENS 2023","DOI":"10.3390/proceedings2023091168","event-title":"European Nutrition Conference","language":"en","page":"168","publisher":"MDPI","source":"DOI.org (Crossref)","title":"Dietary Polyphenol Intake in Relation to Ultra-Processed Food Consumption in a Mediterranean Population-Based Cohort: Findings from the Moli-Sani Study","title-short":"Dietary Polyphenol Intake in Relation to Ultra-Processed Food Consumption in a Mediterranean Population-Based Cohort","URL":"https://www.mdpi.com/2504-3900/91/1/168","author":[{"family":"Ruggiero","given":"Emilia"},{"family":"Di Castelnuovo","given":"Augusto"},{"family":"Costanzo","given":"Simona"},{"family":"Esposito","given":"Simona"},{"family":"De Gaetano","given":"Giovanni"},{"family":"Iacoviello","given":"Licia"},{"family":"Bonaccio","given":"Marialaura"}],"accessed":{"date-parts":[["2026",1,29]]},"issued":{"date-parts":[["2024",2,1]]}}}],"schema":"https://github.com/citation-style-language/schema/raw/master/csl-citation.json"} </w:instrText>
      </w:r>
      <w:r w:rsidR="00B462B1" w:rsidRPr="00277350">
        <w:fldChar w:fldCharType="separate"/>
      </w:r>
      <w:r w:rsidR="00B462B1" w:rsidRPr="00277350">
        <w:rPr>
          <w:vertAlign w:val="superscript"/>
        </w:rPr>
        <w:t>12,14</w:t>
      </w:r>
      <w:r w:rsidR="00B462B1" w:rsidRPr="00277350">
        <w:fldChar w:fldCharType="end"/>
      </w:r>
      <w:r w:rsidR="004F67F9" w:rsidRPr="00277350">
        <w:t xml:space="preserve"> </w:t>
      </w:r>
      <w:r w:rsidR="00001D7A" w:rsidRPr="00277350">
        <w:t xml:space="preserve">Phenol exposure is cause for concern due to its </w:t>
      </w:r>
      <w:r w:rsidR="00C42B8F" w:rsidRPr="00277350">
        <w:t xml:space="preserve">associations </w:t>
      </w:r>
      <w:r w:rsidR="00001D7A" w:rsidRPr="00277350">
        <w:t xml:space="preserve">to metabolic processes </w:t>
      </w:r>
      <w:r w:rsidR="003B1988" w:rsidRPr="00277350">
        <w:t>and adverse health outcomes</w:t>
      </w:r>
      <w:r w:rsidR="000A1DF0" w:rsidRPr="00277350">
        <w:fldChar w:fldCharType="begin"/>
      </w:r>
      <w:r w:rsidR="00580FE7" w:rsidRPr="00277350">
        <w:instrText xml:space="preserve"> ADDIN ZOTERO_ITEM CSL_CITATION {"citationID":"BWox1GSP","properties":{"unsorted":false,"formattedCitation":"\\super 15\\nosupersub{}","plainCitation":"15","noteIndex":0},"citationItems":[{"id":99,"uris":["http://zotero.org/users/local/N9bAOqPz/items/YQLN6LNA"],"itemData":{"id":99,"type":"article-journal","container-title":"PLOS ONE","DOI":"10.1371/journal.pone.0236738","ISSN":"1932-6203","issue":"7","journalAbbreviation":"PLoS ONE","language":"en","page":"e0236738","source":"DOI.org (Crossref)","title":"Association between dietary contribution of ultra-processed foods and urinary concentrations of phthalates and bisphenol in a nationally representative sample of the US population aged 6 years and older","volume":"15","author":[{"family":"Martínez Steele","given":"Eurídice"},{"family":"Khandpur","given":"Neha"},{"family":"Da Costa Louzada","given":"Maria Laura"},{"family":"Monteiro","given":"Carlos Augusto"}],"editor":[{"family":"Foo","given":"Leng Huat"}],"issued":{"date-parts":[["2020",7,31]]}}}],"schema":"https://github.com/citation-style-language/schema/raw/master/csl-citation.json"} </w:instrText>
      </w:r>
      <w:r w:rsidR="000A1DF0" w:rsidRPr="00277350">
        <w:fldChar w:fldCharType="separate"/>
      </w:r>
      <w:r w:rsidR="00580FE7" w:rsidRPr="00277350">
        <w:rPr>
          <w:vertAlign w:val="superscript"/>
        </w:rPr>
        <w:t>15</w:t>
      </w:r>
      <w:r w:rsidR="000A1DF0" w:rsidRPr="00277350">
        <w:fldChar w:fldCharType="end"/>
      </w:r>
      <w:r w:rsidR="0063626E" w:rsidRPr="00277350">
        <w:t xml:space="preserve">. </w:t>
      </w:r>
    </w:p>
    <w:p w14:paraId="5065CD15" w14:textId="3169411B" w:rsidR="005E0C72" w:rsidRPr="00277350" w:rsidRDefault="00977C85" w:rsidP="00B77E3A">
      <w:pPr>
        <w:pStyle w:val="NormalWeb"/>
        <w:spacing w:before="0" w:beforeAutospacing="0" w:after="0" w:afterAutospacing="0"/>
        <w:ind w:firstLine="720"/>
      </w:pPr>
      <w:r w:rsidRPr="00277350">
        <w:t>Phenols are a class of organic chemical compounds characterized by one or more hydroxyl groups attached to an aromatic hydrocarbon ring.</w:t>
      </w:r>
      <w:r w:rsidR="00AC7012" w:rsidRPr="00277350">
        <w:fldChar w:fldCharType="begin"/>
      </w:r>
      <w:r w:rsidR="00580FE7" w:rsidRPr="00277350">
        <w:instrText xml:space="preserve"> ADDIN ZOTERO_ITEM CSL_CITATION {"citationID":"04IMH7ah","properties":{"formattedCitation":"\\super 16\\nosupersub{}","plainCitation":"16","noteIndex":0},"citationItems":[{"id":61,"uris":["http://zotero.org/users/local/N9bAOqPz/items/CXZAPW5Z"],"itemData":{"id":61,"type":"report","genre":"Toxic Substances Portal","publisher":"Agency for Toxic Substances and Disease Registry","title":"Phenols/phenoxy acids","URL":"https://wwwn.cdc.gov/tsp/substances/ToxChemicalListing.aspx?toxid=40","issued":{"date-parts":[["2008"]]}}}],"schema":"https://github.com/citation-style-language/schema/raw/master/csl-citation.json"} </w:instrText>
      </w:r>
      <w:r w:rsidR="00AC7012" w:rsidRPr="00277350">
        <w:fldChar w:fldCharType="separate"/>
      </w:r>
      <w:r w:rsidR="00580FE7" w:rsidRPr="00277350">
        <w:rPr>
          <w:vertAlign w:val="superscript"/>
        </w:rPr>
        <w:t>16</w:t>
      </w:r>
      <w:r w:rsidR="00AC7012" w:rsidRPr="00277350">
        <w:fldChar w:fldCharType="end"/>
      </w:r>
      <w:r w:rsidRPr="00277350">
        <w:t xml:space="preserve"> These chemicals are widely used in the manufacturing</w:t>
      </w:r>
      <w:r w:rsidR="00D11D2F" w:rsidRPr="00277350">
        <w:t xml:space="preserve"> including</w:t>
      </w:r>
      <w:r w:rsidR="00D41F63" w:rsidRPr="00277350">
        <w:t xml:space="preserve"> </w:t>
      </w:r>
      <w:r w:rsidRPr="00277350">
        <w:t>food packaging, and</w:t>
      </w:r>
      <w:r w:rsidR="00D11D2F" w:rsidRPr="00277350">
        <w:t xml:space="preserve"> as</w:t>
      </w:r>
      <w:r w:rsidRPr="00277350">
        <w:t xml:space="preserve"> food preservatives.</w:t>
      </w:r>
      <w:r w:rsidR="00AC7012" w:rsidRPr="00277350">
        <w:fldChar w:fldCharType="begin"/>
      </w:r>
      <w:r w:rsidR="00580FE7" w:rsidRPr="00277350">
        <w:instrText xml:space="preserve"> ADDIN ZOTERO_ITEM CSL_CITATION {"citationID":"K0ec4DG6","properties":{"formattedCitation":"\\super 12,17\\nosupersub{}","plainCitation":"12,17","noteIndex":0},"citationItems":[{"id":42,"uris":["http://zotero.org/users/local/N9bAOqPz/items/67LM76YC"],"itemData":{"id":42,"type":"article-journal","abstract":"BACKGROUND: Ultra-processed food has low nutritional quality, is associated with development of chronic diseases, and may increase exposure to chemicals used in food packaging and production.\nOBJECTIVES: To assess associations of ultra-processed food consumption with exposure to phthalates and bisphenols, including newer replacements, in the general U.S.\nMETHODS: Among 2212 National Health and Nutrition Examination Survey (NHANES) 2013-2014 participants (≥6 years), we classified items reported in a 24-h dietary recall according to the NOVA food processing classification system and calculated energy intake from ultra-processed food. Urinary concentrations of mono-benzyl (MBzP), mono-(3-carboxypropyl) (MCPP), mono-(carboxyisononyl) (MCNP), mono-(carboxyisoctyl) (MCOP), and four metabolites of di(2-ethylhexyl) (∑DEHP) phthalates and bisphenols A, F, and S were measured in spot urine samples. We estimated percent changes in natural log creatinine-standardized concentrations per 10% higher energy from ultra-processed food in covariate-adjusted multivariable linear regression models. We examined effect measure modification by age group, race/ethnicity, and poverty:income ratio and assessed associations with minimally processed food intake.\nRESULTS: In adjusted models, higher energy from ultra-processed food was associated with higher urinary concentrations of MCPP, MCNP, and MCOP but not MBzP, ∑DEHP, or bisphenols. Each 10% higher energy from ultra-processed food was associated with 8.0% (95% CI: 5.6%, 10.3%) higher urinary MCOP concentrations, with a stronger association among children than adolescents or adults. Ultra-processed sandwiches/hamburgers, French fries/other potato products, and ice cream/pops were associated with higher concentrations of multiple chemicals. Higher energy from minimally processed food was associated with lower concentrations of MCPP, MCNP, MCOP, and bisphenols A and F.\nDISCUSSION: Ultra-processed food consumption may increase exposure to currently used phthalates. Additional research is needed to determine whether minimally processed food diets or changes in food production practices can reduce phthalate and bisphenol exposures and related health effects, particularly among children who are more vulnerable to toxicants and tend to consume more ultra-processed food than adults.","container-title":"Environment International","DOI":"10.1016/j.envint.2019.105057","ISSN":"1873-6750","journalAbbreviation":"Environ Int","language":"eng","page":"105057","PMID":"31398592","PMCID":"PMC6728187","source":"PubMed","title":"Ultra-processed food consumption and exposure to phthalates and bisphenols in the US National Health and Nutrition Examination Survey, 2013-2014","volume":"131","author":[{"family":"Buckley","given":"Jessie P."},{"family":"Kim","given":"Hyunju"},{"family":"Wong","given":"Eugenia"},{"family":"Rebholz","given":"Casey M."}],"issued":{"date-parts":[["2019",10]]}}},{"id":28,"uris":["http://zotero.org/users/local/N9bAOqPz/items/L2RLUM8D"],"itemData":{"id":28,"type":"article-journal","abstract":"To test the hypothesis that migration from the thermal labels on plastic film packaging is a major source of exposure to bisphenols and alternative color developers in food, we analyzed 140 packaging materials from packaged fresh food purchased in North America. No bisphenol A (BPA) was detected in either the packaging samples or thermal labels. However, significant amounts of bisphenol S (BPS) and alternative color developers (up to 214 μg/cm2) were present in thermal labels; their relative occurrence varied among stores. In a controlled experiment, we wrapped fish in film with a thermal label for 5 days at 4 °C. The fish in contact with the label contained BPS (≤1140 ng/g wet weight [ww]), 4-hydroxyphenyl 4-isoprooxyphenylsulfone (D-8) (≤230 ng/g ww), bis(2-chloroethyl)ether-4,4'-dihydroxydiphenyl sulfone monomer (D-90) (≤3.41 ng/g ww), and/or Pergafast-201 (≤1.87 ng/g ww). The corresponding film samples were then tested using migration cells for 10 days; significantly higher BPS migration was observed systematically from the films with thermal labels compared to plain films. This study provides evidence, for the first time, that BPS and alternative thermal label color developers migrate from packaging materials into food. Further, BPS migration significantly exceeded the European Union Specific Migration Limit (50 ng/g ww), suggesting that further risk assessment studies are warranted.","container-title":"Environmental Science &amp; Technology","DOI":"10.1021/acs.est.2c09390","ISSN":"1520-5851","issue":"12","journalAbbreviation":"Environ Sci Technol","language":"eng","page":"4984-4991","PMID":"36922386","source":"PubMed","title":"Food Thermal Labels are a Source of Dietary Exposure to Bisphenol S and Other Color Developers","volume":"57","author":[{"family":"Xu","given":"Ziyun"},{"family":"Tian","given":"Lei"},{"family":"Liu","given":"Lan"},{"family":"Goodyer","given":"Cynthia Gates"},{"family":"Hales","given":"Barbara F."},{"family":"Bayen","given":"Stéphane"}],"issued":{"date-parts":[["2023",3,28]]}}}],"schema":"https://github.com/citation-style-language/schema/raw/master/csl-citation.json"} </w:instrText>
      </w:r>
      <w:r w:rsidR="00AC7012" w:rsidRPr="00277350">
        <w:fldChar w:fldCharType="separate"/>
      </w:r>
      <w:r w:rsidR="00580FE7" w:rsidRPr="00277350">
        <w:rPr>
          <w:vertAlign w:val="superscript"/>
        </w:rPr>
        <w:t>12,17</w:t>
      </w:r>
      <w:r w:rsidR="00AC7012" w:rsidRPr="00277350">
        <w:fldChar w:fldCharType="end"/>
      </w:r>
      <w:r w:rsidR="00C7082E" w:rsidRPr="00277350">
        <w:t xml:space="preserve"> </w:t>
      </w:r>
      <w:r w:rsidR="00D41F63" w:rsidRPr="00277350">
        <w:t xml:space="preserve">While </w:t>
      </w:r>
      <w:r w:rsidR="008F59B4" w:rsidRPr="00277350">
        <w:t>few studies</w:t>
      </w:r>
      <w:r w:rsidR="00D41F63" w:rsidRPr="00277350">
        <w:t xml:space="preserve"> have examined food security explicitly and phenols exposure, </w:t>
      </w:r>
      <w:r w:rsidR="007862A4" w:rsidRPr="00277350">
        <w:t xml:space="preserve">individuals experiencing low food security </w:t>
      </w:r>
      <w:r w:rsidR="001F1E85" w:rsidRPr="00277350">
        <w:t>are more likely to dep</w:t>
      </w:r>
      <w:r w:rsidR="00A554CA" w:rsidRPr="00277350">
        <w:t xml:space="preserve">end on </w:t>
      </w:r>
      <w:r w:rsidR="008C4875" w:rsidRPr="00277350">
        <w:t xml:space="preserve">packaged foods </w:t>
      </w:r>
      <w:r w:rsidR="00AD3A8F" w:rsidRPr="00277350">
        <w:t xml:space="preserve">and meals from convenience stores due to economic constraints and limited access to </w:t>
      </w:r>
      <w:r w:rsidR="00005A43" w:rsidRPr="00277350">
        <w:t>fresh</w:t>
      </w:r>
      <w:r w:rsidR="00AD3A8F" w:rsidRPr="00277350">
        <w:t xml:space="preserve"> produce. </w:t>
      </w:r>
      <w:r w:rsidR="005B17AD" w:rsidRPr="00277350">
        <w:t>Studies of ultra-processed and fast-food consumption show that these dietary patterns are associated with higher urinary concentrations of several phenols</w:t>
      </w:r>
      <w:r w:rsidR="006B7CCA" w:rsidRPr="00277350">
        <w:t xml:space="preserve"> such as </w:t>
      </w:r>
      <w:r w:rsidR="00F95B7A" w:rsidRPr="00277350">
        <w:t>b</w:t>
      </w:r>
      <w:r w:rsidR="006B7CCA" w:rsidRPr="00277350">
        <w:t xml:space="preserve">isphenol A (BPA) and </w:t>
      </w:r>
      <w:r w:rsidR="00F95B7A" w:rsidRPr="00277350">
        <w:t>b</w:t>
      </w:r>
      <w:r w:rsidR="002F6CA9" w:rsidRPr="00277350">
        <w:t>isphenol F (BPF)</w:t>
      </w:r>
      <w:r w:rsidR="00F9022F" w:rsidRPr="00277350">
        <w:fldChar w:fldCharType="begin"/>
      </w:r>
      <w:r w:rsidR="005C6FB8" w:rsidRPr="00277350">
        <w:instrText xml:space="preserve"> ADDIN ZOTERO_ITEM CSL_CITATION {"citationID":"CB6kBnxT","properties":{"unsorted":false,"formattedCitation":"\\super 12,18\\nosupersub{}","plainCitation":"12,18","noteIndex":0},"citationItems":[{"id":42,"uris":["http://zotero.org/users/local/N9bAOqPz/items/67LM76YC"],"itemData":{"id":42,"type":"article-journal","abstract":"BACKGROUND: Ultra-processed food has low nutritional quality, is associated with development of chronic diseases, and may increase exposure to chemicals used in food packaging and production.\nOBJECTIVES: To assess associations of ultra-processed food consumption with exposure to phthalates and bisphenols, including newer replacements, in the general U.S.\nMETHODS: Among 2212 National Health and Nutrition Examination Survey (NHANES) 2013-2014 participants (≥6 years), we classified items reported in a 24-h dietary recall according to the NOVA food processing classification system and calculated energy intake from ultra-processed food. Urinary concentrations of mono-benzyl (MBzP), mono-(3-carboxypropyl) (MCPP), mono-(carboxyisononyl) (MCNP), mono-(carboxyisoctyl) (MCOP), and four metabolites of di(2-ethylhexyl) (∑DEHP) phthalates and bisphenols A, F, and S were measured in spot urine samples. We estimated percent changes in natural log creatinine-standardized concentrations per 10% higher energy from ultra-processed food in covariate-adjusted multivariable linear regression models. We examined effect measure modification by age group, race/ethnicity, and poverty:income ratio and assessed associations with minimally processed food intake.\nRESULTS: In adjusted models, higher energy from ultra-processed food was associated with higher urinary concentrations of MCPP, MCNP, and MCOP but not MBzP, ∑DEHP, or bisphenols. Each 10% higher energy from ultra-processed food was associated with 8.0% (95% CI: 5.6%, 10.3%) higher urinary MCOP concentrations, with a stronger association among children than adolescents or adults. Ultra-processed sandwiches/hamburgers, French fries/other potato products, and ice cream/pops were associated with higher concentrations of multiple chemicals. Higher energy from minimally processed food was associated with lower concentrations of MCPP, MCNP, MCOP, and bisphenols A and F.\nDISCUSSION: Ultra-processed food consumption may increase exposure to currently used phthalates. Additional research is needed to determine whether minimally processed food diets or changes in food production practices can reduce phthalate and bisphenol exposures and related health effects, particularly among children who are more vulnerable to toxicants and tend to consume more ultra-processed food than adults.","container-title":"Environment International","DOI":"10.1016/j.envint.2019.105057","ISSN":"1873-6750","journalAbbreviation":"Environ Int","language":"eng","page":"105057","PMID":"31398592","PMCID":"PMC6728187","source":"PubMed","title":"Ultra-processed food consumption and exposure to phthalates and bisphenols in the US National Health and Nutrition Examination Survey, 2013-2014","volume":"131","author":[{"family":"Buckley","given":"Jessie P."},{"family":"Kim","given":"Hyunju"},{"family":"Wong","given":"Eugenia"},{"family":"Rebholz","given":"Casey M."}],"issued":{"date-parts":[["2019",10]]}}},{"id":101,"uris":["http://zotero.org/users/local/N9bAOqPz/items/PAVABIVE"],"itemData":{"id":101,"type":"article-journal","abstract":"Ultra-processed food consumption has been associated with several health outcomes such as obesity, hypertension, cardiovascular disease and cancer. The deleterious nutrient profile of these products, and the presence of food additives, neoformed contaminants and contact materials such as phthalates and bisphenol may be some of the potential pathways through which ultra-processed food influences disease outcomes. The aim of this study was to examine the association between dietary contribution of ultra-processed foods and urinary biomarker concentrations of parent compounds or their metabolites including Di(2-ethylhexyl) phthalate (ΣDEHP), Di-isononyl phthalate (ΣDiNP), Monocarboxynonyl phthalate (mCNP), Mono (3-carboxypropyl) phthalate (mCPP), Monobenzyl phthalate (mBzP), Bisphenol A (BPA), Bisphenol F (BPF) and Bisphenol S (BPS), in the US. Participants from the cross-sectional 2009-2016 National Health and Nutrition Examination Survey, aged 6+ years, with urinary measures and with one 24-hour dietary recall were included in the study. Ultra-processed foods were identified based on the NOVA classification system, a four-group food classification based on the extent and purpose of industrial food processing. Linear regression was used to compare average urinary creatinine-standardized concentrations across quintiles of energy contribution of ultra-processed foods. Models incorporated survey sample weights and were adjusted for different sociodemographic and life-style variables. Adjusted geometric means of ΣDiNP, mCNP, mCPP, mBzP and BPF increased monotonically from the lowest to the highest quintile of ultra-processed food consumption. As both phthalates/bisphenol and ultra-processed foods have been previously associated with insulin resistance, diabetes, general/abdominal obesity and hypertension, our results suggest the possibility of contact materials in ultra-processed foods as one link between ultra-processed food and these health outcomes. Future studies could confirm findings and further explore these mechanisms of action.","container-title":"PloS One","DOI":"10.1371/journal.pone.0236738","ISSN":"1932-6203","issue":"7","journalAbbreviation":"PLoS One","language":"eng","page":"e0236738","PMID":"32735599","PMCID":"PMC7394369","source":"PubMed","title":"Association between dietary contribution of ultra-processed foods and urinary concentrations of phthalates and bisphenol in a nationally representative sample of the US population aged 6 years and older","volume":"15","author":[{"family":"Martínez Steele","given":"Eurídice"},{"family":"Khandpur","given":"Neha"},{"family":"Costa Louzada","given":"Maria Laura","non-dropping-particle":"da"},{"family":"Monteiro","given":"Carlos Augusto"}],"issued":{"date-parts":[["2020"]]}}}],"schema":"https://github.com/citation-style-language/schema/raw/master/csl-citation.json"} </w:instrText>
      </w:r>
      <w:r w:rsidR="00F9022F" w:rsidRPr="00277350">
        <w:fldChar w:fldCharType="separate"/>
      </w:r>
      <w:r w:rsidR="005C6FB8" w:rsidRPr="00277350">
        <w:rPr>
          <w:vertAlign w:val="superscript"/>
        </w:rPr>
        <w:t>12,18</w:t>
      </w:r>
      <w:r w:rsidR="00F9022F" w:rsidRPr="00277350">
        <w:fldChar w:fldCharType="end"/>
      </w:r>
      <w:r w:rsidR="002F6CA9" w:rsidRPr="00277350">
        <w:t xml:space="preserve">. </w:t>
      </w:r>
    </w:p>
    <w:p w14:paraId="22A04886" w14:textId="68B52024" w:rsidR="00AA54C7" w:rsidRPr="00277350" w:rsidRDefault="002E22BF" w:rsidP="005E0C72">
      <w:pPr>
        <w:pStyle w:val="NormalWeb"/>
        <w:spacing w:before="0" w:beforeAutospacing="0" w:after="0" w:afterAutospacing="0"/>
        <w:ind w:firstLine="720"/>
      </w:pPr>
      <w:r w:rsidRPr="00277350">
        <w:t xml:space="preserve">Despite these findings, a key research gap remains in understanding the </w:t>
      </w:r>
      <w:r w:rsidR="00B64D69" w:rsidRPr="00277350">
        <w:t xml:space="preserve">chemical </w:t>
      </w:r>
      <w:r w:rsidRPr="00277350">
        <w:t xml:space="preserve">exposure pathways linking </w:t>
      </w:r>
      <w:r w:rsidR="00B64D69" w:rsidRPr="00277350">
        <w:t xml:space="preserve">household </w:t>
      </w:r>
      <w:r w:rsidRPr="00277350">
        <w:t xml:space="preserve">food insecurity and </w:t>
      </w:r>
      <w:r w:rsidR="00706254" w:rsidRPr="00277350">
        <w:t>endocrine</w:t>
      </w:r>
      <w:r w:rsidRPr="00277350">
        <w:t xml:space="preserve"> disrupting chemicals, specifically phenol metabolite exposures</w:t>
      </w:r>
      <w:r w:rsidR="00760D0F" w:rsidRPr="00277350">
        <w:t xml:space="preserve">. </w:t>
      </w:r>
      <w:r w:rsidRPr="00277350">
        <w:t>Understanding this connection is important for identifying environmental health disparities and the broader health impacts of</w:t>
      </w:r>
      <w:r w:rsidR="00B64D69" w:rsidRPr="00277350">
        <w:t xml:space="preserve"> household</w:t>
      </w:r>
      <w:r w:rsidRPr="00277350">
        <w:t xml:space="preserve"> food insecurity</w:t>
      </w:r>
      <w:r w:rsidR="00760D0F" w:rsidRPr="00277350">
        <w:t>.</w:t>
      </w:r>
      <w:r w:rsidR="001A5D88" w:rsidRPr="00277350">
        <w:fldChar w:fldCharType="begin"/>
      </w:r>
      <w:r w:rsidR="005C6FB8" w:rsidRPr="00277350">
        <w:instrText xml:space="preserve"> ADDIN ZOTERO_ITEM CSL_CITATION {"citationID":"q80YoWad","properties":{"formattedCitation":"\\super 19\\nosupersub{}","plainCitation":"19","noteIndex":0},"citationItems":[{"id":62,"uris":["http://zotero.org/users/local/N9bAOqPz/items/W28D7V28"],"itemData":{"id":62,"type":"article-journal","abstract":"Although it is often acknowledged that social and environmental factors interact to produce racial and ethnic environmental health disparities, it is still unclear how this occurs. Despite continued controversy, the environmental justice movement has provided some insight by suggesting that disadvantaged communities face greater likelihood of exposure to ambient hazards. The exposure-disease paradigm has long suggested that differential \"vulnerability\" may modify the effects of toxicants on biological systems. However, relatively little work has been done to specify whether racial and ethnic minorities may have greater vulnerability than do majority populations and, further, what these vulnerabilities may be. We suggest that psychosocial stress may be the vulnerability factor that links social conditions with environmental hazards. Psychosocial stress can lead to acute and chronic changes in the functioning of body systems (e.g., immune) and also lead directly to illness. In this article we present a multidisciplinary framework integrating these ideas. We also argue that residential segregation leads to differential experiences of community stress, exposure to pollutants, and access to community resources. When not counterbalanced by resources, stressors may lead to heightened vulnerability to environmental hazards.","container-title":"Environmental Health Perspectives","DOI":"10.1289/ehp.7074","ISSN":"0091-6765","issue":"17","journalAbbreviation":"Environ Health Perspect","language":"eng","page":"1645-1653","PMID":"15579407","PMCID":"PMC1253653","source":"PubMed","title":"Environmental health disparities: a framework integrating psychosocial and environmental concepts","title-short":"Environmental health disparities","volume":"112","author":[{"family":"Gee","given":"Gilbert C."},{"family":"Payne-Sturges","given":"Devon C."}],"issued":{"date-parts":[["2004",12]]}}}],"schema":"https://github.com/citation-style-language/schema/raw/master/csl-citation.json"} </w:instrText>
      </w:r>
      <w:r w:rsidR="001A5D88" w:rsidRPr="00277350">
        <w:fldChar w:fldCharType="separate"/>
      </w:r>
      <w:r w:rsidR="005C6FB8" w:rsidRPr="00277350">
        <w:rPr>
          <w:vertAlign w:val="superscript"/>
        </w:rPr>
        <w:t>19</w:t>
      </w:r>
      <w:r w:rsidR="001A5D88" w:rsidRPr="00277350">
        <w:fldChar w:fldCharType="end"/>
      </w:r>
      <w:r w:rsidR="001A5D88" w:rsidRPr="00277350">
        <w:t xml:space="preserve"> </w:t>
      </w:r>
      <w:r w:rsidR="004710DD" w:rsidRPr="00277350">
        <w:t xml:space="preserve">This study </w:t>
      </w:r>
      <w:r w:rsidR="00D41F63" w:rsidRPr="00277350">
        <w:t>examines the</w:t>
      </w:r>
      <w:r w:rsidR="004710DD" w:rsidRPr="00277350">
        <w:t xml:space="preserve"> association between household food insecurity and urinary phenol metabolite concentrations</w:t>
      </w:r>
      <w:r w:rsidR="00D41F63" w:rsidRPr="00277350">
        <w:t xml:space="preserve">, </w:t>
      </w:r>
      <w:r w:rsidR="004710DD" w:rsidRPr="00277350">
        <w:t>cross-sectional</w:t>
      </w:r>
      <w:r w:rsidR="00D41F63" w:rsidRPr="00277350">
        <w:t>ly</w:t>
      </w:r>
      <w:r w:rsidR="004710DD" w:rsidRPr="00277350">
        <w:t xml:space="preserve"> using National Health and Nutrition Examination Survey data from 2005</w:t>
      </w:r>
      <w:r w:rsidR="00D41F63" w:rsidRPr="00277350">
        <w:t>-</w:t>
      </w:r>
      <w:r w:rsidR="004710DD" w:rsidRPr="00277350">
        <w:t xml:space="preserve">2016. </w:t>
      </w:r>
      <w:r w:rsidR="00D41F63" w:rsidRPr="00277350">
        <w:t>We also seek to explore whether</w:t>
      </w:r>
      <w:r w:rsidR="00DF5CEE" w:rsidRPr="00277350">
        <w:t xml:space="preserve"> race/ethnicity </w:t>
      </w:r>
      <w:r w:rsidR="00D41F63" w:rsidRPr="00277350">
        <w:t xml:space="preserve">as well as will </w:t>
      </w:r>
      <w:r w:rsidR="00DF5CEE" w:rsidRPr="00277350">
        <w:rPr>
          <w:b/>
          <w:bCs/>
        </w:rPr>
        <w:t xml:space="preserve">sex </w:t>
      </w:r>
      <w:r w:rsidR="00DF5CEE" w:rsidRPr="00277350">
        <w:t>modify this association. We hypothesiz</w:t>
      </w:r>
      <w:r w:rsidR="00D41F63" w:rsidRPr="00277350">
        <w:t>e</w:t>
      </w:r>
      <w:r w:rsidR="00DF5CEE" w:rsidRPr="00277350">
        <w:t xml:space="preserve"> that </w:t>
      </w:r>
      <w:r w:rsidR="00D41F63" w:rsidRPr="00277350">
        <w:t xml:space="preserve">reduced household </w:t>
      </w:r>
      <w:r w:rsidR="00DF5CEE" w:rsidRPr="00277350">
        <w:t xml:space="preserve">food security </w:t>
      </w:r>
      <w:r w:rsidR="00DF5CEE" w:rsidRPr="00277350">
        <w:lastRenderedPageBreak/>
        <w:t xml:space="preserve">will be associated with increased urinary phenol metabolite </w:t>
      </w:r>
      <w:r w:rsidR="0031401C" w:rsidRPr="00277350">
        <w:t>concentrations</w:t>
      </w:r>
      <w:r w:rsidR="00DF5CEE" w:rsidRPr="00277350">
        <w:t xml:space="preserve"> among adults, and that sex and race/ethnicity will modify these associations.</w:t>
      </w:r>
    </w:p>
    <w:p w14:paraId="0C33DABD" w14:textId="77777777" w:rsidR="00D11D2F" w:rsidRPr="00277350" w:rsidRDefault="00D11D2F" w:rsidP="00DE60D5">
      <w:pPr>
        <w:pStyle w:val="NormalWeb"/>
        <w:spacing w:before="0" w:beforeAutospacing="0" w:after="0" w:afterAutospacing="0"/>
        <w:rPr>
          <w:b/>
          <w:bCs/>
        </w:rPr>
      </w:pPr>
    </w:p>
    <w:p w14:paraId="3D1087BE" w14:textId="77777777" w:rsidR="00D11D2F" w:rsidRPr="00277350" w:rsidRDefault="00D11D2F" w:rsidP="00DE60D5">
      <w:pPr>
        <w:pStyle w:val="NormalWeb"/>
        <w:spacing w:before="0" w:beforeAutospacing="0" w:after="0" w:afterAutospacing="0"/>
        <w:rPr>
          <w:b/>
          <w:bCs/>
        </w:rPr>
      </w:pPr>
    </w:p>
    <w:p w14:paraId="36EE6253" w14:textId="09C09B3F" w:rsidR="00DE60D5" w:rsidRPr="00277350" w:rsidRDefault="00DE60D5" w:rsidP="00DE60D5">
      <w:pPr>
        <w:pStyle w:val="NormalWeb"/>
        <w:spacing w:before="0" w:beforeAutospacing="0" w:after="0" w:afterAutospacing="0"/>
        <w:rPr>
          <w:b/>
          <w:bCs/>
          <w:sz w:val="28"/>
          <w:szCs w:val="28"/>
        </w:rPr>
      </w:pPr>
      <w:r w:rsidRPr="00277350">
        <w:rPr>
          <w:b/>
          <w:bCs/>
          <w:sz w:val="28"/>
          <w:szCs w:val="28"/>
        </w:rPr>
        <w:t>Methods</w:t>
      </w:r>
    </w:p>
    <w:p w14:paraId="16D22B94" w14:textId="77777777" w:rsidR="00DE60D5" w:rsidRPr="00277350" w:rsidRDefault="00DE60D5" w:rsidP="00DE60D5">
      <w:pPr>
        <w:pStyle w:val="NormalWeb"/>
        <w:spacing w:before="0" w:beforeAutospacing="0" w:after="0" w:afterAutospacing="0"/>
      </w:pPr>
    </w:p>
    <w:p w14:paraId="42CF32C5" w14:textId="77777777" w:rsidR="003B10A7" w:rsidRPr="00277350" w:rsidRDefault="003B10A7" w:rsidP="003B10A7">
      <w:pPr>
        <w:spacing w:line="240" w:lineRule="auto"/>
        <w:rPr>
          <w:rFonts w:ascii="Times New Roman" w:hAnsi="Times New Roman" w:cs="Times New Roman"/>
          <w:b/>
          <w:bCs/>
          <w:i/>
          <w:iCs/>
        </w:rPr>
      </w:pPr>
      <w:r w:rsidRPr="00277350">
        <w:rPr>
          <w:rFonts w:ascii="Times New Roman" w:hAnsi="Times New Roman" w:cs="Times New Roman"/>
          <w:b/>
          <w:bCs/>
          <w:i/>
          <w:iCs/>
        </w:rPr>
        <w:t>Study Design</w:t>
      </w:r>
    </w:p>
    <w:p w14:paraId="7D5E7605" w14:textId="55BC60F0" w:rsidR="003B10A7" w:rsidRPr="00277350" w:rsidRDefault="003B10A7" w:rsidP="003B10A7">
      <w:pPr>
        <w:spacing w:line="240" w:lineRule="auto"/>
        <w:rPr>
          <w:rFonts w:ascii="Times New Roman" w:hAnsi="Times New Roman" w:cs="Times New Roman"/>
          <w:color w:val="000000" w:themeColor="text1"/>
        </w:rPr>
      </w:pPr>
      <w:r w:rsidRPr="00277350">
        <w:rPr>
          <w:rFonts w:ascii="Times New Roman" w:hAnsi="Times New Roman" w:cs="Times New Roman"/>
        </w:rPr>
        <w:t>This study utilized cross sectional data from the National Health and Nutrition Examination Survey (NHANES), a US based population. NHANES is administered through the Centers of Disease Control and Prevention (CDC), and conducts interviews, physical examinations and laboratory tests on a random sample of eligible study participants, utilizing one participant from each household.</w:t>
      </w:r>
      <w:r w:rsidR="000341DD" w:rsidRPr="00277350">
        <w:rPr>
          <w:rFonts w:ascii="Times New Roman" w:hAnsi="Times New Roman" w:cs="Times New Roman"/>
        </w:rPr>
        <w:fldChar w:fldCharType="begin"/>
      </w:r>
      <w:r w:rsidR="005C6FB8" w:rsidRPr="00277350">
        <w:rPr>
          <w:rFonts w:ascii="Times New Roman" w:hAnsi="Times New Roman" w:cs="Times New Roman"/>
        </w:rPr>
        <w:instrText xml:space="preserve"> ADDIN ZOTERO_ITEM CSL_CITATION {"citationID":"mxRFSnwc","properties":{"unsorted":false,"formattedCitation":"\\super 20,21\\nosupersub{}","plainCitation":"20,21","noteIndex":0},"citationItems":[{"id":68,"uris":["http://zotero.org/users/local/N9bAOqPz/items/IUFYFIDQ"],"itemData":{"id":68,"type":"report","title":"NHANES - About the National Health and Nutrition Examination Survey","URL":"https://www.cdc.gov/nchs/nhanes/about_nhanes.htm","issued":{"date-parts":[["2023",5]]}}},{"id":74,"uris":["http://zotero.org/users/local/N9bAOqPz/items/WCDKM47B"],"itemData":{"id":74,"type":"document","genre":"Data Evaluation and Methods Research","publisher":"National Center for Health Statistics","publisher-place":"Hyattsville, Maryland","title":"National Health and Nutrition Examination Survey, 2015−2018: Sample Design and Estimation Procedures","URL":"https://www.cdc.gov/nchs/data/series/sr_02/sr02-184-508.pdf","issued":{"date-parts":[["2020",4]]}}}],"schema":"https://github.com/citation-style-language/schema/raw/master/csl-citation.json"} </w:instrText>
      </w:r>
      <w:r w:rsidR="000341DD" w:rsidRPr="00277350">
        <w:rPr>
          <w:rFonts w:ascii="Times New Roman" w:hAnsi="Times New Roman" w:cs="Times New Roman"/>
        </w:rPr>
        <w:fldChar w:fldCharType="separate"/>
      </w:r>
      <w:r w:rsidR="005C6FB8" w:rsidRPr="00277350">
        <w:rPr>
          <w:rFonts w:ascii="Times New Roman" w:hAnsi="Times New Roman" w:cs="Times New Roman"/>
          <w:kern w:val="0"/>
          <w:vertAlign w:val="superscript"/>
        </w:rPr>
        <w:t>20,21</w:t>
      </w:r>
      <w:r w:rsidR="000341DD" w:rsidRPr="00277350">
        <w:rPr>
          <w:rFonts w:ascii="Times New Roman" w:hAnsi="Times New Roman" w:cs="Times New Roman"/>
        </w:rPr>
        <w:fldChar w:fldCharType="end"/>
      </w:r>
      <w:r w:rsidRPr="00277350">
        <w:rPr>
          <w:rFonts w:ascii="Times New Roman" w:hAnsi="Times New Roman" w:cs="Times New Roman"/>
        </w:rPr>
        <w:t xml:space="preserve"> </w:t>
      </w:r>
      <w:r w:rsidRPr="00277350">
        <w:rPr>
          <w:rFonts w:ascii="Times New Roman" w:hAnsi="Times New Roman" w:cs="Times New Roman"/>
          <w:color w:val="000000" w:themeColor="text1"/>
        </w:rPr>
        <w:t>NHANES uses a complex, multistage sampling method with oversampling of selected population subgroups.</w:t>
      </w:r>
      <w:r w:rsidRPr="00277350">
        <w:rPr>
          <w:rFonts w:ascii="Times New Roman" w:hAnsi="Times New Roman" w:cs="Times New Roman"/>
          <w:i/>
          <w:iCs/>
          <w:color w:val="000000" w:themeColor="text1"/>
        </w:rPr>
        <w:t xml:space="preserve"> </w:t>
      </w:r>
      <w:r w:rsidRPr="00277350">
        <w:rPr>
          <w:rFonts w:ascii="Times New Roman" w:hAnsi="Times New Roman" w:cs="Times New Roman"/>
        </w:rPr>
        <w:t>Details on data collection is made available elsewhere.</w:t>
      </w:r>
      <w:r w:rsidR="006E63BF" w:rsidRPr="00277350">
        <w:rPr>
          <w:rFonts w:ascii="Times New Roman" w:hAnsi="Times New Roman" w:cs="Times New Roman"/>
        </w:rPr>
        <w:fldChar w:fldCharType="begin"/>
      </w:r>
      <w:r w:rsidR="005C6FB8" w:rsidRPr="00277350">
        <w:rPr>
          <w:rFonts w:ascii="Times New Roman" w:hAnsi="Times New Roman" w:cs="Times New Roman"/>
        </w:rPr>
        <w:instrText xml:space="preserve"> ADDIN ZOTERO_ITEM CSL_CITATION {"citationID":"3PFzaQOB","properties":{"unsorted":false,"formattedCitation":"\\super 20,21\\nosupersub{}","plainCitation":"20,21","noteIndex":0},"citationItems":[{"id":68,"uris":["http://zotero.org/users/local/N9bAOqPz/items/IUFYFIDQ"],"itemData":{"id":68,"type":"report","title":"NHANES - About the National Health and Nutrition Examination Survey","URL":"https://www.cdc.gov/nchs/nhanes/about_nhanes.htm","issued":{"date-parts":[["2023",5]]}}},{"id":74,"uris":["http://zotero.org/users/local/N9bAOqPz/items/WCDKM47B"],"itemData":{"id":74,"type":"document","genre":"Data Evaluation and Methods Research","publisher":"National Center for Health Statistics","publisher-place":"Hyattsville, Maryland","title":"National Health and Nutrition Examination Survey, 2015−2018: Sample Design and Estimation Procedures","URL":"https://www.cdc.gov/nchs/data/series/sr_02/sr02-184-508.pdf","issued":{"date-parts":[["2020",4]]}}}],"schema":"https://github.com/citation-style-language/schema/raw/master/csl-citation.json"} </w:instrText>
      </w:r>
      <w:r w:rsidR="006E63BF" w:rsidRPr="00277350">
        <w:rPr>
          <w:rFonts w:ascii="Times New Roman" w:hAnsi="Times New Roman" w:cs="Times New Roman"/>
        </w:rPr>
        <w:fldChar w:fldCharType="separate"/>
      </w:r>
      <w:r w:rsidR="005C6FB8" w:rsidRPr="00277350">
        <w:rPr>
          <w:rFonts w:ascii="Times New Roman" w:hAnsi="Times New Roman" w:cs="Times New Roman"/>
          <w:kern w:val="0"/>
          <w:vertAlign w:val="superscript"/>
        </w:rPr>
        <w:t>20,21</w:t>
      </w:r>
      <w:r w:rsidR="006E63BF" w:rsidRPr="00277350">
        <w:rPr>
          <w:rFonts w:ascii="Times New Roman" w:hAnsi="Times New Roman" w:cs="Times New Roman"/>
        </w:rPr>
        <w:fldChar w:fldCharType="end"/>
      </w:r>
      <w:r w:rsidRPr="00277350">
        <w:rPr>
          <w:rFonts w:ascii="Times New Roman" w:hAnsi="Times New Roman" w:cs="Times New Roman"/>
        </w:rPr>
        <w:t xml:space="preserve"> </w:t>
      </w:r>
      <w:r w:rsidRPr="00277350">
        <w:rPr>
          <w:rFonts w:ascii="Times New Roman" w:hAnsi="Times New Roman" w:cs="Times New Roman"/>
          <w:color w:val="000000" w:themeColor="text1"/>
        </w:rPr>
        <w:t>We utilized data from the 2005-2016 NHANES cycle years, where phenols of interest were consistently measured.</w:t>
      </w:r>
      <w:r w:rsidR="001D5FBA" w:rsidRPr="00277350">
        <w:rPr>
          <w:rFonts w:ascii="Times New Roman" w:hAnsi="Times New Roman" w:cs="Times New Roman"/>
          <w:color w:val="000000" w:themeColor="text1"/>
        </w:rPr>
        <w:t xml:space="preserve"> From our initial </w:t>
      </w:r>
      <w:r w:rsidR="00852499" w:rsidRPr="00277350">
        <w:rPr>
          <w:rFonts w:ascii="Times New Roman" w:hAnsi="Times New Roman" w:cs="Times New Roman"/>
          <w:color w:val="000000" w:themeColor="text1"/>
        </w:rPr>
        <w:t>cohort</w:t>
      </w:r>
      <w:r w:rsidR="00EB5863" w:rsidRPr="00277350">
        <w:rPr>
          <w:rFonts w:ascii="Times New Roman" w:hAnsi="Times New Roman" w:cs="Times New Roman"/>
          <w:color w:val="000000" w:themeColor="text1"/>
        </w:rPr>
        <w:t xml:space="preserve"> (n=18=961)</w:t>
      </w:r>
      <w:r w:rsidR="00852499" w:rsidRPr="00277350">
        <w:rPr>
          <w:rFonts w:ascii="Times New Roman" w:hAnsi="Times New Roman" w:cs="Times New Roman"/>
          <w:color w:val="000000" w:themeColor="text1"/>
        </w:rPr>
        <w:t>,</w:t>
      </w:r>
      <w:r w:rsidR="001D5FBA" w:rsidRPr="00277350">
        <w:rPr>
          <w:rFonts w:ascii="Times New Roman" w:hAnsi="Times New Roman" w:cs="Times New Roman"/>
          <w:color w:val="000000" w:themeColor="text1"/>
        </w:rPr>
        <w:t xml:space="preserve"> i</w:t>
      </w:r>
      <w:r w:rsidRPr="00277350">
        <w:rPr>
          <w:rFonts w:ascii="Times New Roman" w:hAnsi="Times New Roman" w:cs="Times New Roman"/>
          <w:color w:val="000000" w:themeColor="text1"/>
        </w:rPr>
        <w:t>ndividuals were eligible for inclusion in our study if they were 18 years of age or older</w:t>
      </w:r>
      <w:r w:rsidR="001D5FBA" w:rsidRPr="00277350">
        <w:rPr>
          <w:rFonts w:ascii="Times New Roman" w:hAnsi="Times New Roman" w:cs="Times New Roman"/>
          <w:color w:val="000000" w:themeColor="text1"/>
        </w:rPr>
        <w:t xml:space="preserve"> (n=</w:t>
      </w:r>
      <w:r w:rsidR="008372A9" w:rsidRPr="00277350">
        <w:rPr>
          <w:rFonts w:ascii="Times New Roman" w:hAnsi="Times New Roman" w:cs="Times New Roman"/>
          <w:color w:val="000000" w:themeColor="text1"/>
        </w:rPr>
        <w:t>13,207</w:t>
      </w:r>
      <w:r w:rsidR="001D5FBA" w:rsidRPr="00277350">
        <w:rPr>
          <w:rFonts w:ascii="Times New Roman" w:hAnsi="Times New Roman" w:cs="Times New Roman"/>
          <w:color w:val="000000" w:themeColor="text1"/>
        </w:rPr>
        <w:t>)</w:t>
      </w:r>
      <w:r w:rsidRPr="00277350">
        <w:rPr>
          <w:rFonts w:ascii="Times New Roman" w:hAnsi="Times New Roman" w:cs="Times New Roman"/>
          <w:color w:val="000000" w:themeColor="text1"/>
        </w:rPr>
        <w:t>, had available urinary phenol metabolite, household food security, and sociodemographic information</w:t>
      </w:r>
      <w:r w:rsidR="001D5FBA" w:rsidRPr="00277350">
        <w:rPr>
          <w:rFonts w:ascii="Times New Roman" w:hAnsi="Times New Roman" w:cs="Times New Roman"/>
          <w:color w:val="000000" w:themeColor="text1"/>
        </w:rPr>
        <w:t xml:space="preserve"> (n=</w:t>
      </w:r>
      <w:r w:rsidR="00DC210B" w:rsidRPr="00277350">
        <w:rPr>
          <w:rFonts w:ascii="Times New Roman" w:hAnsi="Times New Roman" w:cs="Times New Roman"/>
          <w:color w:val="000000" w:themeColor="text1"/>
        </w:rPr>
        <w:t>10,423</w:t>
      </w:r>
      <w:r w:rsidR="001D5FBA" w:rsidRPr="00277350">
        <w:rPr>
          <w:rFonts w:ascii="Times New Roman" w:hAnsi="Times New Roman" w:cs="Times New Roman"/>
          <w:color w:val="000000" w:themeColor="text1"/>
        </w:rPr>
        <w:t>)</w:t>
      </w:r>
      <w:r w:rsidRPr="00277350">
        <w:rPr>
          <w:rFonts w:ascii="Times New Roman" w:hAnsi="Times New Roman" w:cs="Times New Roman"/>
          <w:color w:val="000000" w:themeColor="text1"/>
        </w:rPr>
        <w:t xml:space="preserve">. </w:t>
      </w:r>
      <w:r w:rsidR="001D5FBA" w:rsidRPr="00277350">
        <w:rPr>
          <w:rFonts w:ascii="Times New Roman" w:hAnsi="Times New Roman" w:cs="Times New Roman"/>
          <w:color w:val="000000" w:themeColor="text1"/>
        </w:rPr>
        <w:t>O</w:t>
      </w:r>
      <w:r w:rsidRPr="00277350">
        <w:rPr>
          <w:rFonts w:ascii="Times New Roman" w:hAnsi="Times New Roman" w:cs="Times New Roman"/>
          <w:color w:val="000000" w:themeColor="text1"/>
        </w:rPr>
        <w:t xml:space="preserve">ur final analytic study </w:t>
      </w:r>
      <w:r w:rsidR="001D5FBA" w:rsidRPr="00277350">
        <w:rPr>
          <w:rFonts w:ascii="Times New Roman" w:hAnsi="Times New Roman" w:cs="Times New Roman"/>
          <w:color w:val="000000" w:themeColor="text1"/>
        </w:rPr>
        <w:t xml:space="preserve">population </w:t>
      </w:r>
      <w:r w:rsidR="00CA02A8" w:rsidRPr="00277350">
        <w:rPr>
          <w:rFonts w:ascii="Times New Roman" w:hAnsi="Times New Roman" w:cs="Times New Roman"/>
          <w:color w:val="000000" w:themeColor="text1"/>
        </w:rPr>
        <w:t>consisted</w:t>
      </w:r>
      <w:r w:rsidR="001D5FBA" w:rsidRPr="00277350">
        <w:rPr>
          <w:rFonts w:ascii="Times New Roman" w:hAnsi="Times New Roman" w:cs="Times New Roman"/>
          <w:color w:val="000000" w:themeColor="text1"/>
        </w:rPr>
        <w:t xml:space="preserve"> </w:t>
      </w:r>
      <w:r w:rsidR="00D0301C" w:rsidRPr="00277350">
        <w:rPr>
          <w:rFonts w:ascii="Times New Roman" w:hAnsi="Times New Roman" w:cs="Times New Roman"/>
          <w:color w:val="000000" w:themeColor="text1"/>
        </w:rPr>
        <w:t>of</w:t>
      </w:r>
      <w:r w:rsidRPr="00277350">
        <w:rPr>
          <w:rFonts w:ascii="Times New Roman" w:hAnsi="Times New Roman" w:cs="Times New Roman"/>
          <w:color w:val="000000" w:themeColor="text1"/>
        </w:rPr>
        <w:t xml:space="preserve"> 10,094 adult participants</w:t>
      </w:r>
      <w:r w:rsidR="001D5FBA" w:rsidRPr="00277350">
        <w:rPr>
          <w:rFonts w:ascii="Times New Roman" w:hAnsi="Times New Roman" w:cs="Times New Roman"/>
          <w:color w:val="000000" w:themeColor="text1"/>
        </w:rPr>
        <w:t xml:space="preserve"> with complete exposure, outcome and covariate data.</w:t>
      </w:r>
      <w:r w:rsidRPr="00277350">
        <w:rPr>
          <w:rFonts w:ascii="Times New Roman" w:hAnsi="Times New Roman" w:cs="Times New Roman"/>
          <w:color w:val="000000" w:themeColor="text1"/>
        </w:rPr>
        <w:t xml:space="preserve"> (Supplemental Figure 1). </w:t>
      </w:r>
    </w:p>
    <w:p w14:paraId="2BE29B9F" w14:textId="77777777" w:rsidR="003B10A7" w:rsidRPr="00277350" w:rsidRDefault="003B10A7" w:rsidP="003B10A7">
      <w:pPr>
        <w:spacing w:line="240" w:lineRule="auto"/>
        <w:rPr>
          <w:rFonts w:ascii="Times New Roman" w:hAnsi="Times New Roman" w:cs="Times New Roman"/>
          <w:b/>
          <w:bCs/>
          <w:i/>
          <w:iCs/>
        </w:rPr>
      </w:pPr>
      <w:r w:rsidRPr="00277350">
        <w:rPr>
          <w:rFonts w:ascii="Times New Roman" w:hAnsi="Times New Roman" w:cs="Times New Roman"/>
          <w:b/>
          <w:bCs/>
          <w:i/>
          <w:iCs/>
        </w:rPr>
        <w:t>Household Food Security</w:t>
      </w:r>
    </w:p>
    <w:p w14:paraId="2F78FBB4" w14:textId="69EA61B7" w:rsidR="003B10A7" w:rsidRPr="00277350" w:rsidRDefault="003B10A7" w:rsidP="003B10A7">
      <w:pPr>
        <w:spacing w:line="240" w:lineRule="auto"/>
        <w:rPr>
          <w:rFonts w:ascii="Times New Roman" w:hAnsi="Times New Roman" w:cs="Times New Roman"/>
        </w:rPr>
      </w:pPr>
      <w:r w:rsidRPr="00277350">
        <w:rPr>
          <w:rFonts w:ascii="Times New Roman" w:hAnsi="Times New Roman" w:cs="Times New Roman"/>
        </w:rPr>
        <w:t>Household food security was measured using the U.S. Department of Agriculture’s (USDA) Food Security Survey Module (FSSM), a well-validated 18-item questionnaire</w:t>
      </w:r>
      <w:r w:rsidR="00C854B7" w:rsidRPr="00277350">
        <w:rPr>
          <w:rFonts w:ascii="Times New Roman" w:hAnsi="Times New Roman" w:cs="Times New Roman"/>
        </w:rPr>
        <w:t>.</w:t>
      </w:r>
      <w:r w:rsidR="00C854B7" w:rsidRPr="00277350">
        <w:rPr>
          <w:rFonts w:ascii="Times New Roman" w:hAnsi="Times New Roman" w:cs="Times New Roman"/>
        </w:rPr>
        <w:fldChar w:fldCharType="begin"/>
      </w:r>
      <w:r w:rsidR="005C6FB8" w:rsidRPr="00277350">
        <w:rPr>
          <w:rFonts w:ascii="Times New Roman" w:hAnsi="Times New Roman" w:cs="Times New Roman"/>
        </w:rPr>
        <w:instrText xml:space="preserve"> ADDIN ZOTERO_ITEM CSL_CITATION {"citationID":"qTM2BsuP","properties":{"unsorted":false,"formattedCitation":"\\super 22\\nosupersub{}","plainCitation":"22","noteIndex":0},"citationItems":[{"id":77,"uris":["http://zotero.org/users/local/N9bAOqPz/items/I3ADENZ4"],"itemData":{"id":77,"type":"report","publisher":"United States Department of Agriculture (USDA)","title":"Food Security in the U.S. - Survey Tools","URL":"https://www.ers.usda.gov/topics/food-nutrition-assistance/food-security-in-the-us/survey-tools","issued":{"date-parts":[["2026"]]}}}],"schema":"https://github.com/citation-style-language/schema/raw/master/csl-citation.json"} </w:instrText>
      </w:r>
      <w:r w:rsidR="00C854B7" w:rsidRPr="00277350">
        <w:rPr>
          <w:rFonts w:ascii="Times New Roman" w:hAnsi="Times New Roman" w:cs="Times New Roman"/>
        </w:rPr>
        <w:fldChar w:fldCharType="separate"/>
      </w:r>
      <w:r w:rsidR="005C6FB8" w:rsidRPr="00277350">
        <w:rPr>
          <w:rFonts w:ascii="Times New Roman" w:hAnsi="Times New Roman" w:cs="Times New Roman"/>
          <w:kern w:val="0"/>
          <w:vertAlign w:val="superscript"/>
        </w:rPr>
        <w:t>22</w:t>
      </w:r>
      <w:r w:rsidR="00C854B7" w:rsidRPr="00277350">
        <w:rPr>
          <w:rFonts w:ascii="Times New Roman" w:hAnsi="Times New Roman" w:cs="Times New Roman"/>
        </w:rPr>
        <w:fldChar w:fldCharType="end"/>
      </w:r>
      <w:r w:rsidRPr="00277350">
        <w:rPr>
          <w:rFonts w:ascii="Times New Roman" w:hAnsi="Times New Roman" w:cs="Times New Roman"/>
        </w:rPr>
        <w:t xml:space="preserve"> Questionnaires were administered in participant’s home by an NHANES personnel, using computer assisted personal interview technology.</w:t>
      </w:r>
      <w:r w:rsidR="00616893" w:rsidRPr="00277350">
        <w:rPr>
          <w:rFonts w:ascii="Times New Roman" w:hAnsi="Times New Roman" w:cs="Times New Roman"/>
        </w:rPr>
        <w:fldChar w:fldCharType="begin"/>
      </w:r>
      <w:r w:rsidR="005C6FB8" w:rsidRPr="00277350">
        <w:rPr>
          <w:rFonts w:ascii="Times New Roman" w:hAnsi="Times New Roman" w:cs="Times New Roman"/>
        </w:rPr>
        <w:instrText xml:space="preserve"> ADDIN ZOTERO_ITEM CSL_CITATION {"citationID":"EIjqiDCF","properties":{"unsorted":false,"formattedCitation":"\\super 20,23\\nosupersub{}","plainCitation":"20,23","noteIndex":0},"citationItems":[{"id":68,"uris":["http://zotero.org/users/local/N9bAOqPz/items/IUFYFIDQ"],"itemData":{"id":68,"type":"report","title":"NHANES - About the National Health and Nutrition Examination Survey","URL":"https://www.cdc.gov/nchs/nhanes/about_nhanes.htm","issued":{"date-parts":[["2023",5]]}}},{"id":78,"uris":["http://zotero.org/users/local/N9bAOqPz/items/UIUAKCG4"],"itemData":{"id":78,"type":"document","publisher":"Center of Disease Control and Prevention","title":"NHANES 2019-2020 Questionnaire Data Overview","URL":"https://wwwn.cdc.gov/nchs/nhanes/continuousnhanes/overviewquex.aspx?BeginYear=2019","issued":{"literal":"National Health and Nutrition Examination"}}}],"schema":"https://github.com/citation-style-language/schema/raw/master/csl-citation.json"} </w:instrText>
      </w:r>
      <w:r w:rsidR="00616893" w:rsidRPr="00277350">
        <w:rPr>
          <w:rFonts w:ascii="Times New Roman" w:hAnsi="Times New Roman" w:cs="Times New Roman"/>
        </w:rPr>
        <w:fldChar w:fldCharType="separate"/>
      </w:r>
      <w:r w:rsidR="005C6FB8" w:rsidRPr="00277350">
        <w:rPr>
          <w:rFonts w:ascii="Times New Roman" w:hAnsi="Times New Roman" w:cs="Times New Roman"/>
          <w:kern w:val="0"/>
          <w:vertAlign w:val="superscript"/>
        </w:rPr>
        <w:t>20,23</w:t>
      </w:r>
      <w:r w:rsidR="00616893" w:rsidRPr="00277350">
        <w:rPr>
          <w:rFonts w:ascii="Times New Roman" w:hAnsi="Times New Roman" w:cs="Times New Roman"/>
        </w:rPr>
        <w:fldChar w:fldCharType="end"/>
      </w:r>
      <w:r w:rsidRPr="00277350">
        <w:rPr>
          <w:rFonts w:ascii="Times New Roman" w:hAnsi="Times New Roman" w:cs="Times New Roman"/>
        </w:rPr>
        <w:t xml:space="preserve"> Based on the survey module’s responses, a categorical variable was created with four household food security categories: </w:t>
      </w:r>
      <w:r w:rsidRPr="00277350">
        <w:rPr>
          <w:rFonts w:ascii="Times New Roman" w:hAnsi="Times New Roman" w:cs="Times New Roman"/>
          <w:i/>
          <w:iCs/>
        </w:rPr>
        <w:t>high food security (reference),</w:t>
      </w:r>
      <w:r w:rsidRPr="00277350">
        <w:rPr>
          <w:rFonts w:ascii="Times New Roman" w:hAnsi="Times New Roman" w:cs="Times New Roman"/>
        </w:rPr>
        <w:t xml:space="preserve"> </w:t>
      </w:r>
      <w:r w:rsidRPr="00277350">
        <w:rPr>
          <w:rFonts w:ascii="Times New Roman" w:hAnsi="Times New Roman" w:cs="Times New Roman"/>
          <w:i/>
          <w:iCs/>
        </w:rPr>
        <w:t>marginal food security, low food security, and very low food security.</w:t>
      </w:r>
      <w:r w:rsidR="003B444A" w:rsidRPr="00277350">
        <w:rPr>
          <w:rFonts w:ascii="Times New Roman" w:hAnsi="Times New Roman" w:cs="Times New Roman"/>
        </w:rPr>
        <w:fldChar w:fldCharType="begin"/>
      </w:r>
      <w:r w:rsidR="005C6FB8" w:rsidRPr="00277350">
        <w:rPr>
          <w:rFonts w:ascii="Times New Roman" w:hAnsi="Times New Roman" w:cs="Times New Roman"/>
        </w:rPr>
        <w:instrText xml:space="preserve"> ADDIN ZOTERO_ITEM CSL_CITATION {"citationID":"LbtCaBjv","properties":{"unsorted":false,"formattedCitation":"\\super 22\\nosupersub{}","plainCitation":"22","noteIndex":0},"citationItems":[{"id":77,"uris":["http://zotero.org/users/local/N9bAOqPz/items/I3ADENZ4"],"itemData":{"id":77,"type":"report","publisher":"United States Department of Agriculture (USDA)","title":"Food Security in the U.S. - Survey Tools","URL":"https://www.ers.usda.gov/topics/food-nutrition-assistance/food-security-in-the-us/survey-tools","issued":{"date-parts":[["2026"]]}}}],"schema":"https://github.com/citation-style-language/schema/raw/master/csl-citation.json"} </w:instrText>
      </w:r>
      <w:r w:rsidR="003B444A" w:rsidRPr="00277350">
        <w:rPr>
          <w:rFonts w:ascii="Times New Roman" w:hAnsi="Times New Roman" w:cs="Times New Roman"/>
        </w:rPr>
        <w:fldChar w:fldCharType="separate"/>
      </w:r>
      <w:r w:rsidR="005C6FB8" w:rsidRPr="00277350">
        <w:rPr>
          <w:rFonts w:ascii="Times New Roman" w:hAnsi="Times New Roman" w:cs="Times New Roman"/>
          <w:kern w:val="0"/>
          <w:vertAlign w:val="superscript"/>
        </w:rPr>
        <w:t>22</w:t>
      </w:r>
      <w:r w:rsidR="003B444A" w:rsidRPr="00277350">
        <w:rPr>
          <w:rFonts w:ascii="Times New Roman" w:hAnsi="Times New Roman" w:cs="Times New Roman"/>
        </w:rPr>
        <w:fldChar w:fldCharType="end"/>
      </w:r>
      <w:r w:rsidR="003B444A" w:rsidRPr="00277350">
        <w:rPr>
          <w:rFonts w:ascii="Times New Roman" w:hAnsi="Times New Roman" w:cs="Times New Roman"/>
        </w:rPr>
        <w:t xml:space="preserve"> </w:t>
      </w:r>
      <w:r w:rsidRPr="00277350">
        <w:rPr>
          <w:rFonts w:ascii="Times New Roman" w:hAnsi="Times New Roman" w:cs="Times New Roman"/>
        </w:rPr>
        <w:t xml:space="preserve">For the remainder of this paper, we will simply refer to food security levels as high, marginal, low, and very low food security. </w:t>
      </w:r>
    </w:p>
    <w:p w14:paraId="4F5CF32B" w14:textId="77777777" w:rsidR="003B10A7" w:rsidRPr="00277350" w:rsidRDefault="003B10A7" w:rsidP="003B10A7">
      <w:pPr>
        <w:spacing w:line="240" w:lineRule="auto"/>
        <w:rPr>
          <w:rFonts w:ascii="Times New Roman" w:hAnsi="Times New Roman" w:cs="Times New Roman"/>
          <w:b/>
          <w:bCs/>
          <w:i/>
          <w:iCs/>
        </w:rPr>
      </w:pPr>
      <w:r w:rsidRPr="00277350">
        <w:rPr>
          <w:rFonts w:ascii="Times New Roman" w:hAnsi="Times New Roman" w:cs="Times New Roman"/>
          <w:b/>
          <w:bCs/>
          <w:i/>
          <w:iCs/>
        </w:rPr>
        <w:t>Urinary Phenol Metabolite Concentrations</w:t>
      </w:r>
    </w:p>
    <w:p w14:paraId="3BE99D1A" w14:textId="32090753" w:rsidR="003B10A7" w:rsidRPr="00277350" w:rsidRDefault="003B10A7" w:rsidP="003B10A7">
      <w:pPr>
        <w:pStyle w:val="NormalWeb"/>
        <w:spacing w:before="0" w:beforeAutospacing="0" w:after="0" w:afterAutospacing="0"/>
        <w:rPr>
          <w:color w:val="212121"/>
          <w:sz w:val="22"/>
          <w:szCs w:val="22"/>
        </w:rPr>
      </w:pPr>
      <w:r w:rsidRPr="00277350">
        <w:t xml:space="preserve">NHANES measured urinary phenol metabolite concentrations (ng/mL) by collecting spot urine samples, assayed by the CDC National Center for Environmental Health Laboratory, utilizing </w:t>
      </w:r>
      <w:r w:rsidR="00B87A5F" w:rsidRPr="00277350">
        <w:t>solid phase extraction in conjunction with high performance liquid chromatography electrospray ionization tandem mass spectrometry (HPLC-ESI-MS/MS)27.</w:t>
      </w:r>
      <w:r w:rsidR="00476F3A" w:rsidRPr="00277350">
        <w:fldChar w:fldCharType="begin"/>
      </w:r>
      <w:r w:rsidR="005C6FB8" w:rsidRPr="00277350">
        <w:instrText xml:space="preserve"> ADDIN ZOTERO_ITEM CSL_CITATION {"citationID":"Tii4TpGX","properties":{"unsorted":false,"formattedCitation":"\\super 24\\nosupersub{}","plainCitation":"24","noteIndex":0},"citationItems":[{"id":80,"uris":["http://zotero.org/users/local/N9bAOqPz/items/Y2K7A2JN"],"itemData":{"id":80,"type":"document","genre":"Laboratory Procedure Manual","publisher":"The Centers for Disease Control and Prevention (CDC)","title":"Metabolites of phthalates and phthalate alternatives","URL":"https://wwwn.cdc.gov/nchs/data/nhanes/public/2017/labmethods/PHTHTE-J-MET-508.pdf"}}],"schema":"https://github.com/citation-style-language/schema/raw/master/csl-citation.json"} </w:instrText>
      </w:r>
      <w:r w:rsidR="00476F3A" w:rsidRPr="00277350">
        <w:fldChar w:fldCharType="separate"/>
      </w:r>
      <w:r w:rsidR="005C6FB8" w:rsidRPr="00277350">
        <w:rPr>
          <w:vertAlign w:val="superscript"/>
        </w:rPr>
        <w:t>24</w:t>
      </w:r>
      <w:r w:rsidR="00476F3A" w:rsidRPr="00277350">
        <w:fldChar w:fldCharType="end"/>
      </w:r>
      <w:r w:rsidRPr="00277350">
        <w:t xml:space="preserve"> </w:t>
      </w:r>
      <w:r w:rsidR="00B87A5F" w:rsidRPr="00277350">
        <w:t xml:space="preserve"> </w:t>
      </w:r>
      <w:r w:rsidR="007049FD" w:rsidRPr="00277350">
        <w:t>Since</w:t>
      </w:r>
      <w:r w:rsidR="00D41F63" w:rsidRPr="00277350">
        <w:t xml:space="preserve"> phenols are rapidly </w:t>
      </w:r>
      <w:r w:rsidR="00F7121E" w:rsidRPr="00277350">
        <w:t>metabolized</w:t>
      </w:r>
      <w:r w:rsidR="00D41F63" w:rsidRPr="00277350">
        <w:t xml:space="preserve"> and excreted in urine, we utilized urinary phenol metabolites as biomarkers of exposure rather than parent compounds to minimize potential </w:t>
      </w:r>
      <w:r w:rsidR="008A3493" w:rsidRPr="00277350">
        <w:t>exposure misclassification.</w:t>
      </w:r>
      <w:r w:rsidR="0093307D" w:rsidRPr="00277350">
        <w:fldChar w:fldCharType="begin"/>
      </w:r>
      <w:r w:rsidR="005C6FB8" w:rsidRPr="00277350">
        <w:instrText xml:space="preserve"> ADDIN ZOTERO_ITEM CSL_CITATION {"citationID":"PumhkMa0","properties":{"unsorted":false,"formattedCitation":"\\super 16,25,26\\nosupersub{}","plainCitation":"16,25,26","noteIndex":0},"citationItems":[{"id":61,"uris":["http://zotero.org/users/local/N9bAOqPz/items/CXZAPW5Z"],"itemData":{"id":61,"type":"report","genre":"Toxic Substances Portal","publisher":"Agency for Toxic Substances and Disease Registry","title":"Phenols/phenoxy acids","URL":"https://wwwn.cdc.gov/tsp/substances/ToxChemicalListing.aspx?toxid=40","issued":{"date-parts":[["2008"]]}}},{"id":81,"uris":["http://zotero.org/users/local/N9bAOqPz/items/D5ZZR3IE"],"itemData":{"id":81,"type":"document","genre":"2007-2008 Data Documentation, Codebook, and Frequencies","publisher":"National Health and Nutrition Examination Survey","title":"Environmental Phenols (EPH_E)","URL":"https://wwwn.cdc.gov/Nchs/Data/Nhanes/Public/2007/DataFiles/EPH_E.htm","issued":{"date-parts":[["2011"]]}}},{"id":65,"uris":["http://zotero.org/users/local/N9bAOqPz/items/JLPMC5HF"],"itemData":{"id":65,"type":"article-journal","abstract":"BACKGROUND: Previous studies have shown that women have higher urinary concentrations of several phthalate metabolites than do men, possibly because of a higher use of personal care products. Few studies have evaluated the association between phthalate metabolites, diabetes, and diabetes-related risk factors among women.\nOBJECTIVE: We explored the association between urinary phthalate metabolite concentrations and diabetes among women who participated in a cross-sectional study.\nMETHODS: We used urinary concentrations of phthalate metabolites, analyzed by the Centers for Disease Control and Prevention, and self-reported diabetes of 2,350 women between 20 and 79 years of age who participated in the NHANES (2001-2008). We used multiple logistic regression to estimate odds ratios (ORs) and 95% confidence intervals (CIs) and adjusted for urinary creatinine, sociodemographic characteristics, dietary factors, and body size. A secondary analysis was conducted for women who did not have diabetes to evaluate the association between phthalate metabolite concentrations and fasting blood glucose (FBG), homeostasis model assessment-estimated insulin resistance, and glycosylated hemoglobin A1c.\nRESULTS: After adjusting for potential confounders, women with higher levels of mono-n-butyl phthalate (MnBP), mono-isobutyl phthalate (MiBP), monobenzyl phthalate (MBzP), mono-(3-carboxypropyl) phthalate (MCPP), and three di-(2-ethylhexyl) phthalate metabolites (ΣDEHP) had an increased odds of diabetes compared with women with the lowest levels of these phthalates. Women in the highest quartile for MBzP and MiBP had almost twice the odds of diabetes [OR = 1.96 (95% CI: 1.11, 3.47) and OR = 1.95 (95% CI: 0.99, 3.85), respectively] compared with women in the lowest quartile. Nonmonotonic, positive associations were found for MnBP and ΣDEHP, whereas MCPP appeared to have a threshold effect. Certain phthalate metabolites were positively associated with FBG and insulin resistance.\nDISCUSSION: Urinary levels of several phthalates were associated with prevalent diabetes. Future prospective studies are needed to further explore these associations to determine whether phthalate exposure can alter glucose metabolism and increase the risk of insulin resistance and diabetes.","container-title":"Environmental Health Perspectives","DOI":"10.1289/ehp.1104717","ISSN":"1552-9924","issue":"9","journalAbbreviation":"Environ Health Perspect","language":"eng","page":"1307-1313","PMID":"22796563","PMCID":"PMC3440117","source":"PubMed","title":"Urinary phthalate metabolite concentrations and diabetes among women in the National Health and Nutrition Examination Survey (NHANES) 2001-2008","volume":"120","author":[{"family":"James-Todd","given":"Tamarra"},{"family":"Stahlhut","given":"Richard"},{"family":"Meeker","given":"John D."},{"family":"Powell","given":"Sheena-Gail"},{"family":"Hauser","given":"Russ"},{"family":"Huang","given":"Tianyi"},{"family":"Rich-Edwards","given":"Janet"}],"issued":{"date-parts":[["2012",9]]}}}],"schema":"https://github.com/citation-style-language/schema/raw/master/csl-citation.json"} </w:instrText>
      </w:r>
      <w:r w:rsidR="0093307D" w:rsidRPr="00277350">
        <w:fldChar w:fldCharType="separate"/>
      </w:r>
      <w:r w:rsidR="005C6FB8" w:rsidRPr="00277350">
        <w:rPr>
          <w:vertAlign w:val="superscript"/>
        </w:rPr>
        <w:t>16,25,26</w:t>
      </w:r>
      <w:r w:rsidR="0093307D" w:rsidRPr="00277350">
        <w:fldChar w:fldCharType="end"/>
      </w:r>
      <w:r w:rsidR="008A3493" w:rsidRPr="00277350">
        <w:t xml:space="preserve"> </w:t>
      </w:r>
      <w:r w:rsidRPr="00277350">
        <w:t xml:space="preserve">We </w:t>
      </w:r>
      <w:r w:rsidR="00155940" w:rsidRPr="00277350">
        <w:t xml:space="preserve">initially </w:t>
      </w:r>
      <w:r w:rsidRPr="00277350">
        <w:t xml:space="preserve">identified </w:t>
      </w:r>
      <w:r w:rsidR="00F9615E" w:rsidRPr="00277350">
        <w:t>nine</w:t>
      </w:r>
      <w:r w:rsidRPr="00277350">
        <w:t xml:space="preserve"> urinary phenol metabolites for the study analysis and removed metabolites that were not consistently found across cycle years or had detection frequencies below 50%. </w:t>
      </w:r>
      <w:r w:rsidR="00D41F63" w:rsidRPr="00277350">
        <w:t>W</w:t>
      </w:r>
      <w:r w:rsidRPr="00277350">
        <w:t xml:space="preserve">e restricted </w:t>
      </w:r>
      <w:r w:rsidR="00D41F63" w:rsidRPr="00277350">
        <w:t xml:space="preserve">our analysis </w:t>
      </w:r>
      <w:r w:rsidR="00F7121E" w:rsidRPr="00277350">
        <w:t>to six</w:t>
      </w:r>
      <w:r w:rsidRPr="00277350">
        <w:t xml:space="preserve"> urinary phenol metabolites measured across 2005-2016 cycle years: </w:t>
      </w:r>
      <w:r w:rsidRPr="00277350">
        <w:rPr>
          <w:i/>
          <w:iCs/>
        </w:rPr>
        <w:t xml:space="preserve">urinary Bisphenol A (BPA), urinary 2-Hydroxy-4-methoxybenzophenone or benzophenone-3 (BP3), urinary 2,4,4’-Trichloro-2’-hydroxyphenyl ether or Triclosan (TRS), urinary Ethyl Paraben (EPB), urinary Methyl Paraben (MPB), and urinary Propyl Paraben (PPB). </w:t>
      </w:r>
      <w:r w:rsidR="00D41F63" w:rsidRPr="00277350">
        <w:rPr>
          <w:i/>
          <w:iCs/>
        </w:rPr>
        <w:t>We used limit of detection values across cycle years reported by NHANES</w:t>
      </w:r>
      <w:r w:rsidR="00FD222E" w:rsidRPr="00277350">
        <w:rPr>
          <w:i/>
          <w:iCs/>
        </w:rPr>
        <w:fldChar w:fldCharType="begin"/>
      </w:r>
      <w:r w:rsidR="00BC1D61" w:rsidRPr="00277350">
        <w:rPr>
          <w:i/>
          <w:iCs/>
        </w:rPr>
        <w:instrText xml:space="preserve"> ADDIN ZOTERO_ITEM CSL_CITATION {"citationID":"yRD7g3Jz","properties":{"unsorted":false,"formattedCitation":"\\super 25\\nosupersub{}","plainCitation":"25","noteIndex":0},"citationItems":[{"id":81,"uris":["http://zotero.org/users/local/N9bAOqPz/items/D5ZZR3IE"],"itemData":{"id":81,"type":"document","genre":"2007-2008 Data Documentation, Codebook, and Frequencies","publisher":"National Health and Nutrition Examination Survey","title":"Environmental Phenols (EPH_E)","URL":"https://wwwn.cdc.gov/Nchs/Data/Nhanes/Public/2007/DataFiles/EPH_E.htm","issued":{"date-parts":[["2011"]]}}}],"schema":"https://github.com/citation-style-language/schema/raw/master/csl-citation.json"} </w:instrText>
      </w:r>
      <w:r w:rsidR="00FD222E" w:rsidRPr="00277350">
        <w:rPr>
          <w:i/>
          <w:iCs/>
        </w:rPr>
        <w:fldChar w:fldCharType="separate"/>
      </w:r>
      <w:r w:rsidR="00BC1D61" w:rsidRPr="00277350">
        <w:rPr>
          <w:vertAlign w:val="superscript"/>
        </w:rPr>
        <w:t>25</w:t>
      </w:r>
      <w:r w:rsidR="00FD222E" w:rsidRPr="00277350">
        <w:rPr>
          <w:i/>
          <w:iCs/>
        </w:rPr>
        <w:fldChar w:fldCharType="end"/>
      </w:r>
      <w:r w:rsidR="00D41F63" w:rsidRPr="00277350">
        <w:rPr>
          <w:i/>
          <w:iCs/>
        </w:rPr>
        <w:t xml:space="preserve">, for each urinary phenol. </w:t>
      </w:r>
      <w:r w:rsidRPr="00277350">
        <w:t>Values below the</w:t>
      </w:r>
      <w:r w:rsidR="00D41F63" w:rsidRPr="00277350">
        <w:t xml:space="preserve"> lower</w:t>
      </w:r>
      <w:r w:rsidRPr="00277350">
        <w:t xml:space="preserve"> </w:t>
      </w:r>
      <w:r w:rsidR="00D41F63" w:rsidRPr="00277350">
        <w:t>limit of detection (LLOD)</w:t>
      </w:r>
      <w:r w:rsidRPr="00277350">
        <w:t xml:space="preserve">were substituted with </w:t>
      </w:r>
      <w:r w:rsidRPr="00277350">
        <w:rPr>
          <w:color w:val="212121"/>
          <w:sz w:val="22"/>
          <w:szCs w:val="22"/>
          <w:shd w:val="clear" w:color="auto" w:fill="FFFFFF"/>
        </w:rPr>
        <w:t>LLOD</w:t>
      </w:r>
      <m:oMath>
        <m:r>
          <w:rPr>
            <w:rFonts w:ascii="Cambria Math" w:hAnsi="Cambria Math"/>
            <w:color w:val="212121"/>
            <w:sz w:val="22"/>
            <w:szCs w:val="22"/>
            <w:shd w:val="clear" w:color="auto" w:fill="FFFFFF"/>
          </w:rPr>
          <m:t>√</m:t>
        </m:r>
      </m:oMath>
      <w:r w:rsidRPr="00277350">
        <w:rPr>
          <w:color w:val="212121"/>
          <w:sz w:val="22"/>
          <w:szCs w:val="22"/>
          <w:shd w:val="clear" w:color="auto" w:fill="FFFFFF"/>
        </w:rPr>
        <w:t xml:space="preserve">2 </w:t>
      </w:r>
      <w:r w:rsidRPr="00277350">
        <w:rPr>
          <w:color w:val="212121"/>
          <w:sz w:val="22"/>
          <w:szCs w:val="22"/>
          <w:shd w:val="clear" w:color="auto" w:fill="FFFFFF"/>
        </w:rPr>
        <w:lastRenderedPageBreak/>
        <w:t>by NHANES.</w:t>
      </w:r>
      <w:r w:rsidR="00D40919" w:rsidRPr="00277350">
        <w:rPr>
          <w:color w:val="212121"/>
          <w:sz w:val="22"/>
          <w:szCs w:val="22"/>
          <w:shd w:val="clear" w:color="auto" w:fill="FFFFFF"/>
        </w:rPr>
        <w:fldChar w:fldCharType="begin"/>
      </w:r>
      <w:r w:rsidR="00A56288" w:rsidRPr="00277350">
        <w:rPr>
          <w:color w:val="212121"/>
          <w:sz w:val="22"/>
          <w:szCs w:val="22"/>
          <w:shd w:val="clear" w:color="auto" w:fill="FFFFFF"/>
        </w:rPr>
        <w:instrText xml:space="preserve"> ADDIN ZOTERO_ITEM CSL_CITATION {"citationID":"W7vWNpjQ","properties":{"unsorted":false,"formattedCitation":"\\super 27\\nosupersub{}","plainCitation":"27","noteIndex":0},"citationItems":[{"id":104,"uris":["http://zotero.org/users/local/N9bAOqPz/items/ABP24BW2"],"itemData":{"id":104,"type":"document","genre":"2015-2016 Data Documentation, Codebook, and Frequencies","publisher":"National Health and Nutrition Examination Survey","title":"Personal Care and Consumer Product Chemicals and Metabolites (EPHPP_I)","URL":"https://wwwn.cdc.gov/Nchs/Data/Nhanes/Public/2015/DataFiles/EPHPP_I.htm","issued":{"date-parts":[["2019",1]]}}}],"schema":"https://github.com/citation-style-language/schema/raw/master/csl-citation.json"} </w:instrText>
      </w:r>
      <w:r w:rsidR="00D40919" w:rsidRPr="00277350">
        <w:rPr>
          <w:color w:val="212121"/>
          <w:sz w:val="22"/>
          <w:szCs w:val="22"/>
          <w:shd w:val="clear" w:color="auto" w:fill="FFFFFF"/>
        </w:rPr>
        <w:fldChar w:fldCharType="separate"/>
      </w:r>
      <w:r w:rsidR="00A56288" w:rsidRPr="00277350">
        <w:rPr>
          <w:color w:val="000000"/>
          <w:sz w:val="22"/>
          <w:vertAlign w:val="superscript"/>
        </w:rPr>
        <w:t>27</w:t>
      </w:r>
      <w:r w:rsidR="00D40919" w:rsidRPr="00277350">
        <w:rPr>
          <w:color w:val="212121"/>
          <w:sz w:val="22"/>
          <w:szCs w:val="22"/>
          <w:shd w:val="clear" w:color="auto" w:fill="FFFFFF"/>
        </w:rPr>
        <w:fldChar w:fldCharType="end"/>
      </w:r>
      <w:r w:rsidR="00A56288" w:rsidRPr="00277350">
        <w:rPr>
          <w:color w:val="212121"/>
          <w:sz w:val="22"/>
          <w:szCs w:val="22"/>
          <w:shd w:val="clear" w:color="auto" w:fill="FFFFFF"/>
        </w:rPr>
        <w:t xml:space="preserve"> </w:t>
      </w:r>
      <w:r w:rsidR="00D41F63" w:rsidRPr="00277350">
        <w:rPr>
          <w:color w:val="212121"/>
          <w:sz w:val="22"/>
          <w:szCs w:val="22"/>
          <w:shd w:val="clear" w:color="auto" w:fill="FFFFFF"/>
        </w:rPr>
        <w:t>Urinary phenol concentrations were corrected for specific gravity to account for urine dilution.</w:t>
      </w:r>
      <w:r w:rsidR="00A56288" w:rsidRPr="00277350">
        <w:rPr>
          <w:color w:val="212121"/>
          <w:sz w:val="22"/>
          <w:szCs w:val="22"/>
          <w:shd w:val="clear" w:color="auto" w:fill="FFFFFF"/>
        </w:rPr>
        <w:fldChar w:fldCharType="begin"/>
      </w:r>
      <w:r w:rsidR="00A56288" w:rsidRPr="00277350">
        <w:rPr>
          <w:color w:val="212121"/>
          <w:sz w:val="22"/>
          <w:szCs w:val="22"/>
          <w:shd w:val="clear" w:color="auto" w:fill="FFFFFF"/>
        </w:rPr>
        <w:instrText xml:space="preserve"> ADDIN ZOTERO_ITEM CSL_CITATION {"citationID":"2PGjxwgH","properties":{"unsorted":false,"formattedCitation":"\\super 27\\nosupersub{}","plainCitation":"27","noteIndex":0},"citationItems":[{"id":104,"uris":["http://zotero.org/users/local/N9bAOqPz/items/ABP24BW2"],"itemData":{"id":104,"type":"document","genre":"2015-2016 Data Documentation, Codebook, and Frequencies","publisher":"National Health and Nutrition Examination Survey","title":"Personal Care and Consumer Product Chemicals and Metabolites (EPHPP_I)","URL":"https://wwwn.cdc.gov/Nchs/Data/Nhanes/Public/2015/DataFiles/EPHPP_I.htm","issued":{"date-parts":[["2019",1]]}}}],"schema":"https://github.com/citation-style-language/schema/raw/master/csl-citation.json"} </w:instrText>
      </w:r>
      <w:r w:rsidR="00A56288" w:rsidRPr="00277350">
        <w:rPr>
          <w:color w:val="212121"/>
          <w:sz w:val="22"/>
          <w:szCs w:val="22"/>
          <w:shd w:val="clear" w:color="auto" w:fill="FFFFFF"/>
        </w:rPr>
        <w:fldChar w:fldCharType="separate"/>
      </w:r>
      <w:r w:rsidR="00A56288" w:rsidRPr="00277350">
        <w:rPr>
          <w:color w:val="000000"/>
          <w:sz w:val="22"/>
          <w:vertAlign w:val="superscript"/>
        </w:rPr>
        <w:t>27</w:t>
      </w:r>
      <w:r w:rsidR="00A56288" w:rsidRPr="00277350">
        <w:rPr>
          <w:color w:val="212121"/>
          <w:sz w:val="22"/>
          <w:szCs w:val="22"/>
          <w:shd w:val="clear" w:color="auto" w:fill="FFFFFF"/>
        </w:rPr>
        <w:fldChar w:fldCharType="end"/>
      </w:r>
    </w:p>
    <w:p w14:paraId="4EF42016" w14:textId="77777777" w:rsidR="000B7464" w:rsidRPr="00277350" w:rsidRDefault="000B7464" w:rsidP="003B10A7">
      <w:pPr>
        <w:pStyle w:val="NormalWeb"/>
        <w:spacing w:before="0" w:beforeAutospacing="0" w:after="0" w:afterAutospacing="0"/>
        <w:textAlignment w:val="baseline"/>
        <w:rPr>
          <w:b/>
          <w:bCs/>
          <w:i/>
          <w:iCs/>
          <w:color w:val="212121"/>
          <w:shd w:val="clear" w:color="auto" w:fill="FFFFFF"/>
        </w:rPr>
      </w:pPr>
    </w:p>
    <w:p w14:paraId="28761F72" w14:textId="458700D6" w:rsidR="00D41F63" w:rsidRPr="00277350" w:rsidRDefault="003B10A7" w:rsidP="003B10A7">
      <w:pPr>
        <w:pStyle w:val="NormalWeb"/>
        <w:spacing w:before="0" w:beforeAutospacing="0" w:after="0" w:afterAutospacing="0"/>
        <w:textAlignment w:val="baseline"/>
        <w:rPr>
          <w:b/>
          <w:bCs/>
          <w:i/>
          <w:iCs/>
          <w:color w:val="212121"/>
          <w:shd w:val="clear" w:color="auto" w:fill="FFFFFF"/>
        </w:rPr>
      </w:pPr>
      <w:r w:rsidRPr="00277350">
        <w:rPr>
          <w:b/>
          <w:bCs/>
          <w:i/>
          <w:iCs/>
          <w:color w:val="212121"/>
          <w:shd w:val="clear" w:color="auto" w:fill="FFFFFF"/>
        </w:rPr>
        <w:t xml:space="preserve">Covariates </w:t>
      </w:r>
    </w:p>
    <w:p w14:paraId="0FBFC4B3" w14:textId="77777777" w:rsidR="003B10A7" w:rsidRPr="00277350" w:rsidRDefault="003B10A7" w:rsidP="00A35A31">
      <w:pPr>
        <w:pStyle w:val="NormalWeb"/>
        <w:spacing w:before="0" w:beforeAutospacing="0" w:after="0" w:afterAutospacing="0"/>
        <w:textAlignment w:val="baseline"/>
        <w:rPr>
          <w:b/>
          <w:bCs/>
          <w:i/>
          <w:iCs/>
          <w:color w:val="212121"/>
        </w:rPr>
      </w:pPr>
    </w:p>
    <w:p w14:paraId="4AE9D16E" w14:textId="5A775101" w:rsidR="003B10A7" w:rsidRPr="00277350" w:rsidRDefault="003B10A7" w:rsidP="003B10A7">
      <w:pPr>
        <w:pStyle w:val="NormalWeb"/>
        <w:spacing w:before="0" w:beforeAutospacing="0" w:after="0" w:afterAutospacing="0"/>
        <w:textAlignment w:val="baseline"/>
      </w:pPr>
      <w:r w:rsidRPr="00277350">
        <w:t>Covariates were identified a priori using existing literature</w:t>
      </w:r>
      <w:r w:rsidR="00F15130" w:rsidRPr="00277350">
        <w:fldChar w:fldCharType="begin"/>
      </w:r>
      <w:r w:rsidR="00A56288" w:rsidRPr="00277350">
        <w:instrText xml:space="preserve"> ADDIN ZOTERO_ITEM CSL_CITATION {"citationID":"SC1xJY5w","properties":{"unsorted":false,"formattedCitation":"\\super 12,26,28\\nosupersub{}","plainCitation":"12,26,28","noteIndex":0},"citationItems":[{"id":42,"uris":["http://zotero.org/users/local/N9bAOqPz/items/67LM76YC"],"itemData":{"id":42,"type":"article-journal","abstract":"BACKGROUND: Ultra-processed food has low nutritional quality, is associated with development of chronic diseases, and may increase exposure to chemicals used in food packaging and production.\nOBJECTIVES: To assess associations of ultra-processed food consumption with exposure to phthalates and bisphenols, including newer replacements, in the general U.S.\nMETHODS: Among 2212 National Health and Nutrition Examination Survey (NHANES) 2013-2014 participants (≥6 years), we classified items reported in a 24-h dietary recall according to the NOVA food processing classification system and calculated energy intake from ultra-processed food. Urinary concentrations of mono-benzyl (MBzP), mono-(3-carboxypropyl) (MCPP), mono-(carboxyisononyl) (MCNP), mono-(carboxyisoctyl) (MCOP), and four metabolites of di(2-ethylhexyl) (∑DEHP) phthalates and bisphenols A, F, and S were measured in spot urine samples. We estimated percent changes in natural log creatinine-standardized concentrations per 10% higher energy from ultra-processed food in covariate-adjusted multivariable linear regression models. We examined effect measure modification by age group, race/ethnicity, and poverty:income ratio and assessed associations with minimally processed food intake.\nRESULTS: In adjusted models, higher energy from ultra-processed food was associated with higher urinary concentrations of MCPP, MCNP, and MCOP but not MBzP, ∑DEHP, or bisphenols. Each 10% higher energy from ultra-processed food was associated with 8.0% (95% CI: 5.6%, 10.3%) higher urinary MCOP concentrations, with a stronger association among children than adolescents or adults. Ultra-processed sandwiches/hamburgers, French fries/other potato products, and ice cream/pops were associated with higher concentrations of multiple chemicals. Higher energy from minimally processed food was associated with lower concentrations of MCPP, MCNP, MCOP, and bisphenols A and F.\nDISCUSSION: Ultra-processed food consumption may increase exposure to currently used phthalates. Additional research is needed to determine whether minimally processed food diets or changes in food production practices can reduce phthalate and bisphenol exposures and related health effects, particularly among children who are more vulnerable to toxicants and tend to consume more ultra-processed food than adults.","container-title":"Environment International","DOI":"10.1016/j.envint.2019.105057","ISSN":"1873-6750","journalAbbreviation":"Environ Int","language":"eng","page":"105057","PMID":"31398592","PMCID":"PMC6728187","source":"PubMed","title":"Ultra-processed food consumption and exposure to phthalates and bisphenols in the US National Health and Nutrition Examination Survey, 2013-2014","volume":"131","author":[{"family":"Buckley","given":"Jessie P."},{"family":"Kim","given":"Hyunju"},{"family":"Wong","given":"Eugenia"},{"family":"Rebholz","given":"Casey M."}],"issued":{"date-parts":[["2019",10]]}}},{"id":65,"uris":["http://zotero.org/users/local/N9bAOqPz/items/JLPMC5HF"],"itemData":{"id":65,"type":"article-journal","abstract":"BACKGROUND: Previous studies have shown that women have higher urinary concentrations of several phthalate metabolites than do men, possibly because of a higher use of personal care products. Few studies have evaluated the association between phthalate metabolites, diabetes, and diabetes-related risk factors among women.\nOBJECTIVE: We explored the association between urinary phthalate metabolite concentrations and diabetes among women who participated in a cross-sectional study.\nMETHODS: We used urinary concentrations of phthalate metabolites, analyzed by the Centers for Disease Control and Prevention, and self-reported diabetes of 2,350 women between 20 and 79 years of age who participated in the NHANES (2001-2008). We used multiple logistic regression to estimate odds ratios (ORs) and 95% confidence intervals (CIs) and adjusted for urinary creatinine, sociodemographic characteristics, dietary factors, and body size. A secondary analysis was conducted for women who did not have diabetes to evaluate the association between phthalate metabolite concentrations and fasting blood glucose (FBG), homeostasis model assessment-estimated insulin resistance, and glycosylated hemoglobin A1c.\nRESULTS: After adjusting for potential confounders, women with higher levels of mono-n-butyl phthalate (MnBP), mono-isobutyl phthalate (MiBP), monobenzyl phthalate (MBzP), mono-(3-carboxypropyl) phthalate (MCPP), and three di-(2-ethylhexyl) phthalate metabolites (ΣDEHP) had an increased odds of diabetes compared with women with the lowest levels of these phthalates. Women in the highest quartile for MBzP and MiBP had almost twice the odds of diabetes [OR = 1.96 (95% CI: 1.11, 3.47) and OR = 1.95 (95% CI: 0.99, 3.85), respectively] compared with women in the lowest quartile. Nonmonotonic, positive associations were found for MnBP and ΣDEHP, whereas MCPP appeared to have a threshold effect. Certain phthalate metabolites were positively associated with FBG and insulin resistance.\nDISCUSSION: Urinary levels of several phthalates were associated with prevalent diabetes. Future prospective studies are needed to further explore these associations to determine whether phthalate exposure can alter glucose metabolism and increase the risk of insulin resistance and diabetes.","container-title":"Environmental Health Perspectives","DOI":"10.1289/ehp.1104717","ISSN":"1552-9924","issue":"9","journalAbbreviation":"Environ Health Perspect","language":"eng","page":"1307-1313","PMID":"22796563","PMCID":"PMC3440117","source":"PubMed","title":"Urinary phthalate metabolite concentrations and diabetes among women in the National Health and Nutrition Examination Survey (NHANES) 2001-2008","volume":"120","author":[{"family":"James-Todd","given":"Tamarra"},{"family":"Stahlhut","given":"Richard"},{"family":"Meeker","given":"John D."},{"family":"Powell","given":"Sheena-Gail"},{"family":"Hauser","given":"Russ"},{"family":"Huang","given":"Tianyi"},{"family":"Rich-Edwards","given":"Janet"}],"issued":{"date-parts":[["2012",9]]}}},{"id":82,"uris":["http://zotero.org/users/local/N9bAOqPz/items/VPPNTEDI"],"itemData":{"id":82,"type":"article-journal","abstract":"BACKGROUND: Exposure to Bisphenol A (BPA) is ubiquitous and includes dietary and environmental pathways. BPA is rapidly glucuronidated in the body, and both BPA and its conjugates can be readily measured in urine.\nOBJECTIVES: To investigate the contribution of canned food and beverages, known sources of BPA contamination, to BPA biomarkers of exposure using dietary and urinary BPA concentration information in a representative sample of the U.S.\nMETHODS: We evaluated 7669 NHANES 2003-2008 participants 6 years and older with 24-h dietary recall information and urinary BPA concentrations available. Using linear regression models, we evaluated the associations between recent canned food and beverage consumption and urinary BPA concentrations, adjusting for potential confounders.\nRESULTS: We found 9% of our participants consumed one canned food in the past 24h and 2% consumed two or more canned foods. The consumption of one canned food vs. none was associated with 24% (95% CI 1.11, 1.38) higher urinary BPA concentrations. The consumption of two or more canned foods vs. none was associated with 54% (95% CI 1.27, 1.88) higher urinary BPA concentrations. The consumption of one or more of some specific types of canned foods vs. none were associated with higher urinary BPA concentrations: 41% (95% CI 1.23, 1.63) higher BPA for vegetable and fruit, 70% (95% CI 1.18, 2.44) higher for canned pasta, and 229% (95% CI 1.22, 4.30) higher for canned soup. Canned beverages were not associated with urinary BPA concentrations.\nCONCLUSIONS: Canned food, including some specific types such as canned vegetable and fruit, canned pasta, and canned soup were associated with higher levels of urinary BPA concentrations.","container-title":"Environmental Research","DOI":"10.1016/j.envres.2016.06.008","ISSN":"1096-0953","journalAbbreviation":"Environ Res","language":"eng","page":"375-382","PMID":"27362993","PMCID":"PMC5003675","source":"PubMed","title":"The consumption of canned food and beverages and urinary Bisphenol A concentrations in NHANES 2003-2008","volume":"150","author":[{"family":"Hartle","given":"Jennifer C."},{"family":"Navas-Acien","given":"Ana"},{"family":"Lawrence","given":"Robert S."}],"issued":{"date-parts":[["2016",10]]}}}],"schema":"https://github.com/citation-style-language/schema/raw/master/csl-citation.json"} </w:instrText>
      </w:r>
      <w:r w:rsidR="00F15130" w:rsidRPr="00277350">
        <w:fldChar w:fldCharType="separate"/>
      </w:r>
      <w:r w:rsidR="00A56288" w:rsidRPr="00277350">
        <w:rPr>
          <w:vertAlign w:val="superscript"/>
        </w:rPr>
        <w:t>12,26,28</w:t>
      </w:r>
      <w:r w:rsidR="00F15130" w:rsidRPr="00277350">
        <w:fldChar w:fldCharType="end"/>
      </w:r>
      <w:r w:rsidRPr="00277350">
        <w:t xml:space="preserve"> and directed acyclic graphs (DAGs) to identify potential confounders of the association between urinary phenol metabolite concentrations and household food security. Covariate data were obtained from computer-assisted demographic questionnaires administered by NHANES personnel.</w:t>
      </w:r>
      <w:r w:rsidR="008731CE" w:rsidRPr="00277350">
        <w:fldChar w:fldCharType="begin"/>
      </w:r>
      <w:r w:rsidR="005C6FB8" w:rsidRPr="00277350">
        <w:instrText xml:space="preserve"> ADDIN ZOTERO_ITEM CSL_CITATION {"citationID":"LS0sWBvG","properties":{"unsorted":false,"formattedCitation":"\\super 20\\nosupersub{}","plainCitation":"20","noteIndex":0},"citationItems":[{"id":68,"uris":["http://zotero.org/users/local/N9bAOqPz/items/IUFYFIDQ"],"itemData":{"id":68,"type":"report","title":"NHANES - About the National Health and Nutrition Examination Survey","URL":"https://www.cdc.gov/nchs/nhanes/about_nhanes.htm","issued":{"date-parts":[["2023",5]]}}}],"schema":"https://github.com/citation-style-language/schema/raw/master/csl-citation.json"} </w:instrText>
      </w:r>
      <w:r w:rsidR="008731CE" w:rsidRPr="00277350">
        <w:fldChar w:fldCharType="separate"/>
      </w:r>
      <w:r w:rsidR="005C6FB8" w:rsidRPr="00277350">
        <w:rPr>
          <w:vertAlign w:val="superscript"/>
        </w:rPr>
        <w:t>20</w:t>
      </w:r>
      <w:r w:rsidR="008731CE" w:rsidRPr="00277350">
        <w:fldChar w:fldCharType="end"/>
      </w:r>
      <w:r w:rsidRPr="00277350">
        <w:t xml:space="preserve"> We included </w:t>
      </w:r>
      <w:r w:rsidR="00D41F63" w:rsidRPr="00277350">
        <w:t xml:space="preserve">self-reported </w:t>
      </w:r>
      <w:r w:rsidRPr="00277350">
        <w:t xml:space="preserve">age, sex, race/ethnicity, highest educational attainment, and poverty income ratio (PIR) as covariates of </w:t>
      </w:r>
      <w:r w:rsidR="00CF00EB" w:rsidRPr="00277350">
        <w:t>interest</w:t>
      </w:r>
      <w:r w:rsidRPr="00277350">
        <w:t xml:space="preserve">. </w:t>
      </w:r>
      <w:r w:rsidR="00D41F63" w:rsidRPr="00277350">
        <w:t xml:space="preserve">Self-reported age was </w:t>
      </w:r>
      <w:r w:rsidR="001D5FBA" w:rsidRPr="00277350">
        <w:t xml:space="preserve">measured </w:t>
      </w:r>
      <w:r w:rsidR="00B80C18" w:rsidRPr="00277350">
        <w:t>continuously and</w:t>
      </w:r>
      <w:r w:rsidR="001D5FBA" w:rsidRPr="00277350">
        <w:t xml:space="preserve"> later categorized in quartiles according to the sample distribution. Highest educational attainment was initially categorized as </w:t>
      </w:r>
      <w:r w:rsidR="00303A7A" w:rsidRPr="00277350">
        <w:t>(</w:t>
      </w:r>
      <w:r w:rsidR="0033188F" w:rsidRPr="00277350">
        <w:t>less than 9</w:t>
      </w:r>
      <w:r w:rsidR="0033188F" w:rsidRPr="00277350">
        <w:rPr>
          <w:vertAlign w:val="superscript"/>
        </w:rPr>
        <w:t>th</w:t>
      </w:r>
      <w:r w:rsidR="0033188F" w:rsidRPr="00277350">
        <w:t xml:space="preserve"> grade, 9</w:t>
      </w:r>
      <w:r w:rsidR="0033188F" w:rsidRPr="00277350">
        <w:rPr>
          <w:vertAlign w:val="superscript"/>
        </w:rPr>
        <w:t>th</w:t>
      </w:r>
      <w:r w:rsidR="0033188F" w:rsidRPr="00277350">
        <w:t>-11</w:t>
      </w:r>
      <w:r w:rsidR="0033188F" w:rsidRPr="00277350">
        <w:rPr>
          <w:vertAlign w:val="superscript"/>
        </w:rPr>
        <w:t>th</w:t>
      </w:r>
      <w:r w:rsidR="0033188F" w:rsidRPr="00277350">
        <w:t xml:space="preserve"> grade, </w:t>
      </w:r>
      <w:r w:rsidR="005453EB" w:rsidRPr="00277350">
        <w:t>high school</w:t>
      </w:r>
      <w:r w:rsidR="0033188F" w:rsidRPr="00277350">
        <w:t xml:space="preserve"> </w:t>
      </w:r>
      <w:r w:rsidR="005453EB" w:rsidRPr="00277350">
        <w:t xml:space="preserve">grad/GED or equivalent, some college or AA degree, college graduate or </w:t>
      </w:r>
      <w:r w:rsidR="00CB1C47" w:rsidRPr="00277350">
        <w:t>above</w:t>
      </w:r>
      <w:r w:rsidR="00303A7A" w:rsidRPr="00277350">
        <w:t>)</w:t>
      </w:r>
      <w:r w:rsidR="001D5FBA" w:rsidRPr="00277350">
        <w:t xml:space="preserve"> and was later recategorized as </w:t>
      </w:r>
      <w:r w:rsidR="00303A7A" w:rsidRPr="00277350">
        <w:t>(</w:t>
      </w:r>
      <w:r w:rsidR="00B75550" w:rsidRPr="00277350">
        <w:rPr>
          <w:color w:val="000000" w:themeColor="text1"/>
        </w:rPr>
        <w:t>&lt; 9</w:t>
      </w:r>
      <w:r w:rsidR="00B75550" w:rsidRPr="00277350">
        <w:rPr>
          <w:color w:val="000000" w:themeColor="text1"/>
          <w:vertAlign w:val="superscript"/>
        </w:rPr>
        <w:t>th</w:t>
      </w:r>
      <w:r w:rsidR="00B75550" w:rsidRPr="00277350">
        <w:rPr>
          <w:color w:val="000000" w:themeColor="text1"/>
        </w:rPr>
        <w:t xml:space="preserve"> grade, high school graduate or equivalent, some college, ≥ college</w:t>
      </w:r>
      <w:r w:rsidR="00303A7A" w:rsidRPr="00277350">
        <w:t>)</w:t>
      </w:r>
      <w:r w:rsidR="001D5FBA" w:rsidRPr="00277350">
        <w:t xml:space="preserve"> due to small stratum sizes. Sex (male/female)</w:t>
      </w:r>
      <w:r w:rsidR="001D5FBA" w:rsidRPr="00277350">
        <w:rPr>
          <w:b/>
          <w:bCs/>
        </w:rPr>
        <w:t xml:space="preserve"> </w:t>
      </w:r>
      <w:r w:rsidR="001D5FBA" w:rsidRPr="00277350">
        <w:t>and race/ethnicity (</w:t>
      </w:r>
      <w:r w:rsidR="00A96837" w:rsidRPr="00277350">
        <w:t>n</w:t>
      </w:r>
      <w:r w:rsidR="00303A7A" w:rsidRPr="00277350">
        <w:t>on-</w:t>
      </w:r>
      <w:r w:rsidR="00A96837" w:rsidRPr="00277350">
        <w:t>Hispanic</w:t>
      </w:r>
      <w:r w:rsidR="00303A7A" w:rsidRPr="00277350">
        <w:t xml:space="preserve"> </w:t>
      </w:r>
      <w:r w:rsidR="00A96837" w:rsidRPr="00277350">
        <w:t>w</w:t>
      </w:r>
      <w:r w:rsidR="00303A7A" w:rsidRPr="00277350">
        <w:t>hi</w:t>
      </w:r>
      <w:r w:rsidR="00A96837" w:rsidRPr="00277350">
        <w:t xml:space="preserve">te, non-Hispanic Black, Mexican American, other Hispanic, other race – including </w:t>
      </w:r>
      <w:proofErr w:type="gramStart"/>
      <w:r w:rsidR="00A96837" w:rsidRPr="00277350">
        <w:t>Multi-Racial</w:t>
      </w:r>
      <w:proofErr w:type="gramEnd"/>
      <w:r w:rsidR="001D5FBA" w:rsidRPr="00277350">
        <w:t xml:space="preserve">) were measured as categorical variables, and analytic categories were consistent with NHANES categorizations. Similarly, </w:t>
      </w:r>
      <w:r w:rsidRPr="00277350">
        <w:t>PIR is calculated by NHANES using U.S. Department of Health and Human Services poverty guidelines</w:t>
      </w:r>
      <w:r w:rsidR="00CF00EB" w:rsidRPr="00277350">
        <w:fldChar w:fldCharType="begin"/>
      </w:r>
      <w:r w:rsidR="005C6FB8" w:rsidRPr="00277350">
        <w:instrText xml:space="preserve"> ADDIN ZOTERO_ITEM CSL_CITATION {"citationID":"ibaN8K0R","properties":{"unsorted":false,"formattedCitation":"\\super 20\\nosupersub{}","plainCitation":"20","noteIndex":0},"citationItems":[{"id":68,"uris":["http://zotero.org/users/local/N9bAOqPz/items/IUFYFIDQ"],"itemData":{"id":68,"type":"report","title":"NHANES - About the National Health and Nutrition Examination Survey","URL":"https://www.cdc.gov/nchs/nhanes/about_nhanes.htm","issued":{"date-parts":[["2023",5]]}}}],"schema":"https://github.com/citation-style-language/schema/raw/master/csl-citation.json"} </w:instrText>
      </w:r>
      <w:r w:rsidR="00CF00EB" w:rsidRPr="00277350">
        <w:fldChar w:fldCharType="separate"/>
      </w:r>
      <w:r w:rsidR="005C6FB8" w:rsidRPr="00277350">
        <w:rPr>
          <w:vertAlign w:val="superscript"/>
        </w:rPr>
        <w:t>20</w:t>
      </w:r>
      <w:r w:rsidR="00CF00EB" w:rsidRPr="00277350">
        <w:fldChar w:fldCharType="end"/>
      </w:r>
      <w:r w:rsidRPr="00277350">
        <w:t>. We additionally created survey cycle year as a categorical variable to account for temporal differences across cycles.</w:t>
      </w:r>
      <w:r w:rsidR="004A0E96" w:rsidRPr="00277350">
        <w:fldChar w:fldCharType="begin"/>
      </w:r>
      <w:r w:rsidR="00A56288" w:rsidRPr="00277350">
        <w:instrText xml:space="preserve"> ADDIN ZOTERO_ITEM CSL_CITATION {"citationID":"Vf8vlAuB","properties":{"unsorted":false,"formattedCitation":"\\super 29\\nosupersub{}","plainCitation":"29","noteIndex":0},"citationItems":[{"id":79,"uris":["http://zotero.org/users/local/N9bAOqPz/items/RBY9WJAN"],"itemData":{"id":79,"type":"document","publisher":"Center of Disease Control and Prevention","title":"NHANES Demographics Variable List","URL":"https://wwwn.cdc.gov/nchs/nhanes/search/variablelist.aspx?Component=Demographics&amp;Cycle="}}],"schema":"https://github.com/citation-style-language/schema/raw/master/csl-citation.json"} </w:instrText>
      </w:r>
      <w:r w:rsidR="004A0E96" w:rsidRPr="00277350">
        <w:fldChar w:fldCharType="separate"/>
      </w:r>
      <w:r w:rsidR="00A56288" w:rsidRPr="00277350">
        <w:rPr>
          <w:vertAlign w:val="superscript"/>
        </w:rPr>
        <w:t>29</w:t>
      </w:r>
      <w:r w:rsidR="004A0E96" w:rsidRPr="00277350">
        <w:fldChar w:fldCharType="end"/>
      </w:r>
      <w:r w:rsidRPr="00277350">
        <w:t xml:space="preserve"> Urinary creatinine concentration (ng/mL) was included to adjust for urinary dilution, consistent with prior NHANES-based analyses.</w:t>
      </w:r>
      <w:r w:rsidR="000B7464" w:rsidRPr="00277350">
        <w:fldChar w:fldCharType="begin"/>
      </w:r>
      <w:r w:rsidR="005C6FB8" w:rsidRPr="00277350">
        <w:instrText xml:space="preserve"> ADDIN ZOTERO_ITEM CSL_CITATION {"citationID":"WRtonIT9","properties":{"unsorted":false,"formattedCitation":"\\super 25\\nosupersub{}","plainCitation":"25","noteIndex":0},"citationItems":[{"id":81,"uris":["http://zotero.org/users/local/N9bAOqPz/items/D5ZZR3IE"],"itemData":{"id":81,"type":"document","genre":"2007-2008 Data Documentation, Codebook, and Frequencies","publisher":"National Health and Nutrition Examination Survey","title":"Environmental Phenols (EPH_E)","URL":"https://wwwn.cdc.gov/Nchs/Data/Nhanes/Public/2007/DataFiles/EPH_E.htm","issued":{"date-parts":[["2011"]]}}}],"schema":"https://github.com/citation-style-language/schema/raw/master/csl-citation.json"} </w:instrText>
      </w:r>
      <w:r w:rsidR="000B7464" w:rsidRPr="00277350">
        <w:fldChar w:fldCharType="separate"/>
      </w:r>
      <w:r w:rsidR="005C6FB8" w:rsidRPr="00277350">
        <w:rPr>
          <w:vertAlign w:val="superscript"/>
        </w:rPr>
        <w:t>25</w:t>
      </w:r>
      <w:r w:rsidR="000B7464" w:rsidRPr="00277350">
        <w:fldChar w:fldCharType="end"/>
      </w:r>
    </w:p>
    <w:p w14:paraId="071450F7" w14:textId="77777777" w:rsidR="003B10A7" w:rsidRPr="00277350" w:rsidRDefault="003B10A7" w:rsidP="003B10A7">
      <w:pPr>
        <w:pStyle w:val="NormalWeb"/>
        <w:spacing w:before="0" w:beforeAutospacing="0" w:after="0" w:afterAutospacing="0"/>
        <w:textAlignment w:val="baseline"/>
      </w:pPr>
    </w:p>
    <w:p w14:paraId="3172CBB4" w14:textId="77777777" w:rsidR="003B10A7" w:rsidRPr="00277350" w:rsidRDefault="003B10A7" w:rsidP="003B10A7">
      <w:pPr>
        <w:pStyle w:val="NormalWeb"/>
        <w:spacing w:before="0" w:beforeAutospacing="0" w:after="0" w:afterAutospacing="0" w:line="276" w:lineRule="auto"/>
        <w:textAlignment w:val="baseline"/>
        <w:rPr>
          <w:b/>
          <w:bCs/>
          <w:i/>
          <w:iCs/>
        </w:rPr>
      </w:pPr>
      <w:r w:rsidRPr="00277350">
        <w:rPr>
          <w:b/>
          <w:bCs/>
          <w:i/>
          <w:iCs/>
        </w:rPr>
        <w:t>Statistical Analysis</w:t>
      </w:r>
    </w:p>
    <w:p w14:paraId="205E08E8" w14:textId="77777777" w:rsidR="00277350" w:rsidRPr="00277350" w:rsidRDefault="00277350" w:rsidP="003B10A7">
      <w:pPr>
        <w:pStyle w:val="NormalWeb"/>
        <w:spacing w:before="0" w:beforeAutospacing="0" w:after="0" w:afterAutospacing="0" w:line="276" w:lineRule="auto"/>
        <w:textAlignment w:val="baseline"/>
        <w:rPr>
          <w:b/>
          <w:bCs/>
          <w:i/>
          <w:iCs/>
        </w:rPr>
      </w:pPr>
    </w:p>
    <w:p w14:paraId="1BFD862B" w14:textId="6737E3DD" w:rsidR="003B10A7" w:rsidRPr="00277350" w:rsidRDefault="003B10A7" w:rsidP="003B10A7">
      <w:pPr>
        <w:spacing w:after="0" w:line="276" w:lineRule="auto"/>
        <w:ind w:firstLine="360"/>
        <w:rPr>
          <w:rFonts w:ascii="Times New Roman" w:hAnsi="Times New Roman" w:cs="Times New Roman"/>
          <w:color w:val="000000" w:themeColor="text1"/>
        </w:rPr>
      </w:pPr>
      <w:r w:rsidRPr="00277350">
        <w:rPr>
          <w:rFonts w:ascii="Times New Roman" w:hAnsi="Times New Roman" w:cs="Times New Roman"/>
          <w:color w:val="000000" w:themeColor="text1"/>
        </w:rPr>
        <w:t xml:space="preserve">Descriptive statistics including frequencies (percentages) and means were calculated to analyze the analytic study populations’ sociodemographic factors and other covariate groups by </w:t>
      </w:r>
      <w:r w:rsidR="001D5FBA" w:rsidRPr="00277350">
        <w:rPr>
          <w:rFonts w:ascii="Times New Roman" w:hAnsi="Times New Roman" w:cs="Times New Roman"/>
          <w:color w:val="000000" w:themeColor="text1"/>
        </w:rPr>
        <w:t xml:space="preserve">household </w:t>
      </w:r>
      <w:r w:rsidRPr="00277350">
        <w:rPr>
          <w:rFonts w:ascii="Times New Roman" w:hAnsi="Times New Roman" w:cs="Times New Roman"/>
          <w:color w:val="000000" w:themeColor="text1"/>
        </w:rPr>
        <w:t xml:space="preserve">food security status. Urinary phenol metabolite concentrations were log normally distributed and </w:t>
      </w:r>
      <w:r w:rsidR="001D5FBA" w:rsidRPr="00277350">
        <w:rPr>
          <w:rFonts w:ascii="Times New Roman" w:hAnsi="Times New Roman" w:cs="Times New Roman"/>
          <w:color w:val="000000" w:themeColor="text1"/>
        </w:rPr>
        <w:t xml:space="preserve">later </w:t>
      </w:r>
      <w:r w:rsidRPr="00277350">
        <w:rPr>
          <w:rFonts w:ascii="Times New Roman" w:hAnsi="Times New Roman" w:cs="Times New Roman"/>
          <w:color w:val="000000" w:themeColor="text1"/>
        </w:rPr>
        <w:t>natural log transformed.   Detection percentages, geometric means (GM) and the 25</w:t>
      </w:r>
      <w:r w:rsidRPr="00277350">
        <w:rPr>
          <w:rFonts w:ascii="Times New Roman" w:hAnsi="Times New Roman" w:cs="Times New Roman"/>
          <w:color w:val="000000" w:themeColor="text1"/>
          <w:vertAlign w:val="superscript"/>
        </w:rPr>
        <w:t xml:space="preserve">th </w:t>
      </w:r>
      <w:r w:rsidRPr="00277350">
        <w:rPr>
          <w:rFonts w:ascii="Times New Roman" w:hAnsi="Times New Roman" w:cs="Times New Roman"/>
          <w:color w:val="000000" w:themeColor="text1"/>
        </w:rPr>
        <w:t>and 75</w:t>
      </w:r>
      <w:r w:rsidRPr="00277350">
        <w:rPr>
          <w:rFonts w:ascii="Times New Roman" w:hAnsi="Times New Roman" w:cs="Times New Roman"/>
          <w:color w:val="000000" w:themeColor="text1"/>
          <w:vertAlign w:val="superscript"/>
        </w:rPr>
        <w:t>th</w:t>
      </w:r>
      <w:r w:rsidRPr="00277350">
        <w:rPr>
          <w:rFonts w:ascii="Times New Roman" w:hAnsi="Times New Roman" w:cs="Times New Roman"/>
          <w:color w:val="000000" w:themeColor="text1"/>
        </w:rPr>
        <w:t xml:space="preserve"> percentile were reported. Spearman correlation coefficients were used to assess correlations between individual metabolites. For our main analysis we used multivariable linear regression models to evaluate the association between log transformed urinary phenol concentrations and food security levels. We first ran urinary creatinine-adjusted models only followed by models adjusted for our confounders of interest. Covariates in fully adjusted models were defined according to their NHANES categorization: sex (female (ref), male), education level (&lt; 9</w:t>
      </w:r>
      <w:r w:rsidRPr="00277350">
        <w:rPr>
          <w:rFonts w:ascii="Times New Roman" w:hAnsi="Times New Roman" w:cs="Times New Roman"/>
          <w:color w:val="000000" w:themeColor="text1"/>
          <w:vertAlign w:val="superscript"/>
        </w:rPr>
        <w:t>th</w:t>
      </w:r>
      <w:r w:rsidRPr="00277350">
        <w:rPr>
          <w:rFonts w:ascii="Times New Roman" w:hAnsi="Times New Roman" w:cs="Times New Roman"/>
          <w:color w:val="000000" w:themeColor="text1"/>
        </w:rPr>
        <w:t xml:space="preserve"> grade, high school graduate or equivalent, some college, ≥ college), age (continuous),  race/ethnicity (non-Hispanic White (ref), non-Hispanic Black, Mexican American, other Hispanic, Other including Multi-Racial), poverty income ratio (</w:t>
      </w:r>
      <w:r w:rsidR="00A648CB" w:rsidRPr="00277350">
        <w:rPr>
          <w:rFonts w:ascii="Times New Roman" w:hAnsi="Times New Roman" w:cs="Times New Roman"/>
          <w:color w:val="000000" w:themeColor="text1"/>
        </w:rPr>
        <w:t>0-0.99, 1-1.99, 2-2.99</w:t>
      </w:r>
      <w:r w:rsidR="00484F2E" w:rsidRPr="00277350">
        <w:rPr>
          <w:rFonts w:ascii="Times New Roman" w:hAnsi="Times New Roman" w:cs="Times New Roman"/>
          <w:color w:val="000000" w:themeColor="text1"/>
        </w:rPr>
        <w:t>, 3-4.99, and 5.0 or greater)</w:t>
      </w:r>
      <w:r w:rsidRPr="00277350">
        <w:rPr>
          <w:rFonts w:ascii="Times New Roman" w:hAnsi="Times New Roman" w:cs="Times New Roman"/>
          <w:color w:val="000000" w:themeColor="text1"/>
        </w:rPr>
        <w:t xml:space="preserve">. We also included a generated cycle year variable (2005-2006, 2007-2008, 2009-2010, 2011-2012, 2013-2014, and 2015-2016) as well as measured urinary creatinine. Exponentiated estimated coefficients were presented as the percent (%) difference, computed as 100*(exp(β)-1). Higher concentrations in the comparison group (marginal, low, and very low food security) to the reference group (high food security) indicated a </w:t>
      </w:r>
      <w:proofErr w:type="gramStart"/>
      <w:r w:rsidRPr="00277350">
        <w:rPr>
          <w:rFonts w:ascii="Times New Roman" w:hAnsi="Times New Roman" w:cs="Times New Roman"/>
          <w:color w:val="000000" w:themeColor="text1"/>
        </w:rPr>
        <w:t>positive percent differences</w:t>
      </w:r>
      <w:proofErr w:type="gramEnd"/>
      <w:r w:rsidRPr="00277350">
        <w:rPr>
          <w:rFonts w:ascii="Times New Roman" w:hAnsi="Times New Roman" w:cs="Times New Roman"/>
          <w:color w:val="000000" w:themeColor="text1"/>
        </w:rPr>
        <w:t xml:space="preserve">; negative percent differences indicated lower concentrations. </w:t>
      </w:r>
      <w:r w:rsidRPr="00277350">
        <w:rPr>
          <w:rFonts w:ascii="Times New Roman" w:hAnsi="Times New Roman" w:cs="Times New Roman"/>
          <w:color w:val="000000" w:themeColor="text1"/>
          <w:kern w:val="0"/>
        </w:rPr>
        <w:t xml:space="preserve"> </w:t>
      </w:r>
    </w:p>
    <w:p w14:paraId="796B7C09" w14:textId="77777777" w:rsidR="006F2BD4" w:rsidRPr="00277350" w:rsidRDefault="003B10A7" w:rsidP="006F2BD4">
      <w:pPr>
        <w:spacing w:after="0" w:line="276" w:lineRule="auto"/>
        <w:ind w:firstLine="360"/>
        <w:rPr>
          <w:rFonts w:ascii="Times New Roman" w:hAnsi="Times New Roman" w:cs="Times New Roman"/>
        </w:rPr>
      </w:pPr>
      <w:r w:rsidRPr="00277350">
        <w:rPr>
          <w:rFonts w:ascii="Times New Roman" w:hAnsi="Times New Roman" w:cs="Times New Roman"/>
        </w:rPr>
        <w:lastRenderedPageBreak/>
        <w:t xml:space="preserve">To assess potential effect measure modification by sex, race, and ethnicity, </w:t>
      </w:r>
      <w:r w:rsidR="009F4A91" w:rsidRPr="00277350">
        <w:rPr>
          <w:rFonts w:ascii="Times New Roman" w:hAnsi="Times New Roman" w:cs="Times New Roman"/>
        </w:rPr>
        <w:t xml:space="preserve">household </w:t>
      </w:r>
      <w:r w:rsidRPr="00277350">
        <w:rPr>
          <w:rFonts w:ascii="Times New Roman" w:hAnsi="Times New Roman" w:cs="Times New Roman"/>
        </w:rPr>
        <w:t xml:space="preserve">food security was modeled categorically as a nominal variable with a product term for household food security status*sex and </w:t>
      </w:r>
      <w:r w:rsidR="009F4A91" w:rsidRPr="00277350">
        <w:rPr>
          <w:rFonts w:ascii="Times New Roman" w:hAnsi="Times New Roman" w:cs="Times New Roman"/>
        </w:rPr>
        <w:t xml:space="preserve">household </w:t>
      </w:r>
      <w:r w:rsidRPr="00277350">
        <w:rPr>
          <w:rFonts w:ascii="Times New Roman" w:hAnsi="Times New Roman" w:cs="Times New Roman"/>
        </w:rPr>
        <w:t xml:space="preserve">food security*race and ethnicity respectively. Estimated adjusted marginal means were extracted and reported as percent differences by sex or race and ethnicity.  Next, to test for overall interaction, and obtain a </w:t>
      </w:r>
      <w:proofErr w:type="spellStart"/>
      <w:r w:rsidRPr="00277350">
        <w:rPr>
          <w:rFonts w:ascii="Times New Roman" w:hAnsi="Times New Roman" w:cs="Times New Roman"/>
        </w:rPr>
        <w:t>p</w:t>
      </w:r>
      <w:r w:rsidRPr="00277350">
        <w:rPr>
          <w:rFonts w:ascii="Times New Roman" w:hAnsi="Times New Roman" w:cs="Times New Roman"/>
          <w:vertAlign w:val="subscript"/>
        </w:rPr>
        <w:t>interaction</w:t>
      </w:r>
      <w:proofErr w:type="spellEnd"/>
      <w:r w:rsidRPr="00277350">
        <w:rPr>
          <w:rFonts w:ascii="Times New Roman" w:hAnsi="Times New Roman" w:cs="Times New Roman"/>
          <w:vertAlign w:val="subscript"/>
        </w:rPr>
        <w:t xml:space="preserve"> </w:t>
      </w:r>
      <w:r w:rsidRPr="00277350">
        <w:rPr>
          <w:rFonts w:ascii="Times New Roman" w:hAnsi="Times New Roman" w:cs="Times New Roman"/>
        </w:rPr>
        <w:t xml:space="preserve">for each analyte, we modeled the four-level </w:t>
      </w:r>
      <w:r w:rsidR="004D01B5" w:rsidRPr="00277350">
        <w:rPr>
          <w:rFonts w:ascii="Times New Roman" w:hAnsi="Times New Roman" w:cs="Times New Roman"/>
        </w:rPr>
        <w:t xml:space="preserve">household </w:t>
      </w:r>
      <w:r w:rsidRPr="00277350">
        <w:rPr>
          <w:rFonts w:ascii="Times New Roman" w:hAnsi="Times New Roman" w:cs="Times New Roman"/>
        </w:rPr>
        <w:t xml:space="preserve">food security variable as an ordinal variable, with a single cross-product term, assuming equal spacing between categories and linear trends across categories.  We then examined whether these linear trends across ordinal categories of </w:t>
      </w:r>
      <w:r w:rsidR="004D01B5" w:rsidRPr="00277350">
        <w:rPr>
          <w:rFonts w:ascii="Times New Roman" w:hAnsi="Times New Roman" w:cs="Times New Roman"/>
        </w:rPr>
        <w:t xml:space="preserve">household </w:t>
      </w:r>
      <w:r w:rsidRPr="00277350">
        <w:rPr>
          <w:rFonts w:ascii="Times New Roman" w:hAnsi="Times New Roman" w:cs="Times New Roman"/>
        </w:rPr>
        <w:t xml:space="preserve">food security, differed by sex or race and ethnicity for each analyte.  We used a conservative p-value of </w:t>
      </w:r>
      <m:oMath>
        <m:r>
          <w:rPr>
            <w:rFonts w:ascii="Cambria Math" w:hAnsi="Cambria Math" w:cs="Times New Roman"/>
          </w:rPr>
          <m:t>&lt;</m:t>
        </m:r>
      </m:oMath>
      <w:r w:rsidRPr="00277350">
        <w:rPr>
          <w:rFonts w:ascii="Times New Roman" w:hAnsi="Times New Roman" w:cs="Times New Roman"/>
        </w:rPr>
        <w:t>0.10 for statistical significance. All statistical analyses were performed in R studio 4.5.1</w:t>
      </w:r>
      <w:r w:rsidR="001D5FBA" w:rsidRPr="00277350">
        <w:rPr>
          <w:rFonts w:ascii="Times New Roman" w:hAnsi="Times New Roman" w:cs="Times New Roman"/>
        </w:rPr>
        <w:t xml:space="preserve">. </w:t>
      </w:r>
    </w:p>
    <w:p w14:paraId="42E3BC55" w14:textId="77777777" w:rsidR="006F2BD4" w:rsidRPr="00277350" w:rsidRDefault="006F2BD4" w:rsidP="006F2BD4">
      <w:pPr>
        <w:spacing w:after="0" w:line="276" w:lineRule="auto"/>
        <w:ind w:firstLine="360"/>
        <w:rPr>
          <w:rFonts w:ascii="Times New Roman" w:hAnsi="Times New Roman" w:cs="Times New Roman"/>
          <w:b/>
          <w:bCs/>
          <w:color w:val="000000" w:themeColor="text1"/>
        </w:rPr>
      </w:pPr>
      <w:r w:rsidRPr="00277350">
        <w:rPr>
          <w:rFonts w:ascii="Times New Roman" w:hAnsi="Times New Roman" w:cs="Times New Roman"/>
          <w:b/>
          <w:bCs/>
          <w:color w:val="000000" w:themeColor="text1"/>
        </w:rPr>
        <w:t xml:space="preserve"> </w:t>
      </w:r>
    </w:p>
    <w:p w14:paraId="71F86E92" w14:textId="1820F1AA" w:rsidR="000B7464" w:rsidRPr="00277350" w:rsidRDefault="006F2BD4" w:rsidP="006F2BD4">
      <w:pPr>
        <w:spacing w:after="0" w:line="276" w:lineRule="auto"/>
        <w:rPr>
          <w:rFonts w:ascii="Times New Roman" w:hAnsi="Times New Roman" w:cs="Times New Roman"/>
        </w:rPr>
      </w:pPr>
      <w:r w:rsidRPr="00277350">
        <w:rPr>
          <w:rFonts w:ascii="Times New Roman" w:hAnsi="Times New Roman" w:cs="Times New Roman"/>
          <w:b/>
          <w:bCs/>
          <w:color w:val="000000" w:themeColor="text1"/>
        </w:rPr>
        <w:t>Table 1: Unweighted Demographic Characteristics of the Analytic Study Population</w:t>
      </w:r>
    </w:p>
    <w:tbl>
      <w:tblPr>
        <w:tblStyle w:val="TableGrid"/>
        <w:tblpPr w:leftFromText="180" w:rightFromText="180" w:vertAnchor="text" w:horzAnchor="margin" w:tblpXSpec="center" w:tblpY="412"/>
        <w:tblOverlap w:val="never"/>
        <w:tblW w:w="10905" w:type="dxa"/>
        <w:tblBorders>
          <w:insideH w:val="none" w:sz="0" w:space="0" w:color="auto"/>
          <w:insideV w:val="none" w:sz="0" w:space="0" w:color="auto"/>
        </w:tblBorders>
        <w:tblLook w:val="04A0" w:firstRow="1" w:lastRow="0" w:firstColumn="1" w:lastColumn="0" w:noHBand="0" w:noVBand="1"/>
      </w:tblPr>
      <w:tblGrid>
        <w:gridCol w:w="2894"/>
        <w:gridCol w:w="1627"/>
        <w:gridCol w:w="1565"/>
        <w:gridCol w:w="1566"/>
        <w:gridCol w:w="1569"/>
        <w:gridCol w:w="1684"/>
      </w:tblGrid>
      <w:tr w:rsidR="0086036C" w:rsidRPr="00277350" w14:paraId="68F2CE95" w14:textId="77777777" w:rsidTr="002903D1">
        <w:trPr>
          <w:trHeight w:val="285"/>
        </w:trPr>
        <w:tc>
          <w:tcPr>
            <w:tcW w:w="2894" w:type="dxa"/>
            <w:shd w:val="clear" w:color="auto" w:fill="000000" w:themeFill="text1"/>
            <w:noWrap/>
          </w:tcPr>
          <w:p w14:paraId="77238A84" w14:textId="77777777" w:rsidR="0086036C" w:rsidRPr="00277350" w:rsidRDefault="0086036C" w:rsidP="002903D1">
            <w:pPr>
              <w:jc w:val="center"/>
              <w:rPr>
                <w:rFonts w:ascii="Times New Roman" w:hAnsi="Times New Roman" w:cs="Times New Roman"/>
                <w:b/>
                <w:bCs/>
                <w:sz w:val="28"/>
                <w:szCs w:val="28"/>
              </w:rPr>
            </w:pPr>
          </w:p>
        </w:tc>
        <w:tc>
          <w:tcPr>
            <w:tcW w:w="1627" w:type="dxa"/>
            <w:shd w:val="clear" w:color="auto" w:fill="000000" w:themeFill="text1"/>
            <w:noWrap/>
            <w:vAlign w:val="center"/>
          </w:tcPr>
          <w:p w14:paraId="2985E85C" w14:textId="77777777" w:rsidR="0086036C" w:rsidRPr="00277350" w:rsidRDefault="0086036C" w:rsidP="002903D1">
            <w:pPr>
              <w:jc w:val="center"/>
              <w:rPr>
                <w:rFonts w:ascii="Times New Roman" w:hAnsi="Times New Roman" w:cs="Times New Roman"/>
                <w:sz w:val="22"/>
                <w:szCs w:val="22"/>
              </w:rPr>
            </w:pPr>
            <w:r w:rsidRPr="00277350">
              <w:rPr>
                <w:rFonts w:ascii="Times New Roman" w:hAnsi="Times New Roman" w:cs="Times New Roman"/>
                <w:sz w:val="22"/>
                <w:szCs w:val="22"/>
              </w:rPr>
              <w:t>Full (Ref)</w:t>
            </w:r>
          </w:p>
          <w:p w14:paraId="112FD563" w14:textId="77777777" w:rsidR="0086036C" w:rsidRPr="00277350" w:rsidRDefault="0086036C" w:rsidP="002903D1">
            <w:pPr>
              <w:jc w:val="center"/>
              <w:rPr>
                <w:rFonts w:ascii="Times New Roman" w:hAnsi="Times New Roman" w:cs="Times New Roman"/>
                <w:sz w:val="22"/>
                <w:szCs w:val="22"/>
              </w:rPr>
            </w:pPr>
            <w:r w:rsidRPr="00277350">
              <w:rPr>
                <w:rFonts w:ascii="Times New Roman" w:hAnsi="Times New Roman" w:cs="Times New Roman"/>
                <w:sz w:val="22"/>
                <w:szCs w:val="22"/>
              </w:rPr>
              <w:t>N=7,019</w:t>
            </w:r>
          </w:p>
        </w:tc>
        <w:tc>
          <w:tcPr>
            <w:tcW w:w="1565" w:type="dxa"/>
            <w:shd w:val="clear" w:color="auto" w:fill="000000" w:themeFill="text1"/>
            <w:noWrap/>
            <w:vAlign w:val="center"/>
          </w:tcPr>
          <w:p w14:paraId="7319E0C6" w14:textId="77777777" w:rsidR="0086036C" w:rsidRPr="00277350" w:rsidRDefault="0086036C" w:rsidP="002903D1">
            <w:pPr>
              <w:jc w:val="center"/>
              <w:rPr>
                <w:rFonts w:ascii="Times New Roman" w:hAnsi="Times New Roman" w:cs="Times New Roman"/>
                <w:sz w:val="22"/>
                <w:szCs w:val="22"/>
              </w:rPr>
            </w:pPr>
          </w:p>
          <w:p w14:paraId="42D0F368" w14:textId="77777777" w:rsidR="0086036C" w:rsidRPr="00277350" w:rsidRDefault="0086036C" w:rsidP="002903D1">
            <w:pPr>
              <w:jc w:val="center"/>
              <w:rPr>
                <w:rFonts w:ascii="Times New Roman" w:hAnsi="Times New Roman" w:cs="Times New Roman"/>
                <w:sz w:val="22"/>
                <w:szCs w:val="22"/>
              </w:rPr>
            </w:pPr>
            <w:r w:rsidRPr="00277350">
              <w:rPr>
                <w:rFonts w:ascii="Times New Roman" w:hAnsi="Times New Roman" w:cs="Times New Roman"/>
                <w:sz w:val="22"/>
                <w:szCs w:val="22"/>
              </w:rPr>
              <w:t>Marginal</w:t>
            </w:r>
          </w:p>
          <w:p w14:paraId="6516B0C6" w14:textId="77777777" w:rsidR="0086036C" w:rsidRPr="00277350" w:rsidRDefault="0086036C" w:rsidP="002903D1">
            <w:pPr>
              <w:jc w:val="center"/>
              <w:rPr>
                <w:rFonts w:ascii="Times New Roman" w:hAnsi="Times New Roman" w:cs="Times New Roman"/>
                <w:sz w:val="22"/>
                <w:szCs w:val="22"/>
              </w:rPr>
            </w:pPr>
            <w:r w:rsidRPr="00277350">
              <w:rPr>
                <w:rFonts w:ascii="Times New Roman" w:hAnsi="Times New Roman" w:cs="Times New Roman"/>
                <w:sz w:val="22"/>
                <w:szCs w:val="22"/>
              </w:rPr>
              <w:t>N=1,136</w:t>
            </w:r>
          </w:p>
          <w:p w14:paraId="32888D86" w14:textId="77777777" w:rsidR="0086036C" w:rsidRPr="00277350" w:rsidRDefault="0086036C" w:rsidP="002903D1">
            <w:pPr>
              <w:jc w:val="center"/>
              <w:rPr>
                <w:rFonts w:ascii="Times New Roman" w:hAnsi="Times New Roman" w:cs="Times New Roman"/>
                <w:sz w:val="22"/>
                <w:szCs w:val="22"/>
              </w:rPr>
            </w:pPr>
          </w:p>
        </w:tc>
        <w:tc>
          <w:tcPr>
            <w:tcW w:w="1566" w:type="dxa"/>
            <w:shd w:val="clear" w:color="auto" w:fill="000000" w:themeFill="text1"/>
            <w:vAlign w:val="center"/>
          </w:tcPr>
          <w:p w14:paraId="3BAA0F3E" w14:textId="77777777" w:rsidR="0086036C" w:rsidRPr="00277350" w:rsidRDefault="0086036C" w:rsidP="002903D1">
            <w:pPr>
              <w:jc w:val="center"/>
              <w:rPr>
                <w:rFonts w:ascii="Times New Roman" w:hAnsi="Times New Roman" w:cs="Times New Roman"/>
                <w:sz w:val="22"/>
                <w:szCs w:val="22"/>
              </w:rPr>
            </w:pPr>
          </w:p>
          <w:p w14:paraId="061794E5" w14:textId="77777777" w:rsidR="0086036C" w:rsidRPr="00277350" w:rsidRDefault="0086036C" w:rsidP="002903D1">
            <w:pPr>
              <w:jc w:val="center"/>
              <w:rPr>
                <w:rFonts w:ascii="Times New Roman" w:hAnsi="Times New Roman" w:cs="Times New Roman"/>
                <w:sz w:val="22"/>
                <w:szCs w:val="22"/>
              </w:rPr>
            </w:pPr>
            <w:r w:rsidRPr="00277350">
              <w:rPr>
                <w:rFonts w:ascii="Times New Roman" w:hAnsi="Times New Roman" w:cs="Times New Roman"/>
                <w:sz w:val="22"/>
                <w:szCs w:val="22"/>
              </w:rPr>
              <w:t>Low</w:t>
            </w:r>
          </w:p>
          <w:p w14:paraId="51B7C0B9" w14:textId="77777777" w:rsidR="0086036C" w:rsidRPr="00277350" w:rsidRDefault="0086036C" w:rsidP="002903D1">
            <w:pPr>
              <w:jc w:val="center"/>
              <w:rPr>
                <w:rFonts w:ascii="Times New Roman" w:hAnsi="Times New Roman" w:cs="Times New Roman"/>
                <w:sz w:val="22"/>
                <w:szCs w:val="22"/>
              </w:rPr>
            </w:pPr>
            <w:r w:rsidRPr="00277350">
              <w:rPr>
                <w:rFonts w:ascii="Times New Roman" w:hAnsi="Times New Roman" w:cs="Times New Roman"/>
                <w:sz w:val="22"/>
                <w:szCs w:val="22"/>
              </w:rPr>
              <w:t>N=1,218</w:t>
            </w:r>
          </w:p>
          <w:p w14:paraId="11696781" w14:textId="77777777" w:rsidR="0086036C" w:rsidRPr="00277350" w:rsidRDefault="0086036C" w:rsidP="002903D1">
            <w:pPr>
              <w:jc w:val="center"/>
              <w:rPr>
                <w:rFonts w:ascii="Times New Roman" w:hAnsi="Times New Roman" w:cs="Times New Roman"/>
                <w:sz w:val="22"/>
                <w:szCs w:val="22"/>
              </w:rPr>
            </w:pPr>
          </w:p>
        </w:tc>
        <w:tc>
          <w:tcPr>
            <w:tcW w:w="1569" w:type="dxa"/>
            <w:shd w:val="clear" w:color="auto" w:fill="000000" w:themeFill="text1"/>
            <w:noWrap/>
            <w:vAlign w:val="center"/>
          </w:tcPr>
          <w:p w14:paraId="13B481BA" w14:textId="77777777" w:rsidR="0086036C" w:rsidRPr="00277350" w:rsidRDefault="0086036C" w:rsidP="002903D1">
            <w:pPr>
              <w:jc w:val="center"/>
              <w:rPr>
                <w:rFonts w:ascii="Times New Roman" w:hAnsi="Times New Roman" w:cs="Times New Roman"/>
                <w:sz w:val="22"/>
                <w:szCs w:val="22"/>
              </w:rPr>
            </w:pPr>
            <w:r w:rsidRPr="00277350">
              <w:rPr>
                <w:rFonts w:ascii="Times New Roman" w:hAnsi="Times New Roman" w:cs="Times New Roman"/>
                <w:sz w:val="22"/>
                <w:szCs w:val="22"/>
              </w:rPr>
              <w:t>Very Low</w:t>
            </w:r>
          </w:p>
          <w:p w14:paraId="0EE18973" w14:textId="77777777" w:rsidR="0086036C" w:rsidRPr="00277350" w:rsidRDefault="0086036C" w:rsidP="002903D1">
            <w:pPr>
              <w:jc w:val="center"/>
              <w:rPr>
                <w:rFonts w:ascii="Times New Roman" w:hAnsi="Times New Roman" w:cs="Times New Roman"/>
                <w:sz w:val="22"/>
                <w:szCs w:val="22"/>
              </w:rPr>
            </w:pPr>
            <w:r w:rsidRPr="00277350">
              <w:rPr>
                <w:rFonts w:ascii="Times New Roman" w:hAnsi="Times New Roman" w:cs="Times New Roman"/>
                <w:sz w:val="22"/>
                <w:szCs w:val="22"/>
              </w:rPr>
              <w:t>N=721</w:t>
            </w:r>
          </w:p>
        </w:tc>
        <w:tc>
          <w:tcPr>
            <w:tcW w:w="1684" w:type="dxa"/>
            <w:shd w:val="clear" w:color="auto" w:fill="000000" w:themeFill="text1"/>
          </w:tcPr>
          <w:p w14:paraId="7D62C230" w14:textId="77777777" w:rsidR="0086036C" w:rsidRPr="00277350" w:rsidRDefault="0086036C" w:rsidP="002903D1">
            <w:pPr>
              <w:jc w:val="center"/>
              <w:rPr>
                <w:rFonts w:ascii="Times New Roman" w:hAnsi="Times New Roman" w:cs="Times New Roman"/>
                <w:sz w:val="22"/>
                <w:szCs w:val="22"/>
              </w:rPr>
            </w:pPr>
          </w:p>
          <w:p w14:paraId="50C09B3B" w14:textId="77777777" w:rsidR="0086036C" w:rsidRPr="00277350" w:rsidRDefault="0086036C" w:rsidP="002903D1">
            <w:pPr>
              <w:jc w:val="center"/>
              <w:rPr>
                <w:rFonts w:ascii="Times New Roman" w:hAnsi="Times New Roman" w:cs="Times New Roman"/>
                <w:sz w:val="22"/>
                <w:szCs w:val="22"/>
              </w:rPr>
            </w:pPr>
            <w:r w:rsidRPr="00277350">
              <w:rPr>
                <w:rFonts w:ascii="Times New Roman" w:hAnsi="Times New Roman" w:cs="Times New Roman"/>
                <w:sz w:val="22"/>
                <w:szCs w:val="22"/>
              </w:rPr>
              <w:t>Overall</w:t>
            </w:r>
          </w:p>
          <w:p w14:paraId="08100093" w14:textId="77777777" w:rsidR="0086036C" w:rsidRPr="00277350" w:rsidRDefault="0086036C" w:rsidP="002903D1">
            <w:pPr>
              <w:jc w:val="center"/>
              <w:rPr>
                <w:rFonts w:ascii="Times New Roman" w:hAnsi="Times New Roman" w:cs="Times New Roman"/>
                <w:sz w:val="22"/>
                <w:szCs w:val="22"/>
              </w:rPr>
            </w:pPr>
            <w:r w:rsidRPr="00277350">
              <w:rPr>
                <w:rFonts w:ascii="Times New Roman" w:hAnsi="Times New Roman" w:cs="Times New Roman"/>
                <w:sz w:val="22"/>
                <w:szCs w:val="22"/>
              </w:rPr>
              <w:t>(N=10,094)</w:t>
            </w:r>
          </w:p>
        </w:tc>
      </w:tr>
      <w:tr w:rsidR="0086036C" w:rsidRPr="00277350" w14:paraId="741F97A3" w14:textId="77777777" w:rsidTr="002903D1">
        <w:trPr>
          <w:trHeight w:val="285"/>
        </w:trPr>
        <w:tc>
          <w:tcPr>
            <w:tcW w:w="2894" w:type="dxa"/>
            <w:shd w:val="clear" w:color="auto" w:fill="000000" w:themeFill="text1"/>
            <w:noWrap/>
          </w:tcPr>
          <w:p w14:paraId="45EC1966" w14:textId="77777777" w:rsidR="0086036C" w:rsidRPr="00277350" w:rsidRDefault="0086036C" w:rsidP="002903D1">
            <w:pPr>
              <w:rPr>
                <w:rFonts w:ascii="Times New Roman" w:hAnsi="Times New Roman" w:cs="Times New Roman"/>
                <w:b/>
                <w:bCs/>
                <w:sz w:val="28"/>
                <w:szCs w:val="28"/>
              </w:rPr>
            </w:pPr>
          </w:p>
        </w:tc>
        <w:tc>
          <w:tcPr>
            <w:tcW w:w="1627" w:type="dxa"/>
            <w:shd w:val="clear" w:color="auto" w:fill="000000" w:themeFill="text1"/>
            <w:noWrap/>
            <w:vAlign w:val="center"/>
          </w:tcPr>
          <w:p w14:paraId="0D972DC8" w14:textId="77777777" w:rsidR="0086036C" w:rsidRPr="00277350" w:rsidRDefault="0086036C" w:rsidP="002903D1">
            <w:pPr>
              <w:jc w:val="center"/>
              <w:rPr>
                <w:rFonts w:ascii="Times New Roman" w:hAnsi="Times New Roman" w:cs="Times New Roman"/>
                <w:sz w:val="22"/>
                <w:szCs w:val="22"/>
              </w:rPr>
            </w:pPr>
            <w:r w:rsidRPr="00277350">
              <w:rPr>
                <w:rFonts w:ascii="Times New Roman" w:hAnsi="Times New Roman" w:cs="Times New Roman"/>
                <w:sz w:val="22"/>
                <w:szCs w:val="22"/>
              </w:rPr>
              <w:t>N (%)</w:t>
            </w:r>
          </w:p>
        </w:tc>
        <w:tc>
          <w:tcPr>
            <w:tcW w:w="1565" w:type="dxa"/>
            <w:shd w:val="clear" w:color="auto" w:fill="000000" w:themeFill="text1"/>
            <w:noWrap/>
            <w:vAlign w:val="center"/>
          </w:tcPr>
          <w:p w14:paraId="7BC40F52" w14:textId="77777777" w:rsidR="0086036C" w:rsidRPr="00277350" w:rsidRDefault="0086036C" w:rsidP="002903D1">
            <w:pPr>
              <w:jc w:val="center"/>
              <w:rPr>
                <w:rFonts w:ascii="Times New Roman" w:hAnsi="Times New Roman" w:cs="Times New Roman"/>
                <w:sz w:val="22"/>
                <w:szCs w:val="22"/>
              </w:rPr>
            </w:pPr>
            <w:r w:rsidRPr="00277350">
              <w:rPr>
                <w:rFonts w:ascii="Times New Roman" w:hAnsi="Times New Roman" w:cs="Times New Roman"/>
                <w:sz w:val="22"/>
                <w:szCs w:val="22"/>
              </w:rPr>
              <w:t>N (%)</w:t>
            </w:r>
          </w:p>
        </w:tc>
        <w:tc>
          <w:tcPr>
            <w:tcW w:w="1566" w:type="dxa"/>
            <w:shd w:val="clear" w:color="auto" w:fill="000000" w:themeFill="text1"/>
            <w:vAlign w:val="center"/>
          </w:tcPr>
          <w:p w14:paraId="2B8CA970" w14:textId="77777777" w:rsidR="0086036C" w:rsidRPr="00277350" w:rsidRDefault="0086036C" w:rsidP="002903D1">
            <w:pPr>
              <w:jc w:val="center"/>
              <w:rPr>
                <w:rFonts w:ascii="Times New Roman" w:hAnsi="Times New Roman" w:cs="Times New Roman"/>
                <w:sz w:val="22"/>
                <w:szCs w:val="22"/>
              </w:rPr>
            </w:pPr>
            <w:r w:rsidRPr="00277350">
              <w:rPr>
                <w:rFonts w:ascii="Times New Roman" w:hAnsi="Times New Roman" w:cs="Times New Roman"/>
                <w:sz w:val="22"/>
                <w:szCs w:val="22"/>
              </w:rPr>
              <w:t>N (%)</w:t>
            </w:r>
          </w:p>
        </w:tc>
        <w:tc>
          <w:tcPr>
            <w:tcW w:w="1569" w:type="dxa"/>
            <w:shd w:val="clear" w:color="auto" w:fill="000000" w:themeFill="text1"/>
            <w:noWrap/>
            <w:vAlign w:val="center"/>
          </w:tcPr>
          <w:p w14:paraId="4E4CEFB3" w14:textId="77777777" w:rsidR="0086036C" w:rsidRPr="00277350" w:rsidRDefault="0086036C" w:rsidP="002903D1">
            <w:pPr>
              <w:jc w:val="center"/>
              <w:rPr>
                <w:rFonts w:ascii="Times New Roman" w:hAnsi="Times New Roman" w:cs="Times New Roman"/>
                <w:sz w:val="22"/>
                <w:szCs w:val="22"/>
              </w:rPr>
            </w:pPr>
            <w:r w:rsidRPr="00277350">
              <w:rPr>
                <w:rFonts w:ascii="Times New Roman" w:hAnsi="Times New Roman" w:cs="Times New Roman"/>
                <w:sz w:val="22"/>
                <w:szCs w:val="22"/>
              </w:rPr>
              <w:t>N (%)</w:t>
            </w:r>
          </w:p>
        </w:tc>
        <w:tc>
          <w:tcPr>
            <w:tcW w:w="1684" w:type="dxa"/>
            <w:shd w:val="clear" w:color="auto" w:fill="000000" w:themeFill="text1"/>
          </w:tcPr>
          <w:p w14:paraId="789480D6" w14:textId="77777777" w:rsidR="0086036C" w:rsidRPr="00277350" w:rsidRDefault="0086036C" w:rsidP="002903D1">
            <w:pPr>
              <w:jc w:val="center"/>
              <w:rPr>
                <w:rFonts w:ascii="Times New Roman" w:hAnsi="Times New Roman" w:cs="Times New Roman"/>
                <w:sz w:val="22"/>
                <w:szCs w:val="22"/>
              </w:rPr>
            </w:pPr>
            <w:r w:rsidRPr="00277350">
              <w:rPr>
                <w:rFonts w:ascii="Times New Roman" w:hAnsi="Times New Roman" w:cs="Times New Roman"/>
                <w:sz w:val="22"/>
                <w:szCs w:val="22"/>
              </w:rPr>
              <w:t>N (%)</w:t>
            </w:r>
          </w:p>
        </w:tc>
      </w:tr>
      <w:tr w:rsidR="0086036C" w:rsidRPr="00277350" w14:paraId="50373E93" w14:textId="77777777" w:rsidTr="002903D1">
        <w:trPr>
          <w:trHeight w:val="285"/>
        </w:trPr>
        <w:tc>
          <w:tcPr>
            <w:tcW w:w="2894" w:type="dxa"/>
            <w:noWrap/>
            <w:vAlign w:val="bottom"/>
          </w:tcPr>
          <w:p w14:paraId="7B0938D4" w14:textId="77777777" w:rsidR="0086036C" w:rsidRPr="00277350" w:rsidRDefault="0086036C" w:rsidP="002903D1">
            <w:pPr>
              <w:rPr>
                <w:rFonts w:ascii="Times New Roman" w:hAnsi="Times New Roman" w:cs="Times New Roman"/>
                <w:i/>
                <w:iCs/>
              </w:rPr>
            </w:pPr>
            <w:r w:rsidRPr="00277350">
              <w:rPr>
                <w:rStyle w:val="Strong"/>
                <w:rFonts w:ascii="Times New Roman" w:hAnsi="Times New Roman" w:cs="Times New Roman"/>
                <w:color w:val="424242"/>
                <w:sz w:val="21"/>
                <w:szCs w:val="21"/>
                <w:bdr w:val="single" w:sz="2" w:space="0" w:color="E3E3E3" w:frame="1"/>
              </w:rPr>
              <w:t>Sex</w:t>
            </w:r>
          </w:p>
        </w:tc>
        <w:tc>
          <w:tcPr>
            <w:tcW w:w="8011" w:type="dxa"/>
            <w:gridSpan w:val="5"/>
            <w:noWrap/>
            <w:vAlign w:val="bottom"/>
          </w:tcPr>
          <w:p w14:paraId="2BD61D85" w14:textId="77777777" w:rsidR="0086036C" w:rsidRPr="00277350" w:rsidRDefault="0086036C" w:rsidP="002903D1">
            <w:pPr>
              <w:jc w:val="center"/>
              <w:rPr>
                <w:rFonts w:ascii="Times New Roman" w:hAnsi="Times New Roman" w:cs="Times New Roman"/>
                <w:color w:val="333333"/>
              </w:rPr>
            </w:pPr>
          </w:p>
        </w:tc>
      </w:tr>
      <w:tr w:rsidR="0086036C" w:rsidRPr="00277350" w14:paraId="4BF95FFF" w14:textId="77777777" w:rsidTr="002903D1">
        <w:trPr>
          <w:trHeight w:val="285"/>
        </w:trPr>
        <w:tc>
          <w:tcPr>
            <w:tcW w:w="2894" w:type="dxa"/>
            <w:noWrap/>
            <w:vAlign w:val="bottom"/>
            <w:hideMark/>
          </w:tcPr>
          <w:p w14:paraId="72685D46" w14:textId="77777777" w:rsidR="0086036C" w:rsidRPr="00277350" w:rsidRDefault="0086036C" w:rsidP="002903D1">
            <w:pPr>
              <w:rPr>
                <w:rFonts w:ascii="Times New Roman" w:hAnsi="Times New Roman" w:cs="Times New Roman"/>
                <w:i/>
                <w:iCs/>
              </w:rPr>
            </w:pPr>
            <w:r w:rsidRPr="00277350">
              <w:rPr>
                <w:rFonts w:ascii="Times New Roman" w:hAnsi="Times New Roman" w:cs="Times New Roman"/>
                <w:color w:val="424242"/>
                <w:sz w:val="21"/>
                <w:szCs w:val="21"/>
              </w:rPr>
              <w:t>Male</w:t>
            </w:r>
          </w:p>
        </w:tc>
        <w:tc>
          <w:tcPr>
            <w:tcW w:w="1627" w:type="dxa"/>
            <w:noWrap/>
            <w:vAlign w:val="bottom"/>
            <w:hideMark/>
          </w:tcPr>
          <w:p w14:paraId="28CF3866"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424242"/>
                <w:sz w:val="20"/>
                <w:szCs w:val="20"/>
              </w:rPr>
              <w:t>3509 (50)</w:t>
            </w:r>
          </w:p>
        </w:tc>
        <w:tc>
          <w:tcPr>
            <w:tcW w:w="1565" w:type="dxa"/>
            <w:noWrap/>
            <w:vAlign w:val="bottom"/>
            <w:hideMark/>
          </w:tcPr>
          <w:p w14:paraId="30B35F2C"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424242"/>
                <w:sz w:val="20"/>
                <w:szCs w:val="20"/>
              </w:rPr>
              <w:t>533 (46.9)</w:t>
            </w:r>
          </w:p>
        </w:tc>
        <w:tc>
          <w:tcPr>
            <w:tcW w:w="1566" w:type="dxa"/>
            <w:vAlign w:val="bottom"/>
          </w:tcPr>
          <w:p w14:paraId="6C56E4B6"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424242"/>
                <w:sz w:val="20"/>
                <w:szCs w:val="20"/>
              </w:rPr>
              <w:t>569 (51.5)</w:t>
            </w:r>
          </w:p>
        </w:tc>
        <w:tc>
          <w:tcPr>
            <w:tcW w:w="1569" w:type="dxa"/>
            <w:noWrap/>
            <w:vAlign w:val="bottom"/>
            <w:hideMark/>
          </w:tcPr>
          <w:p w14:paraId="5C911021"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424242"/>
                <w:sz w:val="20"/>
                <w:szCs w:val="20"/>
              </w:rPr>
              <w:t>569 (46.7)</w:t>
            </w:r>
          </w:p>
        </w:tc>
        <w:tc>
          <w:tcPr>
            <w:tcW w:w="1684" w:type="dxa"/>
            <w:vAlign w:val="bottom"/>
          </w:tcPr>
          <w:p w14:paraId="44249F20" w14:textId="77777777" w:rsidR="0086036C" w:rsidRPr="00277350" w:rsidRDefault="0086036C" w:rsidP="002903D1">
            <w:pPr>
              <w:jc w:val="center"/>
              <w:rPr>
                <w:rFonts w:ascii="Times New Roman" w:hAnsi="Times New Roman" w:cs="Times New Roman"/>
                <w:color w:val="333333"/>
                <w:sz w:val="20"/>
                <w:szCs w:val="20"/>
              </w:rPr>
            </w:pPr>
            <w:r w:rsidRPr="00277350">
              <w:rPr>
                <w:rFonts w:ascii="Times New Roman" w:hAnsi="Times New Roman" w:cs="Times New Roman"/>
                <w:color w:val="424242"/>
                <w:sz w:val="20"/>
                <w:szCs w:val="20"/>
              </w:rPr>
              <w:t>4,954 (49.1)</w:t>
            </w:r>
          </w:p>
        </w:tc>
      </w:tr>
      <w:tr w:rsidR="0086036C" w:rsidRPr="00277350" w14:paraId="353723DC" w14:textId="77777777" w:rsidTr="002903D1">
        <w:trPr>
          <w:trHeight w:val="285"/>
        </w:trPr>
        <w:tc>
          <w:tcPr>
            <w:tcW w:w="2894" w:type="dxa"/>
            <w:noWrap/>
            <w:vAlign w:val="bottom"/>
            <w:hideMark/>
          </w:tcPr>
          <w:p w14:paraId="38E49D84" w14:textId="77777777" w:rsidR="0086036C" w:rsidRPr="00277350" w:rsidRDefault="0086036C" w:rsidP="002903D1">
            <w:pPr>
              <w:rPr>
                <w:rFonts w:ascii="Times New Roman" w:hAnsi="Times New Roman" w:cs="Times New Roman"/>
                <w:i/>
                <w:iCs/>
              </w:rPr>
            </w:pPr>
            <w:r w:rsidRPr="00277350">
              <w:rPr>
                <w:rFonts w:ascii="Times New Roman" w:hAnsi="Times New Roman" w:cs="Times New Roman"/>
                <w:color w:val="424242"/>
                <w:sz w:val="21"/>
                <w:szCs w:val="21"/>
              </w:rPr>
              <w:t>Female</w:t>
            </w:r>
          </w:p>
        </w:tc>
        <w:tc>
          <w:tcPr>
            <w:tcW w:w="1627" w:type="dxa"/>
            <w:noWrap/>
            <w:vAlign w:val="bottom"/>
            <w:hideMark/>
          </w:tcPr>
          <w:p w14:paraId="357BAFAA"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424242"/>
                <w:sz w:val="20"/>
                <w:szCs w:val="20"/>
              </w:rPr>
              <w:t>3,510 (50.0)</w:t>
            </w:r>
          </w:p>
        </w:tc>
        <w:tc>
          <w:tcPr>
            <w:tcW w:w="1565" w:type="dxa"/>
            <w:noWrap/>
            <w:vAlign w:val="bottom"/>
            <w:hideMark/>
          </w:tcPr>
          <w:p w14:paraId="650ED703"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424242"/>
                <w:sz w:val="20"/>
                <w:szCs w:val="20"/>
              </w:rPr>
              <w:t>603 (53.1)</w:t>
            </w:r>
          </w:p>
        </w:tc>
        <w:tc>
          <w:tcPr>
            <w:tcW w:w="1566" w:type="dxa"/>
            <w:vAlign w:val="bottom"/>
          </w:tcPr>
          <w:p w14:paraId="055B6828"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424242"/>
                <w:sz w:val="20"/>
                <w:szCs w:val="20"/>
              </w:rPr>
              <w:t>649 (53.3)</w:t>
            </w:r>
          </w:p>
        </w:tc>
        <w:tc>
          <w:tcPr>
            <w:tcW w:w="1569" w:type="dxa"/>
            <w:noWrap/>
            <w:vAlign w:val="bottom"/>
            <w:hideMark/>
          </w:tcPr>
          <w:p w14:paraId="1EB786BF"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424242"/>
                <w:sz w:val="20"/>
                <w:szCs w:val="20"/>
              </w:rPr>
              <w:t>378 (52.4)</w:t>
            </w:r>
          </w:p>
        </w:tc>
        <w:tc>
          <w:tcPr>
            <w:tcW w:w="1684" w:type="dxa"/>
            <w:vAlign w:val="bottom"/>
          </w:tcPr>
          <w:p w14:paraId="01B91A6B" w14:textId="77777777" w:rsidR="0086036C" w:rsidRPr="00277350" w:rsidRDefault="0086036C" w:rsidP="002903D1">
            <w:pPr>
              <w:jc w:val="center"/>
              <w:rPr>
                <w:rFonts w:ascii="Times New Roman" w:hAnsi="Times New Roman" w:cs="Times New Roman"/>
                <w:color w:val="333333"/>
                <w:sz w:val="20"/>
                <w:szCs w:val="20"/>
              </w:rPr>
            </w:pPr>
            <w:r w:rsidRPr="00277350">
              <w:rPr>
                <w:rFonts w:ascii="Times New Roman" w:hAnsi="Times New Roman" w:cs="Times New Roman"/>
                <w:color w:val="424242"/>
                <w:sz w:val="20"/>
                <w:szCs w:val="20"/>
              </w:rPr>
              <w:t>5,140 (50.9)</w:t>
            </w:r>
          </w:p>
        </w:tc>
      </w:tr>
      <w:tr w:rsidR="0086036C" w:rsidRPr="00277350" w14:paraId="72541CBF" w14:textId="77777777" w:rsidTr="002903D1">
        <w:trPr>
          <w:trHeight w:val="285"/>
        </w:trPr>
        <w:tc>
          <w:tcPr>
            <w:tcW w:w="2894" w:type="dxa"/>
            <w:noWrap/>
            <w:vAlign w:val="bottom"/>
          </w:tcPr>
          <w:p w14:paraId="1F67701D" w14:textId="77777777" w:rsidR="0086036C" w:rsidRPr="00277350" w:rsidRDefault="0086036C" w:rsidP="002903D1">
            <w:pPr>
              <w:rPr>
                <w:rFonts w:ascii="Times New Roman" w:hAnsi="Times New Roman" w:cs="Times New Roman"/>
                <w:i/>
                <w:iCs/>
              </w:rPr>
            </w:pPr>
            <w:r w:rsidRPr="00277350">
              <w:rPr>
                <w:rStyle w:val="Strong"/>
                <w:rFonts w:ascii="Times New Roman" w:hAnsi="Times New Roman" w:cs="Times New Roman"/>
                <w:color w:val="424242"/>
                <w:sz w:val="21"/>
                <w:szCs w:val="21"/>
                <w:bdr w:val="single" w:sz="2" w:space="0" w:color="E3E3E3" w:frame="1"/>
              </w:rPr>
              <w:t>Age (years)</w:t>
            </w:r>
          </w:p>
        </w:tc>
        <w:tc>
          <w:tcPr>
            <w:tcW w:w="1627" w:type="dxa"/>
            <w:noWrap/>
            <w:vAlign w:val="bottom"/>
          </w:tcPr>
          <w:p w14:paraId="5E44D410" w14:textId="77777777" w:rsidR="0086036C" w:rsidRPr="00277350" w:rsidRDefault="0086036C" w:rsidP="002903D1">
            <w:pPr>
              <w:jc w:val="center"/>
              <w:rPr>
                <w:rFonts w:ascii="Times New Roman" w:hAnsi="Times New Roman" w:cs="Times New Roman"/>
                <w:color w:val="424242"/>
                <w:sz w:val="20"/>
                <w:szCs w:val="20"/>
              </w:rPr>
            </w:pPr>
            <w:r w:rsidRPr="00277350">
              <w:rPr>
                <w:rFonts w:ascii="Times New Roman" w:hAnsi="Times New Roman" w:cs="Times New Roman"/>
                <w:color w:val="424242"/>
                <w:sz w:val="20"/>
                <w:szCs w:val="20"/>
              </w:rPr>
              <w:t>49 (19)</w:t>
            </w:r>
          </w:p>
        </w:tc>
        <w:tc>
          <w:tcPr>
            <w:tcW w:w="1565" w:type="dxa"/>
            <w:noWrap/>
            <w:vAlign w:val="bottom"/>
          </w:tcPr>
          <w:p w14:paraId="11884740" w14:textId="77777777" w:rsidR="0086036C" w:rsidRPr="00277350" w:rsidRDefault="0086036C" w:rsidP="002903D1">
            <w:pPr>
              <w:jc w:val="center"/>
              <w:rPr>
                <w:rFonts w:ascii="Times New Roman" w:hAnsi="Times New Roman" w:cs="Times New Roman"/>
                <w:color w:val="424242"/>
                <w:sz w:val="20"/>
                <w:szCs w:val="20"/>
              </w:rPr>
            </w:pPr>
            <w:r w:rsidRPr="00277350">
              <w:rPr>
                <w:rFonts w:ascii="Times New Roman" w:hAnsi="Times New Roman" w:cs="Times New Roman"/>
                <w:color w:val="424242"/>
                <w:sz w:val="20"/>
                <w:szCs w:val="20"/>
              </w:rPr>
              <w:t>42 (18)</w:t>
            </w:r>
          </w:p>
        </w:tc>
        <w:tc>
          <w:tcPr>
            <w:tcW w:w="1566" w:type="dxa"/>
            <w:vAlign w:val="bottom"/>
          </w:tcPr>
          <w:p w14:paraId="34222922" w14:textId="77777777" w:rsidR="0086036C" w:rsidRPr="00277350" w:rsidRDefault="0086036C" w:rsidP="002903D1">
            <w:pPr>
              <w:jc w:val="center"/>
              <w:rPr>
                <w:rFonts w:ascii="Times New Roman" w:hAnsi="Times New Roman" w:cs="Times New Roman"/>
                <w:color w:val="424242"/>
                <w:sz w:val="20"/>
                <w:szCs w:val="20"/>
              </w:rPr>
            </w:pPr>
            <w:r w:rsidRPr="00277350">
              <w:rPr>
                <w:rFonts w:ascii="Times New Roman" w:hAnsi="Times New Roman" w:cs="Times New Roman"/>
                <w:color w:val="424242"/>
                <w:sz w:val="20"/>
                <w:szCs w:val="20"/>
              </w:rPr>
              <w:t>42 (17)</w:t>
            </w:r>
          </w:p>
        </w:tc>
        <w:tc>
          <w:tcPr>
            <w:tcW w:w="1569" w:type="dxa"/>
            <w:noWrap/>
            <w:vAlign w:val="bottom"/>
          </w:tcPr>
          <w:p w14:paraId="1D90D0C0" w14:textId="77777777" w:rsidR="0086036C" w:rsidRPr="00277350" w:rsidRDefault="0086036C" w:rsidP="002903D1">
            <w:pPr>
              <w:jc w:val="center"/>
              <w:rPr>
                <w:rFonts w:ascii="Times New Roman" w:hAnsi="Times New Roman" w:cs="Times New Roman"/>
                <w:color w:val="424242"/>
                <w:sz w:val="20"/>
                <w:szCs w:val="20"/>
              </w:rPr>
            </w:pPr>
            <w:r w:rsidRPr="00277350">
              <w:rPr>
                <w:rFonts w:ascii="Times New Roman" w:hAnsi="Times New Roman" w:cs="Times New Roman"/>
                <w:color w:val="424242"/>
                <w:sz w:val="20"/>
                <w:szCs w:val="20"/>
              </w:rPr>
              <w:t>42 (16)</w:t>
            </w:r>
          </w:p>
        </w:tc>
        <w:tc>
          <w:tcPr>
            <w:tcW w:w="1684" w:type="dxa"/>
            <w:vAlign w:val="bottom"/>
          </w:tcPr>
          <w:p w14:paraId="57A50F98" w14:textId="77777777" w:rsidR="0086036C" w:rsidRPr="00277350" w:rsidRDefault="0086036C" w:rsidP="002903D1">
            <w:pPr>
              <w:jc w:val="center"/>
              <w:rPr>
                <w:rFonts w:ascii="Times New Roman" w:hAnsi="Times New Roman" w:cs="Times New Roman"/>
                <w:color w:val="424242"/>
                <w:sz w:val="20"/>
                <w:szCs w:val="20"/>
              </w:rPr>
            </w:pPr>
            <w:r w:rsidRPr="00277350">
              <w:rPr>
                <w:rFonts w:ascii="Times New Roman" w:hAnsi="Times New Roman" w:cs="Times New Roman"/>
                <w:color w:val="424242"/>
                <w:sz w:val="20"/>
                <w:szCs w:val="20"/>
              </w:rPr>
              <w:t>47 (19)</w:t>
            </w:r>
          </w:p>
        </w:tc>
      </w:tr>
      <w:tr w:rsidR="0086036C" w:rsidRPr="00277350" w14:paraId="7C6EAF69" w14:textId="77777777" w:rsidTr="002903D1">
        <w:trPr>
          <w:trHeight w:val="285"/>
        </w:trPr>
        <w:tc>
          <w:tcPr>
            <w:tcW w:w="2894" w:type="dxa"/>
            <w:noWrap/>
            <w:vAlign w:val="bottom"/>
          </w:tcPr>
          <w:p w14:paraId="1FDFC61F" w14:textId="77777777" w:rsidR="0086036C" w:rsidRPr="00277350" w:rsidRDefault="0086036C" w:rsidP="002903D1">
            <w:pPr>
              <w:rPr>
                <w:rFonts w:ascii="Times New Roman" w:hAnsi="Times New Roman" w:cs="Times New Roman"/>
                <w:i/>
                <w:iCs/>
                <w:color w:val="000000"/>
              </w:rPr>
            </w:pPr>
            <w:r w:rsidRPr="00277350">
              <w:rPr>
                <w:rStyle w:val="Strong"/>
                <w:rFonts w:ascii="Times New Roman" w:hAnsi="Times New Roman" w:cs="Times New Roman"/>
                <w:color w:val="424242"/>
                <w:sz w:val="21"/>
                <w:szCs w:val="21"/>
                <w:bdr w:val="single" w:sz="2" w:space="0" w:color="E3E3E3" w:frame="1"/>
              </w:rPr>
              <w:t>Race/Ethnicity</w:t>
            </w:r>
          </w:p>
        </w:tc>
        <w:tc>
          <w:tcPr>
            <w:tcW w:w="8011" w:type="dxa"/>
            <w:gridSpan w:val="5"/>
            <w:noWrap/>
            <w:vAlign w:val="bottom"/>
          </w:tcPr>
          <w:p w14:paraId="66C05AF7" w14:textId="77777777" w:rsidR="0086036C" w:rsidRPr="00277350" w:rsidRDefault="0086036C" w:rsidP="002903D1">
            <w:pPr>
              <w:jc w:val="center"/>
              <w:rPr>
                <w:rFonts w:ascii="Times New Roman" w:hAnsi="Times New Roman" w:cs="Times New Roman"/>
                <w:color w:val="333333"/>
              </w:rPr>
            </w:pPr>
          </w:p>
        </w:tc>
      </w:tr>
      <w:tr w:rsidR="0086036C" w:rsidRPr="00277350" w14:paraId="3DBC599C" w14:textId="77777777" w:rsidTr="002903D1">
        <w:trPr>
          <w:trHeight w:val="476"/>
        </w:trPr>
        <w:tc>
          <w:tcPr>
            <w:tcW w:w="2894" w:type="dxa"/>
            <w:noWrap/>
            <w:vAlign w:val="bottom"/>
            <w:hideMark/>
          </w:tcPr>
          <w:p w14:paraId="3D4C4EBF" w14:textId="77777777" w:rsidR="0086036C" w:rsidRPr="00277350" w:rsidRDefault="0086036C" w:rsidP="002903D1">
            <w:pPr>
              <w:rPr>
                <w:rFonts w:ascii="Times New Roman" w:hAnsi="Times New Roman" w:cs="Times New Roman"/>
                <w:i/>
                <w:iCs/>
              </w:rPr>
            </w:pPr>
            <w:r w:rsidRPr="00277350">
              <w:rPr>
                <w:rFonts w:ascii="Times New Roman" w:hAnsi="Times New Roman" w:cs="Times New Roman"/>
                <w:color w:val="424242"/>
                <w:sz w:val="21"/>
                <w:szCs w:val="21"/>
              </w:rPr>
              <w:t>NH White</w:t>
            </w:r>
          </w:p>
        </w:tc>
        <w:tc>
          <w:tcPr>
            <w:tcW w:w="1627" w:type="dxa"/>
            <w:noWrap/>
            <w:vAlign w:val="bottom"/>
            <w:hideMark/>
          </w:tcPr>
          <w:p w14:paraId="3375DC1D"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424242"/>
                <w:sz w:val="20"/>
                <w:szCs w:val="20"/>
              </w:rPr>
              <w:t>3,412 (48.6)</w:t>
            </w:r>
          </w:p>
        </w:tc>
        <w:tc>
          <w:tcPr>
            <w:tcW w:w="1565" w:type="dxa"/>
            <w:noWrap/>
            <w:vAlign w:val="bottom"/>
            <w:hideMark/>
          </w:tcPr>
          <w:p w14:paraId="4B8A1F7F"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424242"/>
                <w:sz w:val="20"/>
                <w:szCs w:val="20"/>
              </w:rPr>
              <w:t>345 (30.4)</w:t>
            </w:r>
          </w:p>
        </w:tc>
        <w:tc>
          <w:tcPr>
            <w:tcW w:w="1566" w:type="dxa"/>
            <w:vAlign w:val="bottom"/>
          </w:tcPr>
          <w:p w14:paraId="0CE7389C"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424242"/>
                <w:sz w:val="20"/>
                <w:szCs w:val="20"/>
              </w:rPr>
              <w:t>318 (26.1)</w:t>
            </w:r>
          </w:p>
        </w:tc>
        <w:tc>
          <w:tcPr>
            <w:tcW w:w="1569" w:type="dxa"/>
            <w:noWrap/>
            <w:vAlign w:val="bottom"/>
            <w:hideMark/>
          </w:tcPr>
          <w:p w14:paraId="1D737A9C"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424242"/>
                <w:sz w:val="20"/>
                <w:szCs w:val="20"/>
              </w:rPr>
              <w:t>250 (34.7)</w:t>
            </w:r>
          </w:p>
        </w:tc>
        <w:tc>
          <w:tcPr>
            <w:tcW w:w="1684" w:type="dxa"/>
            <w:vAlign w:val="bottom"/>
          </w:tcPr>
          <w:p w14:paraId="72338684" w14:textId="77777777" w:rsidR="0086036C" w:rsidRPr="00277350" w:rsidRDefault="0086036C" w:rsidP="002903D1">
            <w:pPr>
              <w:jc w:val="center"/>
              <w:rPr>
                <w:rFonts w:ascii="Times New Roman" w:hAnsi="Times New Roman" w:cs="Times New Roman"/>
                <w:color w:val="333333"/>
                <w:sz w:val="20"/>
                <w:szCs w:val="20"/>
              </w:rPr>
            </w:pPr>
            <w:r w:rsidRPr="00277350">
              <w:rPr>
                <w:rFonts w:ascii="Times New Roman" w:hAnsi="Times New Roman" w:cs="Times New Roman"/>
                <w:color w:val="424242"/>
                <w:sz w:val="20"/>
                <w:szCs w:val="20"/>
              </w:rPr>
              <w:t>4,325 (42.8)</w:t>
            </w:r>
          </w:p>
        </w:tc>
      </w:tr>
      <w:tr w:rsidR="0086036C" w:rsidRPr="00277350" w14:paraId="5887DAFC" w14:textId="77777777" w:rsidTr="002903D1">
        <w:trPr>
          <w:trHeight w:val="285"/>
        </w:trPr>
        <w:tc>
          <w:tcPr>
            <w:tcW w:w="2894" w:type="dxa"/>
            <w:noWrap/>
            <w:vAlign w:val="bottom"/>
            <w:hideMark/>
          </w:tcPr>
          <w:p w14:paraId="7DC67F79" w14:textId="77777777" w:rsidR="0086036C" w:rsidRPr="00277350" w:rsidRDefault="0086036C" w:rsidP="002903D1">
            <w:pPr>
              <w:rPr>
                <w:rFonts w:ascii="Times New Roman" w:hAnsi="Times New Roman" w:cs="Times New Roman"/>
                <w:i/>
              </w:rPr>
            </w:pPr>
            <w:r w:rsidRPr="00277350">
              <w:rPr>
                <w:rFonts w:ascii="Times New Roman" w:hAnsi="Times New Roman" w:cs="Times New Roman"/>
                <w:color w:val="424242"/>
                <w:sz w:val="21"/>
                <w:szCs w:val="21"/>
              </w:rPr>
              <w:t>NH Black</w:t>
            </w:r>
          </w:p>
        </w:tc>
        <w:tc>
          <w:tcPr>
            <w:tcW w:w="1627" w:type="dxa"/>
            <w:noWrap/>
            <w:vAlign w:val="bottom"/>
            <w:hideMark/>
          </w:tcPr>
          <w:p w14:paraId="431541F0"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424242"/>
                <w:sz w:val="20"/>
                <w:szCs w:val="20"/>
              </w:rPr>
              <w:t>1,441 (20.5)</w:t>
            </w:r>
          </w:p>
        </w:tc>
        <w:tc>
          <w:tcPr>
            <w:tcW w:w="1565" w:type="dxa"/>
            <w:noWrap/>
            <w:vAlign w:val="bottom"/>
            <w:hideMark/>
          </w:tcPr>
          <w:p w14:paraId="218F6D21"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424242"/>
                <w:sz w:val="20"/>
                <w:szCs w:val="20"/>
              </w:rPr>
              <w:t>297 (26.1)</w:t>
            </w:r>
          </w:p>
        </w:tc>
        <w:tc>
          <w:tcPr>
            <w:tcW w:w="1566" w:type="dxa"/>
            <w:vAlign w:val="bottom"/>
          </w:tcPr>
          <w:p w14:paraId="165A55C5"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424242"/>
                <w:sz w:val="20"/>
                <w:szCs w:val="20"/>
              </w:rPr>
              <w:t>331 (27.2)</w:t>
            </w:r>
          </w:p>
        </w:tc>
        <w:tc>
          <w:tcPr>
            <w:tcW w:w="1569" w:type="dxa"/>
            <w:noWrap/>
            <w:vAlign w:val="bottom"/>
            <w:hideMark/>
          </w:tcPr>
          <w:p w14:paraId="229924AF"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424242"/>
                <w:sz w:val="20"/>
                <w:szCs w:val="20"/>
              </w:rPr>
              <w:t>194 (26.9)</w:t>
            </w:r>
          </w:p>
        </w:tc>
        <w:tc>
          <w:tcPr>
            <w:tcW w:w="1684" w:type="dxa"/>
            <w:vAlign w:val="bottom"/>
          </w:tcPr>
          <w:p w14:paraId="6821174D" w14:textId="77777777" w:rsidR="0086036C" w:rsidRPr="00277350" w:rsidRDefault="0086036C" w:rsidP="002903D1">
            <w:pPr>
              <w:jc w:val="center"/>
              <w:rPr>
                <w:rFonts w:ascii="Times New Roman" w:hAnsi="Times New Roman" w:cs="Times New Roman"/>
                <w:color w:val="333333"/>
                <w:sz w:val="20"/>
                <w:szCs w:val="20"/>
              </w:rPr>
            </w:pPr>
            <w:r w:rsidRPr="00277350">
              <w:rPr>
                <w:rFonts w:ascii="Times New Roman" w:hAnsi="Times New Roman" w:cs="Times New Roman"/>
                <w:color w:val="424242"/>
                <w:sz w:val="20"/>
                <w:szCs w:val="20"/>
              </w:rPr>
              <w:t>2,263 (22.4)</w:t>
            </w:r>
          </w:p>
        </w:tc>
      </w:tr>
      <w:tr w:rsidR="0086036C" w:rsidRPr="00277350" w14:paraId="702EA805" w14:textId="77777777" w:rsidTr="002903D1">
        <w:trPr>
          <w:trHeight w:val="285"/>
        </w:trPr>
        <w:tc>
          <w:tcPr>
            <w:tcW w:w="2894" w:type="dxa"/>
            <w:noWrap/>
            <w:vAlign w:val="bottom"/>
            <w:hideMark/>
          </w:tcPr>
          <w:p w14:paraId="6EE8D29B" w14:textId="77777777" w:rsidR="0086036C" w:rsidRPr="00277350" w:rsidRDefault="0086036C" w:rsidP="002903D1">
            <w:pPr>
              <w:rPr>
                <w:rFonts w:ascii="Times New Roman" w:hAnsi="Times New Roman" w:cs="Times New Roman"/>
                <w:i/>
              </w:rPr>
            </w:pPr>
            <w:proofErr w:type="gramStart"/>
            <w:r w:rsidRPr="00277350">
              <w:rPr>
                <w:rFonts w:ascii="Times New Roman" w:hAnsi="Times New Roman" w:cs="Times New Roman"/>
                <w:color w:val="424242"/>
                <w:sz w:val="21"/>
                <w:szCs w:val="21"/>
              </w:rPr>
              <w:t>Mexican-American</w:t>
            </w:r>
            <w:proofErr w:type="gramEnd"/>
          </w:p>
        </w:tc>
        <w:tc>
          <w:tcPr>
            <w:tcW w:w="1627" w:type="dxa"/>
            <w:noWrap/>
            <w:vAlign w:val="bottom"/>
            <w:hideMark/>
          </w:tcPr>
          <w:p w14:paraId="74E47513"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424242"/>
                <w:sz w:val="20"/>
                <w:szCs w:val="20"/>
              </w:rPr>
              <w:t>868 (12.4)</w:t>
            </w:r>
          </w:p>
        </w:tc>
        <w:tc>
          <w:tcPr>
            <w:tcW w:w="1565" w:type="dxa"/>
            <w:noWrap/>
            <w:vAlign w:val="bottom"/>
            <w:hideMark/>
          </w:tcPr>
          <w:p w14:paraId="7B6C41F9"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424242"/>
                <w:sz w:val="20"/>
                <w:szCs w:val="20"/>
              </w:rPr>
              <w:t>267 (23.5)</w:t>
            </w:r>
          </w:p>
        </w:tc>
        <w:tc>
          <w:tcPr>
            <w:tcW w:w="1566" w:type="dxa"/>
            <w:vAlign w:val="bottom"/>
          </w:tcPr>
          <w:p w14:paraId="032BF934"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424242"/>
                <w:sz w:val="20"/>
                <w:szCs w:val="20"/>
              </w:rPr>
              <w:t>294 (24.1)</w:t>
            </w:r>
          </w:p>
        </w:tc>
        <w:tc>
          <w:tcPr>
            <w:tcW w:w="1569" w:type="dxa"/>
            <w:noWrap/>
            <w:vAlign w:val="bottom"/>
            <w:hideMark/>
          </w:tcPr>
          <w:p w14:paraId="4903EA3A"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424242"/>
                <w:sz w:val="20"/>
                <w:szCs w:val="20"/>
              </w:rPr>
              <w:t>139 (19.3)</w:t>
            </w:r>
          </w:p>
        </w:tc>
        <w:tc>
          <w:tcPr>
            <w:tcW w:w="1684" w:type="dxa"/>
            <w:vAlign w:val="bottom"/>
          </w:tcPr>
          <w:p w14:paraId="363D7E9A" w14:textId="77777777" w:rsidR="0086036C" w:rsidRPr="00277350" w:rsidRDefault="0086036C" w:rsidP="002903D1">
            <w:pPr>
              <w:jc w:val="center"/>
              <w:rPr>
                <w:rFonts w:ascii="Times New Roman" w:hAnsi="Times New Roman" w:cs="Times New Roman"/>
                <w:color w:val="333333"/>
                <w:sz w:val="20"/>
                <w:szCs w:val="20"/>
              </w:rPr>
            </w:pPr>
            <w:r w:rsidRPr="00277350">
              <w:rPr>
                <w:rFonts w:ascii="Times New Roman" w:hAnsi="Times New Roman" w:cs="Times New Roman"/>
                <w:color w:val="424242"/>
                <w:sz w:val="20"/>
                <w:szCs w:val="20"/>
              </w:rPr>
              <w:t>1,568 (15.5)</w:t>
            </w:r>
          </w:p>
        </w:tc>
      </w:tr>
      <w:tr w:rsidR="0086036C" w:rsidRPr="00277350" w14:paraId="4C8929DF" w14:textId="77777777" w:rsidTr="002903D1">
        <w:trPr>
          <w:trHeight w:val="285"/>
        </w:trPr>
        <w:tc>
          <w:tcPr>
            <w:tcW w:w="2894" w:type="dxa"/>
            <w:noWrap/>
            <w:vAlign w:val="bottom"/>
            <w:hideMark/>
          </w:tcPr>
          <w:p w14:paraId="48F0ABFF" w14:textId="77777777" w:rsidR="0086036C" w:rsidRPr="00277350" w:rsidRDefault="0086036C" w:rsidP="002903D1">
            <w:pPr>
              <w:rPr>
                <w:rFonts w:ascii="Times New Roman" w:hAnsi="Times New Roman" w:cs="Times New Roman"/>
                <w:i/>
                <w:iCs/>
              </w:rPr>
            </w:pPr>
            <w:r w:rsidRPr="00277350">
              <w:rPr>
                <w:rFonts w:ascii="Times New Roman" w:hAnsi="Times New Roman" w:cs="Times New Roman"/>
                <w:color w:val="424242"/>
                <w:sz w:val="21"/>
                <w:szCs w:val="21"/>
              </w:rPr>
              <w:t>Other Hispanic</w:t>
            </w:r>
          </w:p>
        </w:tc>
        <w:tc>
          <w:tcPr>
            <w:tcW w:w="1627" w:type="dxa"/>
            <w:noWrap/>
            <w:vAlign w:val="bottom"/>
            <w:hideMark/>
          </w:tcPr>
          <w:p w14:paraId="540329EE"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424242"/>
                <w:sz w:val="20"/>
                <w:szCs w:val="20"/>
              </w:rPr>
              <w:t>520 (7.4)</w:t>
            </w:r>
          </w:p>
        </w:tc>
        <w:tc>
          <w:tcPr>
            <w:tcW w:w="1565" w:type="dxa"/>
            <w:noWrap/>
            <w:vAlign w:val="bottom"/>
            <w:hideMark/>
          </w:tcPr>
          <w:p w14:paraId="186C7691"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424242"/>
                <w:sz w:val="20"/>
                <w:szCs w:val="20"/>
              </w:rPr>
              <w:t>126 (11.1)</w:t>
            </w:r>
          </w:p>
        </w:tc>
        <w:tc>
          <w:tcPr>
            <w:tcW w:w="1566" w:type="dxa"/>
            <w:vAlign w:val="bottom"/>
          </w:tcPr>
          <w:p w14:paraId="140D49C2"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424242"/>
                <w:sz w:val="20"/>
                <w:szCs w:val="20"/>
              </w:rPr>
              <w:t>165 (13.5)</w:t>
            </w:r>
          </w:p>
        </w:tc>
        <w:tc>
          <w:tcPr>
            <w:tcW w:w="1569" w:type="dxa"/>
            <w:noWrap/>
            <w:vAlign w:val="bottom"/>
            <w:hideMark/>
          </w:tcPr>
          <w:p w14:paraId="5CD349FA"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424242"/>
                <w:sz w:val="20"/>
                <w:szCs w:val="20"/>
              </w:rPr>
              <w:t>95 (13.2)</w:t>
            </w:r>
          </w:p>
        </w:tc>
        <w:tc>
          <w:tcPr>
            <w:tcW w:w="1684" w:type="dxa"/>
            <w:vAlign w:val="bottom"/>
          </w:tcPr>
          <w:p w14:paraId="30C9E5FF" w14:textId="77777777" w:rsidR="0086036C" w:rsidRPr="00277350" w:rsidRDefault="0086036C" w:rsidP="002903D1">
            <w:pPr>
              <w:jc w:val="center"/>
              <w:rPr>
                <w:rFonts w:ascii="Times New Roman" w:hAnsi="Times New Roman" w:cs="Times New Roman"/>
                <w:color w:val="333333"/>
                <w:sz w:val="20"/>
                <w:szCs w:val="20"/>
              </w:rPr>
            </w:pPr>
            <w:r w:rsidRPr="00277350">
              <w:rPr>
                <w:rFonts w:ascii="Times New Roman" w:hAnsi="Times New Roman" w:cs="Times New Roman"/>
                <w:color w:val="424242"/>
                <w:sz w:val="20"/>
                <w:szCs w:val="20"/>
              </w:rPr>
              <w:t>906 (9.0)</w:t>
            </w:r>
          </w:p>
        </w:tc>
      </w:tr>
      <w:tr w:rsidR="0086036C" w:rsidRPr="00277350" w14:paraId="671D6BA2" w14:textId="77777777" w:rsidTr="002903D1">
        <w:trPr>
          <w:trHeight w:val="285"/>
        </w:trPr>
        <w:tc>
          <w:tcPr>
            <w:tcW w:w="2894" w:type="dxa"/>
            <w:noWrap/>
            <w:vAlign w:val="bottom"/>
          </w:tcPr>
          <w:p w14:paraId="45183FBB" w14:textId="77777777" w:rsidR="0086036C" w:rsidRPr="00277350" w:rsidRDefault="0086036C" w:rsidP="002903D1">
            <w:pPr>
              <w:rPr>
                <w:rFonts w:ascii="Times New Roman" w:hAnsi="Times New Roman" w:cs="Times New Roman"/>
                <w:i/>
                <w:iCs/>
              </w:rPr>
            </w:pPr>
            <w:r w:rsidRPr="00277350">
              <w:rPr>
                <w:rFonts w:ascii="Times New Roman" w:hAnsi="Times New Roman" w:cs="Times New Roman"/>
                <w:color w:val="424242"/>
                <w:sz w:val="21"/>
                <w:szCs w:val="21"/>
              </w:rPr>
              <w:t xml:space="preserve">Other, incl. </w:t>
            </w:r>
            <w:proofErr w:type="gramStart"/>
            <w:r w:rsidRPr="00277350">
              <w:rPr>
                <w:rFonts w:ascii="Times New Roman" w:hAnsi="Times New Roman" w:cs="Times New Roman"/>
                <w:color w:val="424242"/>
                <w:sz w:val="21"/>
                <w:szCs w:val="21"/>
              </w:rPr>
              <w:t>Multi-Racial</w:t>
            </w:r>
            <w:proofErr w:type="gramEnd"/>
          </w:p>
        </w:tc>
        <w:tc>
          <w:tcPr>
            <w:tcW w:w="1627" w:type="dxa"/>
            <w:noWrap/>
            <w:vAlign w:val="bottom"/>
          </w:tcPr>
          <w:p w14:paraId="4E51BC1A" w14:textId="77777777" w:rsidR="0086036C" w:rsidRPr="00277350" w:rsidRDefault="0086036C" w:rsidP="002903D1">
            <w:pPr>
              <w:rPr>
                <w:rFonts w:ascii="Times New Roman" w:hAnsi="Times New Roman" w:cs="Times New Roman"/>
                <w:sz w:val="20"/>
                <w:szCs w:val="20"/>
              </w:rPr>
            </w:pPr>
            <w:r w:rsidRPr="00277350">
              <w:rPr>
                <w:rFonts w:ascii="Times New Roman" w:hAnsi="Times New Roman" w:cs="Times New Roman"/>
                <w:color w:val="424242"/>
                <w:sz w:val="20"/>
                <w:szCs w:val="20"/>
              </w:rPr>
              <w:t xml:space="preserve">     778 (11.1)</w:t>
            </w:r>
          </w:p>
        </w:tc>
        <w:tc>
          <w:tcPr>
            <w:tcW w:w="1565" w:type="dxa"/>
            <w:noWrap/>
            <w:vAlign w:val="bottom"/>
          </w:tcPr>
          <w:p w14:paraId="30AA231D"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424242"/>
                <w:sz w:val="20"/>
                <w:szCs w:val="20"/>
              </w:rPr>
              <w:t>101 (8.9)</w:t>
            </w:r>
          </w:p>
        </w:tc>
        <w:tc>
          <w:tcPr>
            <w:tcW w:w="1566" w:type="dxa"/>
            <w:vAlign w:val="bottom"/>
          </w:tcPr>
          <w:p w14:paraId="0A11D812"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424242"/>
                <w:sz w:val="20"/>
                <w:szCs w:val="20"/>
              </w:rPr>
              <w:t>110 (9.0)</w:t>
            </w:r>
          </w:p>
        </w:tc>
        <w:tc>
          <w:tcPr>
            <w:tcW w:w="1569" w:type="dxa"/>
            <w:noWrap/>
            <w:vAlign w:val="bottom"/>
          </w:tcPr>
          <w:p w14:paraId="699AD76B"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424242"/>
                <w:sz w:val="20"/>
                <w:szCs w:val="20"/>
              </w:rPr>
              <w:t>43 (6.0)</w:t>
            </w:r>
          </w:p>
        </w:tc>
        <w:tc>
          <w:tcPr>
            <w:tcW w:w="1684" w:type="dxa"/>
            <w:vAlign w:val="bottom"/>
          </w:tcPr>
          <w:p w14:paraId="74471C81" w14:textId="77777777" w:rsidR="0086036C" w:rsidRPr="00277350" w:rsidRDefault="0086036C" w:rsidP="002903D1">
            <w:pPr>
              <w:jc w:val="center"/>
              <w:rPr>
                <w:rFonts w:ascii="Times New Roman" w:hAnsi="Times New Roman" w:cs="Times New Roman"/>
                <w:color w:val="333333"/>
                <w:sz w:val="20"/>
                <w:szCs w:val="20"/>
              </w:rPr>
            </w:pPr>
            <w:r w:rsidRPr="00277350">
              <w:rPr>
                <w:rFonts w:ascii="Times New Roman" w:hAnsi="Times New Roman" w:cs="Times New Roman"/>
                <w:color w:val="424242"/>
                <w:sz w:val="20"/>
                <w:szCs w:val="20"/>
              </w:rPr>
              <w:t>1,032 (10.3)</w:t>
            </w:r>
          </w:p>
        </w:tc>
      </w:tr>
      <w:tr w:rsidR="0086036C" w:rsidRPr="00277350" w14:paraId="0250035E" w14:textId="77777777" w:rsidTr="002903D1">
        <w:trPr>
          <w:trHeight w:val="285"/>
        </w:trPr>
        <w:tc>
          <w:tcPr>
            <w:tcW w:w="10905" w:type="dxa"/>
            <w:gridSpan w:val="6"/>
            <w:noWrap/>
            <w:vAlign w:val="bottom"/>
          </w:tcPr>
          <w:p w14:paraId="6EB71FE8" w14:textId="77777777" w:rsidR="0086036C" w:rsidRPr="00277350" w:rsidRDefault="0086036C" w:rsidP="002903D1">
            <w:pPr>
              <w:rPr>
                <w:rFonts w:ascii="Times New Roman" w:hAnsi="Times New Roman" w:cs="Times New Roman"/>
                <w:color w:val="333333"/>
              </w:rPr>
            </w:pPr>
            <w:r w:rsidRPr="00277350">
              <w:rPr>
                <w:rStyle w:val="Strong"/>
                <w:rFonts w:ascii="Times New Roman" w:hAnsi="Times New Roman" w:cs="Times New Roman"/>
                <w:color w:val="424242"/>
                <w:sz w:val="21"/>
                <w:szCs w:val="21"/>
                <w:bdr w:val="single" w:sz="2" w:space="0" w:color="E3E3E3" w:frame="1"/>
              </w:rPr>
              <w:t>Highest Educational Attainment</w:t>
            </w:r>
          </w:p>
        </w:tc>
      </w:tr>
      <w:tr w:rsidR="0086036C" w:rsidRPr="00277350" w14:paraId="29542E17" w14:textId="77777777" w:rsidTr="002903D1">
        <w:trPr>
          <w:trHeight w:val="285"/>
        </w:trPr>
        <w:tc>
          <w:tcPr>
            <w:tcW w:w="2894" w:type="dxa"/>
            <w:noWrap/>
            <w:vAlign w:val="bottom"/>
            <w:hideMark/>
          </w:tcPr>
          <w:p w14:paraId="529DD8D5" w14:textId="77777777" w:rsidR="0086036C" w:rsidRPr="00277350" w:rsidRDefault="0086036C" w:rsidP="002903D1">
            <w:pPr>
              <w:rPr>
                <w:rFonts w:ascii="Times New Roman" w:hAnsi="Times New Roman" w:cs="Times New Roman"/>
                <w:i/>
                <w:iCs/>
              </w:rPr>
            </w:pPr>
            <w:r w:rsidRPr="00277350">
              <w:rPr>
                <w:rFonts w:ascii="Times New Roman" w:hAnsi="Times New Roman" w:cs="Times New Roman"/>
                <w:color w:val="424242"/>
                <w:sz w:val="21"/>
                <w:szCs w:val="21"/>
              </w:rPr>
              <w:t>Less than 9</w:t>
            </w:r>
            <w:r w:rsidRPr="00277350">
              <w:rPr>
                <w:rFonts w:ascii="Times New Roman" w:hAnsi="Times New Roman" w:cs="Times New Roman"/>
                <w:color w:val="424242"/>
                <w:sz w:val="21"/>
                <w:szCs w:val="21"/>
                <w:vertAlign w:val="superscript"/>
              </w:rPr>
              <w:t>th</w:t>
            </w:r>
            <w:r w:rsidRPr="00277350">
              <w:rPr>
                <w:rFonts w:ascii="Times New Roman" w:hAnsi="Times New Roman" w:cs="Times New Roman"/>
                <w:color w:val="424242"/>
                <w:sz w:val="21"/>
                <w:szCs w:val="21"/>
              </w:rPr>
              <w:t xml:space="preserve"> Grade</w:t>
            </w:r>
          </w:p>
        </w:tc>
        <w:tc>
          <w:tcPr>
            <w:tcW w:w="1627" w:type="dxa"/>
            <w:noWrap/>
            <w:vAlign w:val="bottom"/>
            <w:hideMark/>
          </w:tcPr>
          <w:p w14:paraId="0C943941"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424242"/>
                <w:sz w:val="20"/>
                <w:szCs w:val="20"/>
              </w:rPr>
              <w:t>1,382 (19.7)</w:t>
            </w:r>
          </w:p>
        </w:tc>
        <w:tc>
          <w:tcPr>
            <w:tcW w:w="1565" w:type="dxa"/>
            <w:noWrap/>
            <w:vAlign w:val="bottom"/>
            <w:hideMark/>
          </w:tcPr>
          <w:p w14:paraId="2D651CE0"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424242"/>
                <w:sz w:val="20"/>
                <w:szCs w:val="20"/>
              </w:rPr>
              <w:t>396 (34.9)</w:t>
            </w:r>
          </w:p>
        </w:tc>
        <w:tc>
          <w:tcPr>
            <w:tcW w:w="1566" w:type="dxa"/>
            <w:vAlign w:val="bottom"/>
          </w:tcPr>
          <w:p w14:paraId="1B1181F0"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424242"/>
                <w:sz w:val="20"/>
                <w:szCs w:val="20"/>
              </w:rPr>
              <w:t>504 (41.4)</w:t>
            </w:r>
          </w:p>
        </w:tc>
        <w:tc>
          <w:tcPr>
            <w:tcW w:w="1569" w:type="dxa"/>
            <w:noWrap/>
            <w:vAlign w:val="bottom"/>
            <w:hideMark/>
          </w:tcPr>
          <w:p w14:paraId="09B28F62"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424242"/>
                <w:sz w:val="20"/>
                <w:szCs w:val="20"/>
              </w:rPr>
              <w:t>284 (39.4)</w:t>
            </w:r>
          </w:p>
        </w:tc>
        <w:tc>
          <w:tcPr>
            <w:tcW w:w="1684" w:type="dxa"/>
            <w:vAlign w:val="bottom"/>
          </w:tcPr>
          <w:p w14:paraId="2233691C" w14:textId="77777777" w:rsidR="0086036C" w:rsidRPr="00277350" w:rsidRDefault="0086036C" w:rsidP="002903D1">
            <w:pPr>
              <w:jc w:val="center"/>
              <w:rPr>
                <w:rFonts w:ascii="Times New Roman" w:hAnsi="Times New Roman" w:cs="Times New Roman"/>
                <w:color w:val="333333"/>
                <w:sz w:val="20"/>
                <w:szCs w:val="20"/>
              </w:rPr>
            </w:pPr>
            <w:r w:rsidRPr="00277350">
              <w:rPr>
                <w:rFonts w:ascii="Times New Roman" w:hAnsi="Times New Roman" w:cs="Times New Roman"/>
                <w:color w:val="424242"/>
                <w:sz w:val="20"/>
                <w:szCs w:val="20"/>
              </w:rPr>
              <w:t>2,566 (25.4)</w:t>
            </w:r>
          </w:p>
        </w:tc>
      </w:tr>
      <w:tr w:rsidR="0086036C" w:rsidRPr="00277350" w14:paraId="00A6AED5" w14:textId="77777777" w:rsidTr="002903D1">
        <w:trPr>
          <w:trHeight w:val="360"/>
        </w:trPr>
        <w:tc>
          <w:tcPr>
            <w:tcW w:w="2894" w:type="dxa"/>
            <w:noWrap/>
            <w:vAlign w:val="bottom"/>
            <w:hideMark/>
          </w:tcPr>
          <w:p w14:paraId="1D78F6CF" w14:textId="77777777" w:rsidR="0086036C" w:rsidRPr="00277350" w:rsidRDefault="0086036C" w:rsidP="002903D1">
            <w:pPr>
              <w:rPr>
                <w:rFonts w:ascii="Times New Roman" w:hAnsi="Times New Roman" w:cs="Times New Roman"/>
                <w:i/>
                <w:iCs/>
              </w:rPr>
            </w:pPr>
            <w:r w:rsidRPr="00277350">
              <w:rPr>
                <w:rFonts w:ascii="Times New Roman" w:hAnsi="Times New Roman" w:cs="Times New Roman"/>
                <w:color w:val="424242"/>
                <w:sz w:val="21"/>
                <w:szCs w:val="21"/>
              </w:rPr>
              <w:t>High School Graduate or Equivalent</w:t>
            </w:r>
          </w:p>
        </w:tc>
        <w:tc>
          <w:tcPr>
            <w:tcW w:w="1627" w:type="dxa"/>
            <w:noWrap/>
            <w:vAlign w:val="bottom"/>
            <w:hideMark/>
          </w:tcPr>
          <w:p w14:paraId="44A11D7E"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424242"/>
                <w:sz w:val="20"/>
                <w:szCs w:val="20"/>
              </w:rPr>
              <w:t>1,730 (24.6)</w:t>
            </w:r>
          </w:p>
        </w:tc>
        <w:tc>
          <w:tcPr>
            <w:tcW w:w="1565" w:type="dxa"/>
            <w:noWrap/>
            <w:vAlign w:val="center"/>
            <w:hideMark/>
          </w:tcPr>
          <w:p w14:paraId="73F550BF" w14:textId="77777777" w:rsidR="0086036C" w:rsidRPr="00277350" w:rsidRDefault="0086036C" w:rsidP="002903D1">
            <w:pPr>
              <w:jc w:val="center"/>
              <w:rPr>
                <w:rFonts w:ascii="Times New Roman" w:hAnsi="Times New Roman" w:cs="Times New Roman"/>
                <w:color w:val="333333"/>
                <w:sz w:val="20"/>
                <w:szCs w:val="20"/>
              </w:rPr>
            </w:pPr>
          </w:p>
          <w:p w14:paraId="2527B7C2"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333333"/>
                <w:sz w:val="20"/>
                <w:szCs w:val="20"/>
              </w:rPr>
              <w:t>320 (28.2)</w:t>
            </w:r>
          </w:p>
        </w:tc>
        <w:tc>
          <w:tcPr>
            <w:tcW w:w="1566" w:type="dxa"/>
            <w:vAlign w:val="center"/>
          </w:tcPr>
          <w:p w14:paraId="7FC1576D" w14:textId="77777777" w:rsidR="0086036C" w:rsidRPr="00277350" w:rsidRDefault="0086036C" w:rsidP="002903D1">
            <w:pPr>
              <w:jc w:val="center"/>
              <w:rPr>
                <w:rFonts w:ascii="Times New Roman" w:hAnsi="Times New Roman" w:cs="Times New Roman"/>
                <w:color w:val="333333"/>
                <w:sz w:val="20"/>
                <w:szCs w:val="20"/>
              </w:rPr>
            </w:pPr>
          </w:p>
          <w:p w14:paraId="3743FB84"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333333"/>
                <w:sz w:val="20"/>
                <w:szCs w:val="20"/>
              </w:rPr>
              <w:t>327 (26.8)</w:t>
            </w:r>
          </w:p>
        </w:tc>
        <w:tc>
          <w:tcPr>
            <w:tcW w:w="1569" w:type="dxa"/>
            <w:noWrap/>
            <w:vAlign w:val="center"/>
            <w:hideMark/>
          </w:tcPr>
          <w:p w14:paraId="4614C7A7" w14:textId="77777777" w:rsidR="0086036C" w:rsidRPr="00277350" w:rsidRDefault="0086036C" w:rsidP="002903D1">
            <w:pPr>
              <w:jc w:val="center"/>
              <w:rPr>
                <w:rFonts w:ascii="Times New Roman" w:hAnsi="Times New Roman" w:cs="Times New Roman"/>
                <w:color w:val="333333"/>
                <w:sz w:val="20"/>
                <w:szCs w:val="20"/>
              </w:rPr>
            </w:pPr>
          </w:p>
          <w:p w14:paraId="263C1D33"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333333"/>
                <w:sz w:val="20"/>
                <w:szCs w:val="20"/>
              </w:rPr>
              <w:t>197 (27.3)</w:t>
            </w:r>
          </w:p>
        </w:tc>
        <w:tc>
          <w:tcPr>
            <w:tcW w:w="1684" w:type="dxa"/>
            <w:vAlign w:val="bottom"/>
          </w:tcPr>
          <w:p w14:paraId="6B38E499" w14:textId="77777777" w:rsidR="0086036C" w:rsidRPr="00277350" w:rsidRDefault="0086036C" w:rsidP="002903D1">
            <w:pPr>
              <w:jc w:val="center"/>
              <w:rPr>
                <w:rFonts w:ascii="Times New Roman" w:hAnsi="Times New Roman" w:cs="Times New Roman"/>
                <w:color w:val="333333"/>
                <w:sz w:val="20"/>
                <w:szCs w:val="20"/>
              </w:rPr>
            </w:pPr>
            <w:r w:rsidRPr="00277350">
              <w:rPr>
                <w:rFonts w:ascii="Times New Roman" w:hAnsi="Times New Roman" w:cs="Times New Roman"/>
                <w:color w:val="424242"/>
                <w:sz w:val="20"/>
                <w:szCs w:val="20"/>
              </w:rPr>
              <w:t>2,574 (25.5)</w:t>
            </w:r>
          </w:p>
        </w:tc>
      </w:tr>
      <w:tr w:rsidR="0086036C" w:rsidRPr="00277350" w14:paraId="7FAAA7AF" w14:textId="77777777" w:rsidTr="002903D1">
        <w:trPr>
          <w:trHeight w:val="285"/>
        </w:trPr>
        <w:tc>
          <w:tcPr>
            <w:tcW w:w="2894" w:type="dxa"/>
            <w:noWrap/>
            <w:vAlign w:val="bottom"/>
            <w:hideMark/>
          </w:tcPr>
          <w:p w14:paraId="158DCE6A" w14:textId="77777777" w:rsidR="0086036C" w:rsidRPr="00277350" w:rsidRDefault="0086036C" w:rsidP="002903D1">
            <w:pPr>
              <w:rPr>
                <w:rFonts w:ascii="Times New Roman" w:hAnsi="Times New Roman" w:cs="Times New Roman"/>
                <w:i/>
                <w:iCs/>
              </w:rPr>
            </w:pPr>
            <w:r w:rsidRPr="00277350">
              <w:rPr>
                <w:rFonts w:ascii="Times New Roman" w:hAnsi="Times New Roman" w:cs="Times New Roman"/>
                <w:color w:val="424242"/>
                <w:sz w:val="21"/>
                <w:szCs w:val="21"/>
              </w:rPr>
              <w:t xml:space="preserve">Some </w:t>
            </w:r>
            <w:proofErr w:type="gramStart"/>
            <w:r w:rsidRPr="00277350">
              <w:rPr>
                <w:rFonts w:ascii="Times New Roman" w:hAnsi="Times New Roman" w:cs="Times New Roman"/>
                <w:color w:val="424242"/>
                <w:sz w:val="21"/>
                <w:szCs w:val="21"/>
              </w:rPr>
              <w:t>College</w:t>
            </w:r>
            <w:proofErr w:type="gramEnd"/>
          </w:p>
        </w:tc>
        <w:tc>
          <w:tcPr>
            <w:tcW w:w="1627" w:type="dxa"/>
            <w:noWrap/>
            <w:vAlign w:val="bottom"/>
            <w:hideMark/>
          </w:tcPr>
          <w:p w14:paraId="7C34725A"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424242"/>
                <w:sz w:val="20"/>
                <w:szCs w:val="20"/>
              </w:rPr>
              <w:t>1,939 (27.6)</w:t>
            </w:r>
          </w:p>
        </w:tc>
        <w:tc>
          <w:tcPr>
            <w:tcW w:w="1565" w:type="dxa"/>
            <w:noWrap/>
            <w:vAlign w:val="center"/>
            <w:hideMark/>
          </w:tcPr>
          <w:p w14:paraId="0313D4BB"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333333"/>
                <w:sz w:val="20"/>
                <w:szCs w:val="20"/>
              </w:rPr>
              <w:t>313 (27.6)</w:t>
            </w:r>
          </w:p>
        </w:tc>
        <w:tc>
          <w:tcPr>
            <w:tcW w:w="1566" w:type="dxa"/>
            <w:vAlign w:val="center"/>
          </w:tcPr>
          <w:p w14:paraId="2AD4C68D"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333333"/>
                <w:sz w:val="20"/>
                <w:szCs w:val="20"/>
              </w:rPr>
              <w:t>303 (24.9)</w:t>
            </w:r>
          </w:p>
        </w:tc>
        <w:tc>
          <w:tcPr>
            <w:tcW w:w="1569" w:type="dxa"/>
            <w:noWrap/>
            <w:vAlign w:val="center"/>
            <w:hideMark/>
          </w:tcPr>
          <w:p w14:paraId="3FD1E70B"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333333"/>
                <w:sz w:val="20"/>
                <w:szCs w:val="20"/>
              </w:rPr>
              <w:t>210 (29.1)</w:t>
            </w:r>
          </w:p>
        </w:tc>
        <w:tc>
          <w:tcPr>
            <w:tcW w:w="1684" w:type="dxa"/>
            <w:vAlign w:val="bottom"/>
          </w:tcPr>
          <w:p w14:paraId="729956FA" w14:textId="77777777" w:rsidR="0086036C" w:rsidRPr="00277350" w:rsidRDefault="0086036C" w:rsidP="002903D1">
            <w:pPr>
              <w:jc w:val="center"/>
              <w:rPr>
                <w:rFonts w:ascii="Times New Roman" w:hAnsi="Times New Roman" w:cs="Times New Roman"/>
                <w:color w:val="333333"/>
                <w:sz w:val="20"/>
                <w:szCs w:val="20"/>
              </w:rPr>
            </w:pPr>
            <w:r w:rsidRPr="00277350">
              <w:rPr>
                <w:rFonts w:ascii="Times New Roman" w:hAnsi="Times New Roman" w:cs="Times New Roman"/>
                <w:color w:val="424242"/>
                <w:sz w:val="20"/>
                <w:szCs w:val="20"/>
              </w:rPr>
              <w:t>2,756 (27.4)</w:t>
            </w:r>
          </w:p>
        </w:tc>
      </w:tr>
      <w:tr w:rsidR="0086036C" w:rsidRPr="00277350" w14:paraId="0C62A7A6" w14:textId="77777777" w:rsidTr="002903D1">
        <w:trPr>
          <w:trHeight w:val="285"/>
        </w:trPr>
        <w:tc>
          <w:tcPr>
            <w:tcW w:w="2894" w:type="dxa"/>
            <w:noWrap/>
            <w:vAlign w:val="bottom"/>
            <w:hideMark/>
          </w:tcPr>
          <w:p w14:paraId="50EFCFF2" w14:textId="77777777" w:rsidR="0086036C" w:rsidRPr="00277350" w:rsidRDefault="0086036C" w:rsidP="002903D1">
            <w:pPr>
              <w:rPr>
                <w:rFonts w:ascii="Times New Roman" w:hAnsi="Times New Roman" w:cs="Times New Roman"/>
                <w:i/>
                <w:iCs/>
              </w:rPr>
            </w:pPr>
            <w:r w:rsidRPr="00277350">
              <w:rPr>
                <w:rFonts w:ascii="Times New Roman" w:hAnsi="Times New Roman" w:cs="Times New Roman"/>
                <w:color w:val="424242"/>
                <w:sz w:val="21"/>
                <w:szCs w:val="21"/>
              </w:rPr>
              <w:t xml:space="preserve">College or </w:t>
            </w:r>
            <w:proofErr w:type="gramStart"/>
            <w:r w:rsidRPr="00277350">
              <w:rPr>
                <w:rFonts w:ascii="Times New Roman" w:hAnsi="Times New Roman" w:cs="Times New Roman"/>
                <w:color w:val="424242"/>
                <w:sz w:val="21"/>
                <w:szCs w:val="21"/>
              </w:rPr>
              <w:t>Above</w:t>
            </w:r>
            <w:proofErr w:type="gramEnd"/>
          </w:p>
        </w:tc>
        <w:tc>
          <w:tcPr>
            <w:tcW w:w="1627" w:type="dxa"/>
            <w:noWrap/>
            <w:vAlign w:val="bottom"/>
            <w:hideMark/>
          </w:tcPr>
          <w:p w14:paraId="1B095BFF"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424242"/>
                <w:sz w:val="20"/>
                <w:szCs w:val="20"/>
              </w:rPr>
              <w:t>1,968 (28.0)</w:t>
            </w:r>
          </w:p>
        </w:tc>
        <w:tc>
          <w:tcPr>
            <w:tcW w:w="1565" w:type="dxa"/>
            <w:noWrap/>
            <w:vAlign w:val="bottom"/>
            <w:hideMark/>
          </w:tcPr>
          <w:p w14:paraId="511AFA63"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424242"/>
                <w:sz w:val="20"/>
                <w:szCs w:val="20"/>
              </w:rPr>
              <w:t>107 (9.4)</w:t>
            </w:r>
          </w:p>
        </w:tc>
        <w:tc>
          <w:tcPr>
            <w:tcW w:w="1566" w:type="dxa"/>
            <w:vAlign w:val="bottom"/>
          </w:tcPr>
          <w:p w14:paraId="13047D03"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424242"/>
                <w:sz w:val="20"/>
                <w:szCs w:val="20"/>
              </w:rPr>
              <w:t>84 (6.9)</w:t>
            </w:r>
          </w:p>
        </w:tc>
        <w:tc>
          <w:tcPr>
            <w:tcW w:w="1569" w:type="dxa"/>
            <w:noWrap/>
            <w:vAlign w:val="bottom"/>
            <w:hideMark/>
          </w:tcPr>
          <w:p w14:paraId="2E3C95C9"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424242"/>
                <w:sz w:val="20"/>
                <w:szCs w:val="20"/>
              </w:rPr>
              <w:t>30 (4.2)</w:t>
            </w:r>
          </w:p>
        </w:tc>
        <w:tc>
          <w:tcPr>
            <w:tcW w:w="1684" w:type="dxa"/>
            <w:vAlign w:val="bottom"/>
          </w:tcPr>
          <w:p w14:paraId="654B149D" w14:textId="77777777" w:rsidR="0086036C" w:rsidRPr="00277350" w:rsidRDefault="0086036C" w:rsidP="002903D1">
            <w:pPr>
              <w:jc w:val="center"/>
              <w:rPr>
                <w:rFonts w:ascii="Times New Roman" w:hAnsi="Times New Roman" w:cs="Times New Roman"/>
                <w:color w:val="333333"/>
                <w:sz w:val="20"/>
                <w:szCs w:val="20"/>
              </w:rPr>
            </w:pPr>
            <w:r w:rsidRPr="00277350">
              <w:rPr>
                <w:rFonts w:ascii="Times New Roman" w:hAnsi="Times New Roman" w:cs="Times New Roman"/>
                <w:color w:val="424242"/>
                <w:sz w:val="20"/>
                <w:szCs w:val="20"/>
              </w:rPr>
              <w:t>2,189 (21.7)</w:t>
            </w:r>
          </w:p>
        </w:tc>
      </w:tr>
      <w:tr w:rsidR="0086036C" w:rsidRPr="00277350" w14:paraId="364EAEB4" w14:textId="77777777" w:rsidTr="002903D1">
        <w:trPr>
          <w:trHeight w:val="285"/>
        </w:trPr>
        <w:tc>
          <w:tcPr>
            <w:tcW w:w="10905" w:type="dxa"/>
            <w:gridSpan w:val="6"/>
            <w:noWrap/>
            <w:vAlign w:val="bottom"/>
          </w:tcPr>
          <w:p w14:paraId="3FC65243" w14:textId="77777777" w:rsidR="0086036C" w:rsidRPr="00277350" w:rsidRDefault="0086036C" w:rsidP="002903D1">
            <w:pPr>
              <w:rPr>
                <w:rFonts w:ascii="Times New Roman" w:hAnsi="Times New Roman" w:cs="Times New Roman"/>
                <w:b/>
                <w:bCs/>
                <w:color w:val="333333"/>
                <w:sz w:val="21"/>
                <w:szCs w:val="21"/>
              </w:rPr>
            </w:pPr>
            <w:r w:rsidRPr="00277350">
              <w:rPr>
                <w:rFonts w:ascii="Times New Roman" w:hAnsi="Times New Roman" w:cs="Times New Roman"/>
                <w:b/>
                <w:bCs/>
                <w:color w:val="333333"/>
                <w:sz w:val="21"/>
                <w:szCs w:val="21"/>
              </w:rPr>
              <w:t>Poverty Income Ratio</w:t>
            </w:r>
          </w:p>
        </w:tc>
      </w:tr>
      <w:tr w:rsidR="0086036C" w:rsidRPr="00277350" w14:paraId="1BDEB3EC" w14:textId="77777777" w:rsidTr="002903D1">
        <w:trPr>
          <w:trHeight w:val="285"/>
        </w:trPr>
        <w:tc>
          <w:tcPr>
            <w:tcW w:w="2894" w:type="dxa"/>
            <w:noWrap/>
            <w:vAlign w:val="bottom"/>
            <w:hideMark/>
          </w:tcPr>
          <w:p w14:paraId="03910B7B" w14:textId="77777777" w:rsidR="0086036C" w:rsidRPr="00277350" w:rsidRDefault="0086036C" w:rsidP="002903D1">
            <w:pPr>
              <w:rPr>
                <w:rFonts w:ascii="Times New Roman" w:hAnsi="Times New Roman" w:cs="Times New Roman"/>
                <w:i/>
                <w:iCs/>
              </w:rPr>
            </w:pPr>
            <w:r w:rsidRPr="00277350">
              <w:rPr>
                <w:rFonts w:ascii="Times New Roman" w:hAnsi="Times New Roman" w:cs="Times New Roman"/>
                <w:color w:val="424242"/>
                <w:sz w:val="21"/>
                <w:szCs w:val="21"/>
              </w:rPr>
              <w:t>Low Poverty</w:t>
            </w:r>
          </w:p>
        </w:tc>
        <w:tc>
          <w:tcPr>
            <w:tcW w:w="1627" w:type="dxa"/>
            <w:noWrap/>
            <w:vAlign w:val="center"/>
            <w:hideMark/>
          </w:tcPr>
          <w:p w14:paraId="6E722A39"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333333"/>
                <w:sz w:val="20"/>
                <w:szCs w:val="20"/>
              </w:rPr>
              <w:t>993 (14.1%)</w:t>
            </w:r>
          </w:p>
        </w:tc>
        <w:tc>
          <w:tcPr>
            <w:tcW w:w="1565" w:type="dxa"/>
            <w:noWrap/>
            <w:vAlign w:val="center"/>
            <w:hideMark/>
          </w:tcPr>
          <w:p w14:paraId="2CCAC3EB"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333333"/>
                <w:sz w:val="20"/>
                <w:szCs w:val="20"/>
              </w:rPr>
              <w:t>397 (34.9%)</w:t>
            </w:r>
          </w:p>
        </w:tc>
        <w:tc>
          <w:tcPr>
            <w:tcW w:w="1566" w:type="dxa"/>
            <w:vAlign w:val="center"/>
          </w:tcPr>
          <w:p w14:paraId="79CAE7E8"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333333"/>
                <w:sz w:val="20"/>
                <w:szCs w:val="20"/>
              </w:rPr>
              <w:t>528 (43.3%)</w:t>
            </w:r>
          </w:p>
        </w:tc>
        <w:tc>
          <w:tcPr>
            <w:tcW w:w="1569" w:type="dxa"/>
            <w:noWrap/>
            <w:vAlign w:val="center"/>
            <w:hideMark/>
          </w:tcPr>
          <w:p w14:paraId="782FB1CE"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333333"/>
                <w:sz w:val="20"/>
                <w:szCs w:val="20"/>
              </w:rPr>
              <w:t>375 (52.0%)</w:t>
            </w:r>
          </w:p>
        </w:tc>
        <w:tc>
          <w:tcPr>
            <w:tcW w:w="1684" w:type="dxa"/>
            <w:vAlign w:val="bottom"/>
          </w:tcPr>
          <w:p w14:paraId="58C515B5" w14:textId="77777777" w:rsidR="0086036C" w:rsidRPr="00277350" w:rsidRDefault="0086036C" w:rsidP="002903D1">
            <w:pPr>
              <w:jc w:val="center"/>
              <w:rPr>
                <w:rFonts w:ascii="Times New Roman" w:hAnsi="Times New Roman" w:cs="Times New Roman"/>
                <w:color w:val="333333"/>
                <w:sz w:val="20"/>
                <w:szCs w:val="20"/>
              </w:rPr>
            </w:pPr>
            <w:r w:rsidRPr="00277350">
              <w:rPr>
                <w:rFonts w:ascii="Times New Roman" w:hAnsi="Times New Roman" w:cs="Times New Roman"/>
                <w:color w:val="333333"/>
                <w:sz w:val="20"/>
                <w:szCs w:val="20"/>
                <w:shd w:val="clear" w:color="auto" w:fill="FFFFFF"/>
              </w:rPr>
              <w:t>2,293 (22.7%)</w:t>
            </w:r>
          </w:p>
        </w:tc>
      </w:tr>
      <w:tr w:rsidR="0086036C" w:rsidRPr="00277350" w14:paraId="139A13E3" w14:textId="77777777" w:rsidTr="002903D1">
        <w:trPr>
          <w:trHeight w:val="285"/>
        </w:trPr>
        <w:tc>
          <w:tcPr>
            <w:tcW w:w="2894" w:type="dxa"/>
            <w:noWrap/>
            <w:vAlign w:val="bottom"/>
            <w:hideMark/>
          </w:tcPr>
          <w:p w14:paraId="49A91F2E" w14:textId="77777777" w:rsidR="0086036C" w:rsidRPr="00277350" w:rsidRDefault="0086036C" w:rsidP="002903D1">
            <w:pPr>
              <w:rPr>
                <w:rFonts w:ascii="Times New Roman" w:hAnsi="Times New Roman" w:cs="Times New Roman"/>
                <w:i/>
                <w:iCs/>
              </w:rPr>
            </w:pPr>
            <w:r w:rsidRPr="00277350">
              <w:rPr>
                <w:rFonts w:ascii="Times New Roman" w:hAnsi="Times New Roman" w:cs="Times New Roman"/>
                <w:color w:val="424242"/>
                <w:sz w:val="21"/>
                <w:szCs w:val="21"/>
              </w:rPr>
              <w:t>Near Poverty</w:t>
            </w:r>
          </w:p>
        </w:tc>
        <w:tc>
          <w:tcPr>
            <w:tcW w:w="1627" w:type="dxa"/>
            <w:noWrap/>
            <w:vAlign w:val="center"/>
            <w:hideMark/>
          </w:tcPr>
          <w:p w14:paraId="781DF542"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333333"/>
                <w:sz w:val="20"/>
                <w:szCs w:val="20"/>
              </w:rPr>
              <w:t>1,560 (22.2%)</w:t>
            </w:r>
          </w:p>
        </w:tc>
        <w:tc>
          <w:tcPr>
            <w:tcW w:w="1565" w:type="dxa"/>
            <w:noWrap/>
            <w:vAlign w:val="center"/>
            <w:hideMark/>
          </w:tcPr>
          <w:p w14:paraId="3056E51B"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333333"/>
                <w:sz w:val="20"/>
                <w:szCs w:val="20"/>
              </w:rPr>
              <w:t>405 (35.7%)</w:t>
            </w:r>
          </w:p>
        </w:tc>
        <w:tc>
          <w:tcPr>
            <w:tcW w:w="1566" w:type="dxa"/>
            <w:vAlign w:val="center"/>
          </w:tcPr>
          <w:p w14:paraId="10A00784"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333333"/>
                <w:sz w:val="20"/>
                <w:szCs w:val="20"/>
              </w:rPr>
              <w:t>458 (37.6%)</w:t>
            </w:r>
          </w:p>
        </w:tc>
        <w:tc>
          <w:tcPr>
            <w:tcW w:w="1569" w:type="dxa"/>
            <w:noWrap/>
            <w:vAlign w:val="center"/>
            <w:hideMark/>
          </w:tcPr>
          <w:p w14:paraId="664D0A19"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333333"/>
                <w:sz w:val="20"/>
                <w:szCs w:val="20"/>
              </w:rPr>
              <w:t>262 (36.3%)</w:t>
            </w:r>
          </w:p>
        </w:tc>
        <w:tc>
          <w:tcPr>
            <w:tcW w:w="1684" w:type="dxa"/>
            <w:vAlign w:val="bottom"/>
          </w:tcPr>
          <w:p w14:paraId="3489554C" w14:textId="77777777" w:rsidR="0086036C" w:rsidRPr="00277350" w:rsidRDefault="0086036C" w:rsidP="002903D1">
            <w:pPr>
              <w:jc w:val="center"/>
              <w:rPr>
                <w:rFonts w:ascii="Times New Roman" w:hAnsi="Times New Roman" w:cs="Times New Roman"/>
                <w:color w:val="333333"/>
                <w:sz w:val="20"/>
                <w:szCs w:val="20"/>
              </w:rPr>
            </w:pPr>
            <w:r w:rsidRPr="00277350">
              <w:rPr>
                <w:rFonts w:ascii="Times New Roman" w:hAnsi="Times New Roman" w:cs="Times New Roman"/>
                <w:color w:val="333333"/>
                <w:sz w:val="20"/>
                <w:szCs w:val="20"/>
                <w:shd w:val="clear" w:color="auto" w:fill="FFFFFF"/>
              </w:rPr>
              <w:t>2,685 (26.6%)</w:t>
            </w:r>
          </w:p>
        </w:tc>
      </w:tr>
      <w:tr w:rsidR="0086036C" w:rsidRPr="00277350" w14:paraId="51D7EBAE" w14:textId="77777777" w:rsidTr="002903D1">
        <w:trPr>
          <w:trHeight w:val="285"/>
        </w:trPr>
        <w:tc>
          <w:tcPr>
            <w:tcW w:w="2894" w:type="dxa"/>
            <w:noWrap/>
            <w:vAlign w:val="bottom"/>
            <w:hideMark/>
          </w:tcPr>
          <w:p w14:paraId="18F9A5B0" w14:textId="77777777" w:rsidR="0086036C" w:rsidRPr="00277350" w:rsidRDefault="0086036C" w:rsidP="002903D1">
            <w:pPr>
              <w:rPr>
                <w:rFonts w:ascii="Times New Roman" w:hAnsi="Times New Roman" w:cs="Times New Roman"/>
                <w:i/>
                <w:iCs/>
              </w:rPr>
            </w:pPr>
            <w:r w:rsidRPr="00277350">
              <w:rPr>
                <w:rFonts w:ascii="Times New Roman" w:hAnsi="Times New Roman" w:cs="Times New Roman"/>
                <w:color w:val="424242"/>
                <w:sz w:val="21"/>
                <w:szCs w:val="21"/>
              </w:rPr>
              <w:t>Middle Income</w:t>
            </w:r>
          </w:p>
        </w:tc>
        <w:tc>
          <w:tcPr>
            <w:tcW w:w="1627" w:type="dxa"/>
            <w:noWrap/>
            <w:vAlign w:val="center"/>
            <w:hideMark/>
          </w:tcPr>
          <w:p w14:paraId="3C560995"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333333"/>
                <w:sz w:val="20"/>
                <w:szCs w:val="20"/>
              </w:rPr>
              <w:t>1,085 (15.5%)</w:t>
            </w:r>
          </w:p>
        </w:tc>
        <w:tc>
          <w:tcPr>
            <w:tcW w:w="1565" w:type="dxa"/>
            <w:noWrap/>
            <w:vAlign w:val="center"/>
            <w:hideMark/>
          </w:tcPr>
          <w:p w14:paraId="4BBA7F41"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333333"/>
                <w:sz w:val="20"/>
                <w:szCs w:val="20"/>
              </w:rPr>
              <w:t>178 (15.7%)</w:t>
            </w:r>
          </w:p>
        </w:tc>
        <w:tc>
          <w:tcPr>
            <w:tcW w:w="1566" w:type="dxa"/>
            <w:vAlign w:val="center"/>
          </w:tcPr>
          <w:p w14:paraId="4CB0D08E"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333333"/>
                <w:sz w:val="20"/>
                <w:szCs w:val="20"/>
              </w:rPr>
              <w:t>127 (10.4%)</w:t>
            </w:r>
          </w:p>
        </w:tc>
        <w:tc>
          <w:tcPr>
            <w:tcW w:w="1569" w:type="dxa"/>
            <w:noWrap/>
            <w:vAlign w:val="center"/>
            <w:hideMark/>
          </w:tcPr>
          <w:p w14:paraId="363DBFAA"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333333"/>
                <w:sz w:val="20"/>
                <w:szCs w:val="20"/>
              </w:rPr>
              <w:t>53 (7.4%)</w:t>
            </w:r>
          </w:p>
        </w:tc>
        <w:tc>
          <w:tcPr>
            <w:tcW w:w="1684" w:type="dxa"/>
            <w:vAlign w:val="bottom"/>
          </w:tcPr>
          <w:p w14:paraId="79EE9BB2" w14:textId="77777777" w:rsidR="0086036C" w:rsidRPr="00277350" w:rsidRDefault="0086036C" w:rsidP="002903D1">
            <w:pPr>
              <w:jc w:val="center"/>
              <w:rPr>
                <w:rFonts w:ascii="Times New Roman" w:hAnsi="Times New Roman" w:cs="Times New Roman"/>
                <w:color w:val="333333"/>
                <w:sz w:val="20"/>
                <w:szCs w:val="20"/>
              </w:rPr>
            </w:pPr>
            <w:r w:rsidRPr="00277350">
              <w:rPr>
                <w:rFonts w:ascii="Times New Roman" w:hAnsi="Times New Roman" w:cs="Times New Roman"/>
                <w:color w:val="333333"/>
                <w:sz w:val="20"/>
                <w:szCs w:val="20"/>
                <w:shd w:val="clear" w:color="auto" w:fill="FFFFFF"/>
              </w:rPr>
              <w:t>1,443 (14.3%)</w:t>
            </w:r>
          </w:p>
        </w:tc>
      </w:tr>
      <w:tr w:rsidR="0086036C" w:rsidRPr="00277350" w14:paraId="5A3F1140" w14:textId="77777777" w:rsidTr="002903D1">
        <w:trPr>
          <w:trHeight w:val="285"/>
        </w:trPr>
        <w:tc>
          <w:tcPr>
            <w:tcW w:w="2894" w:type="dxa"/>
            <w:noWrap/>
            <w:vAlign w:val="bottom"/>
          </w:tcPr>
          <w:p w14:paraId="63796154" w14:textId="77777777" w:rsidR="0086036C" w:rsidRPr="00277350" w:rsidRDefault="0086036C" w:rsidP="002903D1">
            <w:pPr>
              <w:rPr>
                <w:rFonts w:ascii="Times New Roman" w:hAnsi="Times New Roman" w:cs="Times New Roman"/>
                <w:color w:val="424242"/>
                <w:sz w:val="21"/>
                <w:szCs w:val="21"/>
              </w:rPr>
            </w:pPr>
            <w:r w:rsidRPr="00277350">
              <w:rPr>
                <w:rFonts w:ascii="Times New Roman" w:hAnsi="Times New Roman" w:cs="Times New Roman"/>
                <w:color w:val="424242"/>
                <w:sz w:val="21"/>
                <w:szCs w:val="21"/>
              </w:rPr>
              <w:t>Upper-Middle Income</w:t>
            </w:r>
          </w:p>
        </w:tc>
        <w:tc>
          <w:tcPr>
            <w:tcW w:w="1627" w:type="dxa"/>
            <w:noWrap/>
            <w:vAlign w:val="center"/>
          </w:tcPr>
          <w:p w14:paraId="4297BBAB" w14:textId="77777777" w:rsidR="0086036C" w:rsidRPr="00277350" w:rsidRDefault="0086036C" w:rsidP="002903D1">
            <w:pPr>
              <w:jc w:val="center"/>
              <w:rPr>
                <w:rFonts w:ascii="Times New Roman" w:hAnsi="Times New Roman" w:cs="Times New Roman"/>
                <w:color w:val="333333"/>
                <w:sz w:val="20"/>
                <w:szCs w:val="20"/>
              </w:rPr>
            </w:pPr>
            <w:r w:rsidRPr="00277350">
              <w:rPr>
                <w:rFonts w:ascii="Times New Roman" w:hAnsi="Times New Roman" w:cs="Times New Roman"/>
                <w:color w:val="333333"/>
                <w:sz w:val="20"/>
                <w:szCs w:val="20"/>
              </w:rPr>
              <w:t>1,679 (23.9%)</w:t>
            </w:r>
          </w:p>
        </w:tc>
        <w:tc>
          <w:tcPr>
            <w:tcW w:w="1565" w:type="dxa"/>
            <w:noWrap/>
            <w:vAlign w:val="center"/>
          </w:tcPr>
          <w:p w14:paraId="52075507" w14:textId="77777777" w:rsidR="0086036C" w:rsidRPr="00277350" w:rsidRDefault="0086036C" w:rsidP="002903D1">
            <w:pPr>
              <w:jc w:val="center"/>
              <w:rPr>
                <w:rFonts w:ascii="Times New Roman" w:hAnsi="Times New Roman" w:cs="Times New Roman"/>
                <w:color w:val="333333"/>
                <w:sz w:val="20"/>
                <w:szCs w:val="20"/>
              </w:rPr>
            </w:pPr>
            <w:r w:rsidRPr="00277350">
              <w:rPr>
                <w:rFonts w:ascii="Times New Roman" w:hAnsi="Times New Roman" w:cs="Times New Roman"/>
                <w:color w:val="333333"/>
                <w:sz w:val="20"/>
                <w:szCs w:val="20"/>
              </w:rPr>
              <w:t>124 (10.9%)</w:t>
            </w:r>
          </w:p>
        </w:tc>
        <w:tc>
          <w:tcPr>
            <w:tcW w:w="1566" w:type="dxa"/>
            <w:vAlign w:val="center"/>
          </w:tcPr>
          <w:p w14:paraId="7E55D970" w14:textId="77777777" w:rsidR="0086036C" w:rsidRPr="00277350" w:rsidRDefault="0086036C" w:rsidP="002903D1">
            <w:pPr>
              <w:jc w:val="center"/>
              <w:rPr>
                <w:rFonts w:ascii="Times New Roman" w:hAnsi="Times New Roman" w:cs="Times New Roman"/>
                <w:color w:val="333333"/>
                <w:sz w:val="20"/>
                <w:szCs w:val="20"/>
              </w:rPr>
            </w:pPr>
            <w:r w:rsidRPr="00277350">
              <w:rPr>
                <w:rFonts w:ascii="Times New Roman" w:hAnsi="Times New Roman" w:cs="Times New Roman"/>
                <w:color w:val="333333"/>
                <w:sz w:val="20"/>
                <w:szCs w:val="20"/>
              </w:rPr>
              <w:t>91 (7.5%)</w:t>
            </w:r>
          </w:p>
        </w:tc>
        <w:tc>
          <w:tcPr>
            <w:tcW w:w="1569" w:type="dxa"/>
            <w:noWrap/>
            <w:vAlign w:val="center"/>
          </w:tcPr>
          <w:p w14:paraId="3E838D1B" w14:textId="77777777" w:rsidR="0086036C" w:rsidRPr="00277350" w:rsidRDefault="0086036C" w:rsidP="002903D1">
            <w:pPr>
              <w:jc w:val="center"/>
              <w:rPr>
                <w:rFonts w:ascii="Times New Roman" w:hAnsi="Times New Roman" w:cs="Times New Roman"/>
                <w:color w:val="333333"/>
                <w:sz w:val="20"/>
                <w:szCs w:val="20"/>
              </w:rPr>
            </w:pPr>
            <w:r w:rsidRPr="00277350">
              <w:rPr>
                <w:rFonts w:ascii="Times New Roman" w:hAnsi="Times New Roman" w:cs="Times New Roman"/>
                <w:color w:val="333333"/>
                <w:sz w:val="20"/>
                <w:szCs w:val="20"/>
              </w:rPr>
              <w:t>27 (3.7%)</w:t>
            </w:r>
          </w:p>
        </w:tc>
        <w:tc>
          <w:tcPr>
            <w:tcW w:w="1684" w:type="dxa"/>
            <w:vAlign w:val="bottom"/>
          </w:tcPr>
          <w:p w14:paraId="57C9228B" w14:textId="77777777" w:rsidR="0086036C" w:rsidRPr="00277350" w:rsidRDefault="0086036C" w:rsidP="002903D1">
            <w:pPr>
              <w:jc w:val="center"/>
              <w:rPr>
                <w:rFonts w:ascii="Times New Roman" w:hAnsi="Times New Roman" w:cs="Times New Roman"/>
                <w:color w:val="424242"/>
                <w:sz w:val="20"/>
                <w:szCs w:val="20"/>
              </w:rPr>
            </w:pPr>
            <w:r w:rsidRPr="00277350">
              <w:rPr>
                <w:rFonts w:ascii="Times New Roman" w:hAnsi="Times New Roman" w:cs="Times New Roman"/>
                <w:color w:val="333333"/>
                <w:sz w:val="20"/>
                <w:szCs w:val="20"/>
                <w:shd w:val="clear" w:color="auto" w:fill="FFFFFF"/>
              </w:rPr>
              <w:t>1,921 (19.0%)</w:t>
            </w:r>
          </w:p>
        </w:tc>
      </w:tr>
      <w:tr w:rsidR="0086036C" w:rsidRPr="00277350" w14:paraId="09F7C850" w14:textId="77777777" w:rsidTr="002903D1">
        <w:trPr>
          <w:trHeight w:val="285"/>
        </w:trPr>
        <w:tc>
          <w:tcPr>
            <w:tcW w:w="2894" w:type="dxa"/>
            <w:noWrap/>
            <w:vAlign w:val="bottom"/>
          </w:tcPr>
          <w:p w14:paraId="4085AD86" w14:textId="77777777" w:rsidR="0086036C" w:rsidRPr="00277350" w:rsidRDefault="0086036C" w:rsidP="002903D1">
            <w:pPr>
              <w:rPr>
                <w:rFonts w:ascii="Times New Roman" w:hAnsi="Times New Roman" w:cs="Times New Roman"/>
                <w:color w:val="424242"/>
                <w:sz w:val="21"/>
                <w:szCs w:val="21"/>
              </w:rPr>
            </w:pPr>
            <w:r w:rsidRPr="00277350">
              <w:rPr>
                <w:rFonts w:ascii="Times New Roman" w:hAnsi="Times New Roman" w:cs="Times New Roman"/>
                <w:color w:val="424242"/>
                <w:sz w:val="21"/>
                <w:szCs w:val="21"/>
              </w:rPr>
              <w:t>High Income</w:t>
            </w:r>
          </w:p>
        </w:tc>
        <w:tc>
          <w:tcPr>
            <w:tcW w:w="1627" w:type="dxa"/>
            <w:noWrap/>
            <w:vAlign w:val="center"/>
          </w:tcPr>
          <w:p w14:paraId="635ECF62" w14:textId="77777777" w:rsidR="0086036C" w:rsidRPr="00277350" w:rsidRDefault="0086036C" w:rsidP="002903D1">
            <w:pPr>
              <w:jc w:val="center"/>
              <w:rPr>
                <w:rFonts w:ascii="Times New Roman" w:hAnsi="Times New Roman" w:cs="Times New Roman"/>
                <w:color w:val="333333"/>
                <w:sz w:val="20"/>
                <w:szCs w:val="20"/>
              </w:rPr>
            </w:pPr>
            <w:r w:rsidRPr="00277350">
              <w:rPr>
                <w:rFonts w:ascii="Times New Roman" w:hAnsi="Times New Roman" w:cs="Times New Roman"/>
                <w:color w:val="333333"/>
                <w:sz w:val="20"/>
                <w:szCs w:val="20"/>
              </w:rPr>
              <w:t>1,702 (24.2%)</w:t>
            </w:r>
          </w:p>
        </w:tc>
        <w:tc>
          <w:tcPr>
            <w:tcW w:w="1565" w:type="dxa"/>
            <w:noWrap/>
            <w:vAlign w:val="center"/>
          </w:tcPr>
          <w:p w14:paraId="4746DD69" w14:textId="77777777" w:rsidR="0086036C" w:rsidRPr="00277350" w:rsidRDefault="0086036C" w:rsidP="002903D1">
            <w:pPr>
              <w:jc w:val="center"/>
              <w:rPr>
                <w:rFonts w:ascii="Times New Roman" w:hAnsi="Times New Roman" w:cs="Times New Roman"/>
                <w:color w:val="333333"/>
                <w:sz w:val="20"/>
                <w:szCs w:val="20"/>
              </w:rPr>
            </w:pPr>
            <w:r w:rsidRPr="00277350">
              <w:rPr>
                <w:rFonts w:ascii="Times New Roman" w:hAnsi="Times New Roman" w:cs="Times New Roman"/>
                <w:color w:val="333333"/>
                <w:sz w:val="20"/>
                <w:szCs w:val="20"/>
              </w:rPr>
              <w:t>32 (2.8%)</w:t>
            </w:r>
          </w:p>
        </w:tc>
        <w:tc>
          <w:tcPr>
            <w:tcW w:w="1566" w:type="dxa"/>
            <w:vAlign w:val="center"/>
          </w:tcPr>
          <w:p w14:paraId="04A8D3D3" w14:textId="77777777" w:rsidR="0086036C" w:rsidRPr="00277350" w:rsidRDefault="0086036C" w:rsidP="002903D1">
            <w:pPr>
              <w:jc w:val="center"/>
              <w:rPr>
                <w:rFonts w:ascii="Times New Roman" w:hAnsi="Times New Roman" w:cs="Times New Roman"/>
                <w:color w:val="333333"/>
                <w:sz w:val="20"/>
                <w:szCs w:val="20"/>
              </w:rPr>
            </w:pPr>
            <w:r w:rsidRPr="00277350">
              <w:rPr>
                <w:rFonts w:ascii="Times New Roman" w:hAnsi="Times New Roman" w:cs="Times New Roman"/>
                <w:color w:val="333333"/>
                <w:sz w:val="20"/>
                <w:szCs w:val="20"/>
              </w:rPr>
              <w:t>14 (1.1%)</w:t>
            </w:r>
          </w:p>
        </w:tc>
        <w:tc>
          <w:tcPr>
            <w:tcW w:w="1569" w:type="dxa"/>
            <w:noWrap/>
            <w:vAlign w:val="center"/>
          </w:tcPr>
          <w:p w14:paraId="5BD2EE7D" w14:textId="77777777" w:rsidR="0086036C" w:rsidRPr="00277350" w:rsidRDefault="0086036C" w:rsidP="002903D1">
            <w:pPr>
              <w:jc w:val="center"/>
              <w:rPr>
                <w:rFonts w:ascii="Times New Roman" w:hAnsi="Times New Roman" w:cs="Times New Roman"/>
                <w:color w:val="333333"/>
                <w:sz w:val="20"/>
                <w:szCs w:val="20"/>
              </w:rPr>
            </w:pPr>
            <w:r w:rsidRPr="00277350">
              <w:rPr>
                <w:rFonts w:ascii="Times New Roman" w:hAnsi="Times New Roman" w:cs="Times New Roman"/>
                <w:color w:val="333333"/>
                <w:sz w:val="20"/>
                <w:szCs w:val="20"/>
              </w:rPr>
              <w:t>4 (0.6%)</w:t>
            </w:r>
          </w:p>
        </w:tc>
        <w:tc>
          <w:tcPr>
            <w:tcW w:w="1684" w:type="dxa"/>
            <w:vAlign w:val="bottom"/>
          </w:tcPr>
          <w:p w14:paraId="46140B06" w14:textId="77777777" w:rsidR="0086036C" w:rsidRPr="00277350" w:rsidRDefault="0086036C" w:rsidP="002903D1">
            <w:pPr>
              <w:jc w:val="center"/>
              <w:rPr>
                <w:rFonts w:ascii="Times New Roman" w:hAnsi="Times New Roman" w:cs="Times New Roman"/>
                <w:color w:val="424242"/>
                <w:sz w:val="20"/>
                <w:szCs w:val="20"/>
              </w:rPr>
            </w:pPr>
            <w:r w:rsidRPr="00277350">
              <w:rPr>
                <w:rFonts w:ascii="Times New Roman" w:hAnsi="Times New Roman" w:cs="Times New Roman"/>
                <w:color w:val="333333"/>
                <w:sz w:val="20"/>
                <w:szCs w:val="20"/>
                <w:shd w:val="clear" w:color="auto" w:fill="FFFFFF"/>
              </w:rPr>
              <w:t>1,752 (17.4%)</w:t>
            </w:r>
          </w:p>
        </w:tc>
      </w:tr>
      <w:tr w:rsidR="0086036C" w:rsidRPr="00277350" w14:paraId="5B55B7D8" w14:textId="77777777" w:rsidTr="002903D1">
        <w:trPr>
          <w:trHeight w:val="285"/>
        </w:trPr>
        <w:tc>
          <w:tcPr>
            <w:tcW w:w="2894" w:type="dxa"/>
            <w:noWrap/>
            <w:vAlign w:val="bottom"/>
          </w:tcPr>
          <w:p w14:paraId="01CC6475" w14:textId="77777777" w:rsidR="0086036C" w:rsidRPr="00277350" w:rsidRDefault="0086036C" w:rsidP="002903D1">
            <w:pPr>
              <w:rPr>
                <w:rFonts w:ascii="Times New Roman" w:hAnsi="Times New Roman" w:cs="Times New Roman"/>
                <w:b/>
                <w:bCs/>
              </w:rPr>
            </w:pPr>
            <w:r w:rsidRPr="00277350">
              <w:rPr>
                <w:rStyle w:val="Strong"/>
                <w:rFonts w:ascii="Times New Roman" w:hAnsi="Times New Roman" w:cs="Times New Roman"/>
                <w:color w:val="424242"/>
                <w:sz w:val="21"/>
                <w:szCs w:val="21"/>
                <w:bdr w:val="single" w:sz="2" w:space="0" w:color="E3E3E3" w:frame="1"/>
              </w:rPr>
              <w:t>Cycle Year</w:t>
            </w:r>
          </w:p>
        </w:tc>
        <w:tc>
          <w:tcPr>
            <w:tcW w:w="8011" w:type="dxa"/>
            <w:gridSpan w:val="5"/>
            <w:noWrap/>
            <w:vAlign w:val="bottom"/>
          </w:tcPr>
          <w:p w14:paraId="1936833F" w14:textId="77777777" w:rsidR="0086036C" w:rsidRPr="00277350" w:rsidRDefault="0086036C" w:rsidP="002903D1">
            <w:pPr>
              <w:jc w:val="center"/>
              <w:rPr>
                <w:rFonts w:ascii="Times New Roman" w:hAnsi="Times New Roman" w:cs="Times New Roman"/>
                <w:sz w:val="20"/>
                <w:szCs w:val="20"/>
              </w:rPr>
            </w:pPr>
          </w:p>
        </w:tc>
      </w:tr>
      <w:tr w:rsidR="0086036C" w:rsidRPr="00277350" w14:paraId="26D01D52" w14:textId="77777777" w:rsidTr="002903D1">
        <w:trPr>
          <w:trHeight w:val="285"/>
        </w:trPr>
        <w:tc>
          <w:tcPr>
            <w:tcW w:w="2894" w:type="dxa"/>
            <w:noWrap/>
            <w:vAlign w:val="bottom"/>
          </w:tcPr>
          <w:p w14:paraId="027AAD8B" w14:textId="77777777" w:rsidR="0086036C" w:rsidRPr="00277350" w:rsidRDefault="0086036C" w:rsidP="002903D1">
            <w:pPr>
              <w:rPr>
                <w:rFonts w:ascii="Times New Roman" w:hAnsi="Times New Roman" w:cs="Times New Roman"/>
                <w:i/>
                <w:iCs/>
              </w:rPr>
            </w:pPr>
            <w:r w:rsidRPr="00277350">
              <w:rPr>
                <w:rFonts w:ascii="Times New Roman" w:hAnsi="Times New Roman" w:cs="Times New Roman"/>
                <w:color w:val="424242"/>
                <w:sz w:val="21"/>
                <w:szCs w:val="21"/>
              </w:rPr>
              <w:t>2005–2006</w:t>
            </w:r>
          </w:p>
        </w:tc>
        <w:tc>
          <w:tcPr>
            <w:tcW w:w="1627" w:type="dxa"/>
            <w:noWrap/>
            <w:vAlign w:val="center"/>
          </w:tcPr>
          <w:p w14:paraId="37605954"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333333"/>
                <w:sz w:val="20"/>
                <w:szCs w:val="20"/>
              </w:rPr>
              <w:t>1,179 (16.8)</w:t>
            </w:r>
          </w:p>
        </w:tc>
        <w:tc>
          <w:tcPr>
            <w:tcW w:w="1565" w:type="dxa"/>
            <w:noWrap/>
            <w:vAlign w:val="center"/>
          </w:tcPr>
          <w:p w14:paraId="064FCF54"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333333"/>
                <w:sz w:val="20"/>
                <w:szCs w:val="20"/>
              </w:rPr>
              <w:t>154 (13.6)</w:t>
            </w:r>
          </w:p>
        </w:tc>
        <w:tc>
          <w:tcPr>
            <w:tcW w:w="1566" w:type="dxa"/>
            <w:vAlign w:val="center"/>
          </w:tcPr>
          <w:p w14:paraId="3ED16B89"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333333"/>
                <w:sz w:val="20"/>
                <w:szCs w:val="20"/>
              </w:rPr>
              <w:t>148 (12.2)</w:t>
            </w:r>
          </w:p>
        </w:tc>
        <w:tc>
          <w:tcPr>
            <w:tcW w:w="1569" w:type="dxa"/>
            <w:noWrap/>
            <w:vAlign w:val="center"/>
          </w:tcPr>
          <w:p w14:paraId="03172C15"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333333"/>
                <w:sz w:val="20"/>
                <w:szCs w:val="20"/>
              </w:rPr>
              <w:t>70 (9.7)</w:t>
            </w:r>
          </w:p>
        </w:tc>
        <w:tc>
          <w:tcPr>
            <w:tcW w:w="1684" w:type="dxa"/>
            <w:vAlign w:val="bottom"/>
          </w:tcPr>
          <w:p w14:paraId="2B02D5C8"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424242"/>
                <w:sz w:val="20"/>
                <w:szCs w:val="20"/>
              </w:rPr>
              <w:t>1,551 (15.4)</w:t>
            </w:r>
          </w:p>
        </w:tc>
      </w:tr>
      <w:tr w:rsidR="0086036C" w:rsidRPr="00277350" w14:paraId="32776635" w14:textId="77777777" w:rsidTr="002903D1">
        <w:trPr>
          <w:trHeight w:val="285"/>
        </w:trPr>
        <w:tc>
          <w:tcPr>
            <w:tcW w:w="2894" w:type="dxa"/>
            <w:noWrap/>
            <w:vAlign w:val="bottom"/>
          </w:tcPr>
          <w:p w14:paraId="19019E18" w14:textId="77777777" w:rsidR="0086036C" w:rsidRPr="00277350" w:rsidRDefault="0086036C" w:rsidP="002903D1">
            <w:pPr>
              <w:rPr>
                <w:rFonts w:ascii="Times New Roman" w:hAnsi="Times New Roman" w:cs="Times New Roman"/>
                <w:i/>
                <w:iCs/>
              </w:rPr>
            </w:pPr>
            <w:r w:rsidRPr="00277350">
              <w:rPr>
                <w:rFonts w:ascii="Times New Roman" w:hAnsi="Times New Roman" w:cs="Times New Roman"/>
                <w:color w:val="424242"/>
                <w:sz w:val="21"/>
                <w:szCs w:val="21"/>
              </w:rPr>
              <w:t>2007–2008</w:t>
            </w:r>
          </w:p>
        </w:tc>
        <w:tc>
          <w:tcPr>
            <w:tcW w:w="1627" w:type="dxa"/>
            <w:noWrap/>
            <w:vAlign w:val="center"/>
          </w:tcPr>
          <w:p w14:paraId="6E1AC73F"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333333"/>
                <w:sz w:val="20"/>
                <w:szCs w:val="20"/>
              </w:rPr>
              <w:t>1,313 (18.7)</w:t>
            </w:r>
          </w:p>
        </w:tc>
        <w:tc>
          <w:tcPr>
            <w:tcW w:w="1565" w:type="dxa"/>
            <w:noWrap/>
            <w:vAlign w:val="center"/>
          </w:tcPr>
          <w:p w14:paraId="145AB580"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333333"/>
                <w:sz w:val="20"/>
                <w:szCs w:val="20"/>
              </w:rPr>
              <w:t>175 (15.4)</w:t>
            </w:r>
          </w:p>
        </w:tc>
        <w:tc>
          <w:tcPr>
            <w:tcW w:w="1566" w:type="dxa"/>
            <w:vAlign w:val="center"/>
          </w:tcPr>
          <w:p w14:paraId="76F19B7B"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333333"/>
                <w:sz w:val="20"/>
                <w:szCs w:val="20"/>
              </w:rPr>
              <w:t>168 (13.8)</w:t>
            </w:r>
          </w:p>
        </w:tc>
        <w:tc>
          <w:tcPr>
            <w:tcW w:w="1569" w:type="dxa"/>
            <w:noWrap/>
            <w:vAlign w:val="center"/>
          </w:tcPr>
          <w:p w14:paraId="2DE6AF6D"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333333"/>
                <w:sz w:val="20"/>
                <w:szCs w:val="20"/>
              </w:rPr>
              <w:t>93 (12.9)</w:t>
            </w:r>
          </w:p>
        </w:tc>
        <w:tc>
          <w:tcPr>
            <w:tcW w:w="1684" w:type="dxa"/>
            <w:vAlign w:val="bottom"/>
          </w:tcPr>
          <w:p w14:paraId="05E4B81A"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424242"/>
                <w:sz w:val="20"/>
                <w:szCs w:val="20"/>
              </w:rPr>
              <w:t>1,749 (17.3)</w:t>
            </w:r>
          </w:p>
        </w:tc>
      </w:tr>
      <w:tr w:rsidR="0086036C" w:rsidRPr="00277350" w14:paraId="2DD3ACC3" w14:textId="77777777" w:rsidTr="002903D1">
        <w:trPr>
          <w:trHeight w:val="285"/>
        </w:trPr>
        <w:tc>
          <w:tcPr>
            <w:tcW w:w="2894" w:type="dxa"/>
            <w:noWrap/>
            <w:vAlign w:val="bottom"/>
          </w:tcPr>
          <w:p w14:paraId="2998D1E7" w14:textId="77777777" w:rsidR="0086036C" w:rsidRPr="00277350" w:rsidRDefault="0086036C" w:rsidP="002903D1">
            <w:pPr>
              <w:rPr>
                <w:rFonts w:ascii="Times New Roman" w:hAnsi="Times New Roman" w:cs="Times New Roman"/>
                <w:i/>
                <w:iCs/>
              </w:rPr>
            </w:pPr>
            <w:r w:rsidRPr="00277350">
              <w:rPr>
                <w:rFonts w:ascii="Times New Roman" w:hAnsi="Times New Roman" w:cs="Times New Roman"/>
                <w:color w:val="424242"/>
                <w:sz w:val="21"/>
                <w:szCs w:val="21"/>
              </w:rPr>
              <w:lastRenderedPageBreak/>
              <w:t>2009–2010</w:t>
            </w:r>
          </w:p>
        </w:tc>
        <w:tc>
          <w:tcPr>
            <w:tcW w:w="1627" w:type="dxa"/>
            <w:noWrap/>
            <w:vAlign w:val="center"/>
          </w:tcPr>
          <w:p w14:paraId="66B94BCE"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333333"/>
                <w:sz w:val="20"/>
                <w:szCs w:val="20"/>
              </w:rPr>
              <w:t>1,246 (17.8)</w:t>
            </w:r>
          </w:p>
        </w:tc>
        <w:tc>
          <w:tcPr>
            <w:tcW w:w="1565" w:type="dxa"/>
            <w:noWrap/>
            <w:vAlign w:val="center"/>
          </w:tcPr>
          <w:p w14:paraId="6D9E0336"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333333"/>
                <w:sz w:val="20"/>
                <w:szCs w:val="20"/>
              </w:rPr>
              <w:t>197 (17.3)</w:t>
            </w:r>
          </w:p>
        </w:tc>
        <w:tc>
          <w:tcPr>
            <w:tcW w:w="1566" w:type="dxa"/>
            <w:vAlign w:val="center"/>
          </w:tcPr>
          <w:p w14:paraId="61EE259A"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333333"/>
                <w:sz w:val="20"/>
                <w:szCs w:val="20"/>
              </w:rPr>
              <w:t>234 (19.2)</w:t>
            </w:r>
          </w:p>
        </w:tc>
        <w:tc>
          <w:tcPr>
            <w:tcW w:w="1569" w:type="dxa"/>
            <w:noWrap/>
            <w:vAlign w:val="center"/>
          </w:tcPr>
          <w:p w14:paraId="08256FDF"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333333"/>
                <w:sz w:val="20"/>
                <w:szCs w:val="20"/>
              </w:rPr>
              <w:t>148 (20.5)</w:t>
            </w:r>
          </w:p>
        </w:tc>
        <w:tc>
          <w:tcPr>
            <w:tcW w:w="1684" w:type="dxa"/>
            <w:vAlign w:val="bottom"/>
          </w:tcPr>
          <w:p w14:paraId="1F417935"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424242"/>
                <w:sz w:val="20"/>
                <w:szCs w:val="20"/>
              </w:rPr>
              <w:t>1,825 (18.1)</w:t>
            </w:r>
          </w:p>
        </w:tc>
      </w:tr>
      <w:tr w:rsidR="0086036C" w:rsidRPr="00277350" w14:paraId="32CA114A" w14:textId="77777777" w:rsidTr="002903D1">
        <w:trPr>
          <w:trHeight w:val="285"/>
        </w:trPr>
        <w:tc>
          <w:tcPr>
            <w:tcW w:w="2894" w:type="dxa"/>
            <w:noWrap/>
            <w:vAlign w:val="bottom"/>
          </w:tcPr>
          <w:p w14:paraId="2C978BC2" w14:textId="77777777" w:rsidR="0086036C" w:rsidRPr="00277350" w:rsidRDefault="0086036C" w:rsidP="002903D1">
            <w:pPr>
              <w:rPr>
                <w:rFonts w:ascii="Times New Roman" w:hAnsi="Times New Roman" w:cs="Times New Roman"/>
                <w:i/>
                <w:iCs/>
              </w:rPr>
            </w:pPr>
            <w:r w:rsidRPr="00277350">
              <w:rPr>
                <w:rFonts w:ascii="Times New Roman" w:hAnsi="Times New Roman" w:cs="Times New Roman"/>
                <w:color w:val="424242"/>
                <w:sz w:val="21"/>
                <w:szCs w:val="21"/>
              </w:rPr>
              <w:t>2011–2012</w:t>
            </w:r>
          </w:p>
        </w:tc>
        <w:tc>
          <w:tcPr>
            <w:tcW w:w="1627" w:type="dxa"/>
            <w:noWrap/>
            <w:vAlign w:val="center"/>
          </w:tcPr>
          <w:p w14:paraId="4CD95FED"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333333"/>
                <w:sz w:val="20"/>
                <w:szCs w:val="20"/>
              </w:rPr>
              <w:t>1,109 (15.8)</w:t>
            </w:r>
          </w:p>
        </w:tc>
        <w:tc>
          <w:tcPr>
            <w:tcW w:w="1565" w:type="dxa"/>
            <w:noWrap/>
            <w:vAlign w:val="center"/>
          </w:tcPr>
          <w:p w14:paraId="4A41E7C1"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333333"/>
                <w:sz w:val="20"/>
                <w:szCs w:val="20"/>
              </w:rPr>
              <w:t>195 (17.2)</w:t>
            </w:r>
          </w:p>
        </w:tc>
        <w:tc>
          <w:tcPr>
            <w:tcW w:w="1566" w:type="dxa"/>
            <w:vAlign w:val="center"/>
          </w:tcPr>
          <w:p w14:paraId="5D64BD17"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333333"/>
                <w:sz w:val="20"/>
                <w:szCs w:val="20"/>
              </w:rPr>
              <w:t>192 (15.8)</w:t>
            </w:r>
          </w:p>
        </w:tc>
        <w:tc>
          <w:tcPr>
            <w:tcW w:w="1569" w:type="dxa"/>
            <w:noWrap/>
            <w:vAlign w:val="center"/>
          </w:tcPr>
          <w:p w14:paraId="7CB6FD5C"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333333"/>
                <w:sz w:val="20"/>
                <w:szCs w:val="20"/>
              </w:rPr>
              <w:t>127 (17.6)</w:t>
            </w:r>
          </w:p>
        </w:tc>
        <w:tc>
          <w:tcPr>
            <w:tcW w:w="1684" w:type="dxa"/>
            <w:vAlign w:val="bottom"/>
          </w:tcPr>
          <w:p w14:paraId="1322A2BE"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424242"/>
                <w:sz w:val="20"/>
                <w:szCs w:val="20"/>
              </w:rPr>
              <w:t>1,623 (16.1)</w:t>
            </w:r>
          </w:p>
        </w:tc>
      </w:tr>
      <w:tr w:rsidR="0086036C" w:rsidRPr="00277350" w14:paraId="55557AD5" w14:textId="77777777" w:rsidTr="002903D1">
        <w:trPr>
          <w:trHeight w:val="285"/>
        </w:trPr>
        <w:tc>
          <w:tcPr>
            <w:tcW w:w="2894" w:type="dxa"/>
            <w:noWrap/>
            <w:vAlign w:val="bottom"/>
          </w:tcPr>
          <w:p w14:paraId="0D061B8D" w14:textId="77777777" w:rsidR="0086036C" w:rsidRPr="00277350" w:rsidRDefault="0086036C" w:rsidP="002903D1">
            <w:pPr>
              <w:rPr>
                <w:rFonts w:ascii="Times New Roman" w:hAnsi="Times New Roman" w:cs="Times New Roman"/>
                <w:i/>
                <w:iCs/>
              </w:rPr>
            </w:pPr>
            <w:r w:rsidRPr="00277350">
              <w:rPr>
                <w:rFonts w:ascii="Times New Roman" w:hAnsi="Times New Roman" w:cs="Times New Roman"/>
                <w:color w:val="424242"/>
                <w:sz w:val="21"/>
                <w:szCs w:val="21"/>
              </w:rPr>
              <w:t>2013–2014</w:t>
            </w:r>
          </w:p>
        </w:tc>
        <w:tc>
          <w:tcPr>
            <w:tcW w:w="1627" w:type="dxa"/>
            <w:noWrap/>
            <w:vAlign w:val="center"/>
          </w:tcPr>
          <w:p w14:paraId="3E5BB7A1"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333333"/>
                <w:sz w:val="20"/>
                <w:szCs w:val="20"/>
              </w:rPr>
              <w:t>1,203 (17.1)</w:t>
            </w:r>
          </w:p>
        </w:tc>
        <w:tc>
          <w:tcPr>
            <w:tcW w:w="1565" w:type="dxa"/>
            <w:noWrap/>
            <w:vAlign w:val="center"/>
          </w:tcPr>
          <w:p w14:paraId="5FA0794C"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333333"/>
                <w:sz w:val="20"/>
                <w:szCs w:val="20"/>
              </w:rPr>
              <w:t>199 (17.5)</w:t>
            </w:r>
          </w:p>
        </w:tc>
        <w:tc>
          <w:tcPr>
            <w:tcW w:w="1566" w:type="dxa"/>
            <w:vAlign w:val="center"/>
          </w:tcPr>
          <w:p w14:paraId="2A5A4256"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333333"/>
                <w:sz w:val="20"/>
                <w:szCs w:val="20"/>
              </w:rPr>
              <w:t>218 (17.9)</w:t>
            </w:r>
          </w:p>
        </w:tc>
        <w:tc>
          <w:tcPr>
            <w:tcW w:w="1569" w:type="dxa"/>
            <w:noWrap/>
            <w:vAlign w:val="center"/>
          </w:tcPr>
          <w:p w14:paraId="63AF9C08"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333333"/>
                <w:sz w:val="20"/>
                <w:szCs w:val="20"/>
              </w:rPr>
              <w:t>138 (19.1)</w:t>
            </w:r>
          </w:p>
        </w:tc>
        <w:tc>
          <w:tcPr>
            <w:tcW w:w="1684" w:type="dxa"/>
            <w:vAlign w:val="bottom"/>
          </w:tcPr>
          <w:p w14:paraId="6301C0FC"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424242"/>
                <w:sz w:val="20"/>
                <w:szCs w:val="20"/>
              </w:rPr>
              <w:t>1,758 (17.4)</w:t>
            </w:r>
          </w:p>
        </w:tc>
      </w:tr>
      <w:tr w:rsidR="0086036C" w:rsidRPr="00277350" w14:paraId="7955BA2D" w14:textId="77777777" w:rsidTr="002903D1">
        <w:trPr>
          <w:trHeight w:val="285"/>
        </w:trPr>
        <w:tc>
          <w:tcPr>
            <w:tcW w:w="2894" w:type="dxa"/>
            <w:noWrap/>
            <w:vAlign w:val="bottom"/>
          </w:tcPr>
          <w:p w14:paraId="4B561DD0" w14:textId="77777777" w:rsidR="0086036C" w:rsidRPr="00277350" w:rsidRDefault="0086036C" w:rsidP="002903D1">
            <w:pPr>
              <w:rPr>
                <w:rFonts w:ascii="Times New Roman" w:hAnsi="Times New Roman" w:cs="Times New Roman"/>
                <w:i/>
                <w:iCs/>
              </w:rPr>
            </w:pPr>
            <w:r w:rsidRPr="00277350">
              <w:rPr>
                <w:rFonts w:ascii="Times New Roman" w:hAnsi="Times New Roman" w:cs="Times New Roman"/>
                <w:color w:val="424242"/>
                <w:sz w:val="21"/>
                <w:szCs w:val="21"/>
              </w:rPr>
              <w:t>2015–2016</w:t>
            </w:r>
          </w:p>
        </w:tc>
        <w:tc>
          <w:tcPr>
            <w:tcW w:w="1627" w:type="dxa"/>
            <w:noWrap/>
            <w:vAlign w:val="center"/>
          </w:tcPr>
          <w:p w14:paraId="41C285A3"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333333"/>
                <w:sz w:val="20"/>
                <w:szCs w:val="20"/>
              </w:rPr>
              <w:t>969 (13.8)</w:t>
            </w:r>
          </w:p>
        </w:tc>
        <w:tc>
          <w:tcPr>
            <w:tcW w:w="1565" w:type="dxa"/>
            <w:noWrap/>
            <w:vAlign w:val="center"/>
          </w:tcPr>
          <w:p w14:paraId="5E8D8638"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333333"/>
                <w:sz w:val="20"/>
                <w:szCs w:val="20"/>
              </w:rPr>
              <w:t>216 (19.0)</w:t>
            </w:r>
          </w:p>
        </w:tc>
        <w:tc>
          <w:tcPr>
            <w:tcW w:w="1566" w:type="dxa"/>
            <w:vAlign w:val="center"/>
          </w:tcPr>
          <w:p w14:paraId="76630189"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333333"/>
                <w:sz w:val="20"/>
                <w:szCs w:val="20"/>
              </w:rPr>
              <w:t>258 (21.2)</w:t>
            </w:r>
          </w:p>
        </w:tc>
        <w:tc>
          <w:tcPr>
            <w:tcW w:w="1569" w:type="dxa"/>
            <w:noWrap/>
            <w:vAlign w:val="center"/>
          </w:tcPr>
          <w:p w14:paraId="4F3ED3E3"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333333"/>
                <w:sz w:val="20"/>
                <w:szCs w:val="20"/>
              </w:rPr>
              <w:t>145 (20.1)</w:t>
            </w:r>
          </w:p>
        </w:tc>
        <w:tc>
          <w:tcPr>
            <w:tcW w:w="1684" w:type="dxa"/>
            <w:vAlign w:val="bottom"/>
          </w:tcPr>
          <w:p w14:paraId="385393B1" w14:textId="77777777" w:rsidR="0086036C" w:rsidRPr="00277350" w:rsidRDefault="0086036C" w:rsidP="002903D1">
            <w:pPr>
              <w:jc w:val="center"/>
              <w:rPr>
                <w:rFonts w:ascii="Times New Roman" w:hAnsi="Times New Roman" w:cs="Times New Roman"/>
                <w:sz w:val="20"/>
                <w:szCs w:val="20"/>
              </w:rPr>
            </w:pPr>
            <w:r w:rsidRPr="00277350">
              <w:rPr>
                <w:rFonts w:ascii="Times New Roman" w:hAnsi="Times New Roman" w:cs="Times New Roman"/>
                <w:color w:val="424242"/>
                <w:sz w:val="20"/>
                <w:szCs w:val="20"/>
              </w:rPr>
              <w:t>1,588 (15.7)</w:t>
            </w:r>
          </w:p>
        </w:tc>
      </w:tr>
    </w:tbl>
    <w:p w14:paraId="3079ED22" w14:textId="79B31B5C" w:rsidR="0086036C" w:rsidRPr="00277350" w:rsidRDefault="0086036C" w:rsidP="00927C64">
      <w:pPr>
        <w:pStyle w:val="ListParagraph"/>
        <w:numPr>
          <w:ilvl w:val="0"/>
          <w:numId w:val="1"/>
        </w:numPr>
        <w:spacing w:after="0" w:line="240" w:lineRule="auto"/>
        <w:rPr>
          <w:rFonts w:ascii="Times New Roman" w:hAnsi="Times New Roman" w:cs="Times New Roman"/>
          <w:i/>
          <w:iCs/>
        </w:rPr>
      </w:pPr>
      <w:r w:rsidRPr="00277350">
        <w:rPr>
          <w:rFonts w:ascii="Times New Roman" w:hAnsi="Times New Roman" w:cs="Times New Roman"/>
          <w:i/>
          <w:iCs/>
        </w:rPr>
        <w:t>Unweighted descriptive statistics count (frequency) and proportion (percentage) per food security category reported.</w:t>
      </w:r>
    </w:p>
    <w:p w14:paraId="5A413AAB" w14:textId="77777777" w:rsidR="00CE1027" w:rsidRPr="00277350" w:rsidRDefault="00CE1027" w:rsidP="00CE1027">
      <w:pPr>
        <w:autoSpaceDE w:val="0"/>
        <w:autoSpaceDN w:val="0"/>
        <w:adjustRightInd w:val="0"/>
        <w:rPr>
          <w:rFonts w:ascii="Times New Roman" w:hAnsi="Times New Roman" w:cs="Times New Roman"/>
        </w:rPr>
      </w:pPr>
    </w:p>
    <w:p w14:paraId="44ACDAB9" w14:textId="5DD89E64" w:rsidR="0086036C" w:rsidRPr="00277350" w:rsidRDefault="0086036C" w:rsidP="00CE1027">
      <w:pPr>
        <w:autoSpaceDE w:val="0"/>
        <w:autoSpaceDN w:val="0"/>
        <w:adjustRightInd w:val="0"/>
        <w:rPr>
          <w:rFonts w:ascii="Times New Roman" w:hAnsi="Times New Roman" w:cs="Times New Roman"/>
          <w:i/>
          <w:iCs/>
          <w:kern w:val="0"/>
        </w:rPr>
      </w:pPr>
      <w:r w:rsidRPr="00277350">
        <w:rPr>
          <w:rFonts w:ascii="Times New Roman" w:hAnsi="Times New Roman" w:cs="Times New Roman"/>
          <w:i/>
          <w:iCs/>
          <w:kern w:val="0"/>
        </w:rPr>
        <w:t xml:space="preserve">Study Population </w:t>
      </w:r>
    </w:p>
    <w:p w14:paraId="0F36C1FC" w14:textId="6F2DEF68" w:rsidR="00CE1027" w:rsidRPr="00277350" w:rsidRDefault="0086036C" w:rsidP="00CE1027">
      <w:pPr>
        <w:autoSpaceDE w:val="0"/>
        <w:autoSpaceDN w:val="0"/>
        <w:adjustRightInd w:val="0"/>
        <w:spacing w:after="0" w:line="240" w:lineRule="auto"/>
        <w:ind w:firstLine="720"/>
        <w:rPr>
          <w:rFonts w:ascii="Times New Roman" w:hAnsi="Times New Roman" w:cs="Times New Roman"/>
          <w:kern w:val="0"/>
        </w:rPr>
      </w:pPr>
      <w:r w:rsidRPr="00277350">
        <w:rPr>
          <w:rFonts w:ascii="Times New Roman" w:hAnsi="Times New Roman" w:cs="Times New Roman"/>
          <w:kern w:val="0"/>
        </w:rPr>
        <w:t xml:space="preserve">A total of 10,094 adults were included in the final analytic study (Table 1). Participants were approximately evenly distributed by sex (male 49.1%, female: 50.9%). The median age was 47 years overall; adults with reduced food security (marginal, low and very low) were on average younger (n=42 years) than those with high food security (n=49 years). Non-Hispanic White adults were the largest racial/ethnic group overall (42.8%), followed by Non-Hispanic Black (22.4%) and Mexican American (15.5%).  but were distributed differently across food security categories. Among adults with low food security, non-Hispanic Black (27.2%) and Mexican- American (24.1%) participants represented the largest proportions, whereas non-Hispanic White adults remained the largest group in high, marginal and very low categories. </w:t>
      </w:r>
      <w:r w:rsidR="001D5FBA" w:rsidRPr="00277350">
        <w:rPr>
          <w:rFonts w:ascii="Times New Roman" w:hAnsi="Times New Roman" w:cs="Times New Roman"/>
          <w:kern w:val="0"/>
        </w:rPr>
        <w:t>Compared with adults with high food security (19.7%), p</w:t>
      </w:r>
      <w:r w:rsidRPr="00277350">
        <w:rPr>
          <w:rFonts w:ascii="Times New Roman" w:hAnsi="Times New Roman" w:cs="Times New Roman"/>
          <w:kern w:val="0"/>
        </w:rPr>
        <w:t>articipants with marginal, low and very low security had lower educational attainment, with a higher proportion having less than 9</w:t>
      </w:r>
      <w:r w:rsidRPr="00277350">
        <w:rPr>
          <w:rFonts w:ascii="Times New Roman" w:hAnsi="Times New Roman" w:cs="Times New Roman"/>
          <w:kern w:val="0"/>
          <w:vertAlign w:val="superscript"/>
        </w:rPr>
        <w:t>th</w:t>
      </w:r>
      <w:r w:rsidRPr="00277350">
        <w:rPr>
          <w:rFonts w:ascii="Times New Roman" w:hAnsi="Times New Roman" w:cs="Times New Roman"/>
          <w:kern w:val="0"/>
        </w:rPr>
        <w:t xml:space="preserve"> grade (marginal: 34.9%, low: 41.4%%, very low: 39.4%%)</w:t>
      </w:r>
      <w:r w:rsidR="001D5FBA" w:rsidRPr="00277350">
        <w:rPr>
          <w:rFonts w:ascii="Times New Roman" w:hAnsi="Times New Roman" w:cs="Times New Roman"/>
          <w:kern w:val="0"/>
        </w:rPr>
        <w:t xml:space="preserve">. </w:t>
      </w:r>
      <w:r w:rsidRPr="00277350">
        <w:rPr>
          <w:rFonts w:ascii="Times New Roman" w:hAnsi="Times New Roman" w:cs="Times New Roman"/>
          <w:kern w:val="0"/>
        </w:rPr>
        <w:t xml:space="preserve">Similarly, </w:t>
      </w:r>
      <w:r w:rsidR="001D5FBA" w:rsidRPr="00277350">
        <w:rPr>
          <w:rFonts w:ascii="Times New Roman" w:hAnsi="Times New Roman" w:cs="Times New Roman"/>
          <w:kern w:val="0"/>
        </w:rPr>
        <w:t>across</w:t>
      </w:r>
      <w:r w:rsidRPr="00277350">
        <w:rPr>
          <w:rFonts w:ascii="Times New Roman" w:hAnsi="Times New Roman" w:cs="Times New Roman"/>
          <w:kern w:val="0"/>
        </w:rPr>
        <w:t xml:space="preserve"> food security</w:t>
      </w:r>
      <w:r w:rsidR="001D5FBA" w:rsidRPr="00277350">
        <w:rPr>
          <w:rFonts w:ascii="Times New Roman" w:hAnsi="Times New Roman" w:cs="Times New Roman"/>
          <w:kern w:val="0"/>
        </w:rPr>
        <w:t xml:space="preserve"> groups, those with marginal, low, and very low</w:t>
      </w:r>
      <w:r w:rsidRPr="00277350">
        <w:rPr>
          <w:rFonts w:ascii="Times New Roman" w:hAnsi="Times New Roman" w:cs="Times New Roman"/>
          <w:kern w:val="0"/>
        </w:rPr>
        <w:t xml:space="preserve"> were more likely to live in low- or near-poverty households compared with adults with high food security. </w:t>
      </w:r>
    </w:p>
    <w:p w14:paraId="37582E15" w14:textId="77777777" w:rsidR="00CE1027" w:rsidRPr="00277350" w:rsidRDefault="00CE1027" w:rsidP="00CE1027">
      <w:pPr>
        <w:autoSpaceDE w:val="0"/>
        <w:autoSpaceDN w:val="0"/>
        <w:adjustRightInd w:val="0"/>
        <w:spacing w:after="0" w:line="240" w:lineRule="auto"/>
        <w:ind w:firstLine="720"/>
        <w:rPr>
          <w:rFonts w:ascii="Times New Roman" w:hAnsi="Times New Roman" w:cs="Times New Roman"/>
          <w:kern w:val="0"/>
        </w:rPr>
      </w:pPr>
    </w:p>
    <w:p w14:paraId="69219536" w14:textId="77777777" w:rsidR="00CE1027" w:rsidRPr="00277350" w:rsidRDefault="00CE1027" w:rsidP="00CE1027">
      <w:pPr>
        <w:autoSpaceDE w:val="0"/>
        <w:autoSpaceDN w:val="0"/>
        <w:adjustRightInd w:val="0"/>
        <w:spacing w:after="0" w:line="240" w:lineRule="auto"/>
        <w:ind w:firstLine="720"/>
        <w:rPr>
          <w:rFonts w:ascii="Times New Roman" w:hAnsi="Times New Roman" w:cs="Times New Roman"/>
          <w:kern w:val="0"/>
        </w:rPr>
      </w:pPr>
    </w:p>
    <w:p w14:paraId="25EE529D" w14:textId="77777777" w:rsidR="00CE1027" w:rsidRPr="00277350" w:rsidRDefault="0086036C" w:rsidP="00CE1027">
      <w:pPr>
        <w:autoSpaceDE w:val="0"/>
        <w:autoSpaceDN w:val="0"/>
        <w:adjustRightInd w:val="0"/>
        <w:spacing w:after="0" w:line="240" w:lineRule="auto"/>
        <w:rPr>
          <w:rFonts w:ascii="Times New Roman" w:hAnsi="Times New Roman" w:cs="Times New Roman"/>
          <w:b/>
          <w:bCs/>
          <w:color w:val="000000" w:themeColor="text1"/>
          <w:sz w:val="26"/>
          <w:szCs w:val="26"/>
        </w:rPr>
      </w:pPr>
      <w:r w:rsidRPr="00277350">
        <w:rPr>
          <w:rFonts w:ascii="Times New Roman" w:hAnsi="Times New Roman" w:cs="Times New Roman"/>
          <w:b/>
          <w:bCs/>
          <w:color w:val="000000" w:themeColor="text1"/>
          <w:sz w:val="26"/>
          <w:szCs w:val="26"/>
        </w:rPr>
        <w:t xml:space="preserve">Table 2: Detection Frequency and Distribution of Urinary Phenol </w:t>
      </w:r>
    </w:p>
    <w:p w14:paraId="58506FEE" w14:textId="46B4ECD4" w:rsidR="0086036C" w:rsidRPr="00277350" w:rsidRDefault="0086036C" w:rsidP="00CE1027">
      <w:pPr>
        <w:autoSpaceDE w:val="0"/>
        <w:autoSpaceDN w:val="0"/>
        <w:adjustRightInd w:val="0"/>
        <w:spacing w:after="0" w:line="240" w:lineRule="auto"/>
        <w:rPr>
          <w:rFonts w:ascii="Times New Roman" w:hAnsi="Times New Roman" w:cs="Times New Roman"/>
          <w:kern w:val="0"/>
          <w:sz w:val="26"/>
          <w:szCs w:val="26"/>
        </w:rPr>
      </w:pPr>
      <w:r w:rsidRPr="00277350">
        <w:rPr>
          <w:rFonts w:ascii="Times New Roman" w:hAnsi="Times New Roman" w:cs="Times New Roman"/>
          <w:b/>
          <w:bCs/>
          <w:color w:val="000000" w:themeColor="text1"/>
          <w:sz w:val="26"/>
          <w:szCs w:val="26"/>
        </w:rPr>
        <w:t>Concentrations (ng/mL)</w:t>
      </w:r>
    </w:p>
    <w:tbl>
      <w:tblPr>
        <w:tblStyle w:val="TableGrid"/>
        <w:tblW w:w="4489" w:type="pct"/>
        <w:jc w:val="center"/>
        <w:tblBorders>
          <w:insideH w:val="none" w:sz="0" w:space="0" w:color="auto"/>
          <w:insideV w:val="none" w:sz="0" w:space="0" w:color="auto"/>
        </w:tblBorders>
        <w:tblLook w:val="04A0" w:firstRow="1" w:lastRow="0" w:firstColumn="1" w:lastColumn="0" w:noHBand="0" w:noVBand="1"/>
      </w:tblPr>
      <w:tblGrid>
        <w:gridCol w:w="2703"/>
        <w:gridCol w:w="1723"/>
        <w:gridCol w:w="1113"/>
        <w:gridCol w:w="989"/>
        <w:gridCol w:w="990"/>
        <w:gridCol w:w="876"/>
      </w:tblGrid>
      <w:tr w:rsidR="0086036C" w:rsidRPr="00277350" w14:paraId="10044525" w14:textId="77777777" w:rsidTr="002903D1">
        <w:trPr>
          <w:trHeight w:val="354"/>
          <w:jc w:val="center"/>
        </w:trPr>
        <w:tc>
          <w:tcPr>
            <w:tcW w:w="1698" w:type="pct"/>
            <w:shd w:val="clear" w:color="auto" w:fill="000000" w:themeFill="text1"/>
          </w:tcPr>
          <w:p w14:paraId="20E2E457" w14:textId="77777777" w:rsidR="0086036C" w:rsidRPr="00277350" w:rsidRDefault="0086036C" w:rsidP="002903D1">
            <w:pPr>
              <w:rPr>
                <w:rFonts w:ascii="Times New Roman" w:hAnsi="Times New Roman" w:cs="Times New Roman"/>
                <w:b/>
                <w:bCs/>
                <w:color w:val="FFFFFF" w:themeColor="background1"/>
              </w:rPr>
            </w:pPr>
            <w:r w:rsidRPr="00277350">
              <w:rPr>
                <w:rFonts w:ascii="Times New Roman" w:hAnsi="Times New Roman" w:cs="Times New Roman"/>
                <w:b/>
                <w:bCs/>
                <w:color w:val="FFFFFF" w:themeColor="background1"/>
              </w:rPr>
              <w:t xml:space="preserve">Urinary Metabolite </w:t>
            </w:r>
          </w:p>
        </w:tc>
        <w:tc>
          <w:tcPr>
            <w:tcW w:w="889" w:type="pct"/>
            <w:shd w:val="clear" w:color="auto" w:fill="000000" w:themeFill="text1"/>
          </w:tcPr>
          <w:p w14:paraId="3B5EA024" w14:textId="77777777" w:rsidR="0086036C" w:rsidRPr="00277350" w:rsidRDefault="0086036C" w:rsidP="002903D1">
            <w:pPr>
              <w:jc w:val="center"/>
              <w:rPr>
                <w:rFonts w:ascii="Times New Roman" w:hAnsi="Times New Roman" w:cs="Times New Roman"/>
                <w:b/>
                <w:bCs/>
                <w:color w:val="FFFFFF" w:themeColor="background1"/>
              </w:rPr>
            </w:pPr>
            <w:r w:rsidRPr="00277350">
              <w:rPr>
                <w:rFonts w:ascii="Times New Roman" w:hAnsi="Times New Roman" w:cs="Times New Roman"/>
                <w:b/>
                <w:bCs/>
                <w:color w:val="FFFFFF" w:themeColor="background1"/>
              </w:rPr>
              <w:t>Abbreviation</w:t>
            </w:r>
          </w:p>
        </w:tc>
        <w:tc>
          <w:tcPr>
            <w:tcW w:w="608" w:type="pct"/>
            <w:shd w:val="clear" w:color="auto" w:fill="000000" w:themeFill="text1"/>
          </w:tcPr>
          <w:p w14:paraId="38326A4F" w14:textId="77777777" w:rsidR="0086036C" w:rsidRPr="00277350" w:rsidRDefault="0086036C" w:rsidP="002903D1">
            <w:pPr>
              <w:jc w:val="center"/>
              <w:rPr>
                <w:rFonts w:ascii="Times New Roman" w:hAnsi="Times New Roman" w:cs="Times New Roman"/>
                <w:b/>
                <w:bCs/>
                <w:color w:val="FFFFFF" w:themeColor="background1"/>
              </w:rPr>
            </w:pPr>
            <w:r w:rsidRPr="00277350">
              <w:rPr>
                <w:rFonts w:ascii="Times New Roman" w:hAnsi="Times New Roman" w:cs="Times New Roman"/>
                <w:b/>
                <w:bCs/>
                <w:color w:val="FFFFFF" w:themeColor="background1"/>
              </w:rPr>
              <w:t>%&gt;LOD</w:t>
            </w:r>
          </w:p>
        </w:tc>
        <w:tc>
          <w:tcPr>
            <w:tcW w:w="677" w:type="pct"/>
            <w:shd w:val="clear" w:color="auto" w:fill="000000" w:themeFill="text1"/>
          </w:tcPr>
          <w:p w14:paraId="01251B64" w14:textId="77777777" w:rsidR="0086036C" w:rsidRPr="00277350" w:rsidRDefault="0086036C" w:rsidP="002903D1">
            <w:pPr>
              <w:jc w:val="center"/>
              <w:rPr>
                <w:rFonts w:ascii="Times New Roman" w:hAnsi="Times New Roman" w:cs="Times New Roman"/>
                <w:b/>
                <w:bCs/>
                <w:color w:val="FFFFFF" w:themeColor="background1"/>
              </w:rPr>
            </w:pPr>
            <w:r w:rsidRPr="00277350">
              <w:rPr>
                <w:rFonts w:ascii="Times New Roman" w:hAnsi="Times New Roman" w:cs="Times New Roman"/>
                <w:b/>
                <w:bCs/>
                <w:color w:val="FFFFFF" w:themeColor="background1"/>
              </w:rPr>
              <w:t>25</w:t>
            </w:r>
            <w:r w:rsidRPr="00277350">
              <w:rPr>
                <w:rFonts w:ascii="Times New Roman" w:hAnsi="Times New Roman" w:cs="Times New Roman"/>
                <w:b/>
                <w:bCs/>
                <w:color w:val="FFFFFF" w:themeColor="background1"/>
                <w:vertAlign w:val="superscript"/>
              </w:rPr>
              <w:t>th</w:t>
            </w:r>
          </w:p>
        </w:tc>
        <w:tc>
          <w:tcPr>
            <w:tcW w:w="677" w:type="pct"/>
            <w:shd w:val="clear" w:color="auto" w:fill="000000" w:themeFill="text1"/>
          </w:tcPr>
          <w:p w14:paraId="079871C5" w14:textId="77777777" w:rsidR="0086036C" w:rsidRPr="00277350" w:rsidRDefault="0086036C" w:rsidP="002903D1">
            <w:pPr>
              <w:jc w:val="center"/>
              <w:rPr>
                <w:rFonts w:ascii="Times New Roman" w:hAnsi="Times New Roman" w:cs="Times New Roman"/>
                <w:b/>
                <w:bCs/>
                <w:color w:val="FFFFFF" w:themeColor="background1"/>
              </w:rPr>
            </w:pPr>
            <w:r w:rsidRPr="00277350">
              <w:rPr>
                <w:rFonts w:ascii="Times New Roman" w:hAnsi="Times New Roman" w:cs="Times New Roman"/>
                <w:b/>
                <w:bCs/>
                <w:color w:val="FFFFFF" w:themeColor="background1"/>
              </w:rPr>
              <w:t>GM</w:t>
            </w:r>
          </w:p>
        </w:tc>
        <w:tc>
          <w:tcPr>
            <w:tcW w:w="452" w:type="pct"/>
            <w:shd w:val="clear" w:color="auto" w:fill="000000" w:themeFill="text1"/>
          </w:tcPr>
          <w:p w14:paraId="7E514D02" w14:textId="77777777" w:rsidR="0086036C" w:rsidRPr="00277350" w:rsidRDefault="0086036C" w:rsidP="002903D1">
            <w:pPr>
              <w:jc w:val="center"/>
              <w:rPr>
                <w:rFonts w:ascii="Times New Roman" w:hAnsi="Times New Roman" w:cs="Times New Roman"/>
                <w:b/>
                <w:bCs/>
                <w:color w:val="FFFFFF" w:themeColor="background1"/>
              </w:rPr>
            </w:pPr>
            <w:r w:rsidRPr="00277350">
              <w:rPr>
                <w:rFonts w:ascii="Times New Roman" w:hAnsi="Times New Roman" w:cs="Times New Roman"/>
                <w:b/>
                <w:bCs/>
                <w:color w:val="FFFFFF" w:themeColor="background1"/>
              </w:rPr>
              <w:t>75</w:t>
            </w:r>
            <w:r w:rsidRPr="00277350">
              <w:rPr>
                <w:rFonts w:ascii="Times New Roman" w:hAnsi="Times New Roman" w:cs="Times New Roman"/>
                <w:b/>
                <w:bCs/>
                <w:color w:val="FFFFFF" w:themeColor="background1"/>
                <w:vertAlign w:val="superscript"/>
              </w:rPr>
              <w:t>th</w:t>
            </w:r>
          </w:p>
        </w:tc>
      </w:tr>
      <w:tr w:rsidR="0086036C" w:rsidRPr="00277350" w14:paraId="58224BC4" w14:textId="77777777" w:rsidTr="002903D1">
        <w:trPr>
          <w:trHeight w:val="354"/>
          <w:jc w:val="center"/>
        </w:trPr>
        <w:tc>
          <w:tcPr>
            <w:tcW w:w="1698" w:type="pct"/>
          </w:tcPr>
          <w:p w14:paraId="0EDD5E75" w14:textId="77777777" w:rsidR="0086036C" w:rsidRPr="00277350" w:rsidRDefault="0086036C" w:rsidP="002903D1">
            <w:pPr>
              <w:rPr>
                <w:rFonts w:ascii="Times New Roman" w:hAnsi="Times New Roman" w:cs="Times New Roman"/>
                <w:color w:val="000000" w:themeColor="text1"/>
              </w:rPr>
            </w:pPr>
            <w:r w:rsidRPr="00277350">
              <w:rPr>
                <w:rFonts w:ascii="Times New Roman" w:hAnsi="Times New Roman" w:cs="Times New Roman"/>
                <w:color w:val="000000" w:themeColor="text1"/>
              </w:rPr>
              <w:t>Bisphenol A</w:t>
            </w:r>
          </w:p>
          <w:p w14:paraId="5D7D62F4" w14:textId="77777777" w:rsidR="0086036C" w:rsidRPr="00277350" w:rsidRDefault="0086036C" w:rsidP="002903D1">
            <w:pPr>
              <w:rPr>
                <w:rFonts w:ascii="Times New Roman" w:hAnsi="Times New Roman" w:cs="Times New Roman"/>
                <w:color w:val="000000" w:themeColor="text1"/>
              </w:rPr>
            </w:pPr>
          </w:p>
        </w:tc>
        <w:tc>
          <w:tcPr>
            <w:tcW w:w="889" w:type="pct"/>
          </w:tcPr>
          <w:p w14:paraId="2E4A0A2D"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themeColor="text1"/>
              </w:rPr>
              <w:t>BPA</w:t>
            </w:r>
          </w:p>
        </w:tc>
        <w:tc>
          <w:tcPr>
            <w:tcW w:w="608" w:type="pct"/>
            <w:vAlign w:val="center"/>
          </w:tcPr>
          <w:p w14:paraId="69752A86"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eastAsiaTheme="minorEastAsia" w:hAnsi="Times New Roman" w:cs="Times New Roman"/>
                <w:color w:val="000000"/>
                <w:kern w:val="24"/>
              </w:rPr>
              <w:t>92%</w:t>
            </w:r>
          </w:p>
        </w:tc>
        <w:tc>
          <w:tcPr>
            <w:tcW w:w="677" w:type="pct"/>
            <w:vAlign w:val="center"/>
          </w:tcPr>
          <w:p w14:paraId="4EED5023"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kern w:val="24"/>
              </w:rPr>
              <w:t>0.69</w:t>
            </w:r>
          </w:p>
        </w:tc>
        <w:tc>
          <w:tcPr>
            <w:tcW w:w="677" w:type="pct"/>
            <w:vAlign w:val="center"/>
          </w:tcPr>
          <w:p w14:paraId="0128396B"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kern w:val="24"/>
              </w:rPr>
              <w:t>1.52</w:t>
            </w:r>
          </w:p>
        </w:tc>
        <w:tc>
          <w:tcPr>
            <w:tcW w:w="452" w:type="pct"/>
            <w:vAlign w:val="center"/>
          </w:tcPr>
          <w:p w14:paraId="7F2F6428"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kern w:val="24"/>
              </w:rPr>
              <w:t>3.10</w:t>
            </w:r>
          </w:p>
        </w:tc>
      </w:tr>
      <w:tr w:rsidR="0086036C" w:rsidRPr="00277350" w14:paraId="6C12C0C3" w14:textId="77777777" w:rsidTr="002903D1">
        <w:trPr>
          <w:trHeight w:val="684"/>
          <w:jc w:val="center"/>
        </w:trPr>
        <w:tc>
          <w:tcPr>
            <w:tcW w:w="1698" w:type="pct"/>
          </w:tcPr>
          <w:p w14:paraId="36C17F89" w14:textId="77777777" w:rsidR="0086036C" w:rsidRPr="00277350" w:rsidRDefault="0086036C" w:rsidP="002903D1">
            <w:pPr>
              <w:rPr>
                <w:rFonts w:ascii="Times New Roman" w:hAnsi="Times New Roman" w:cs="Times New Roman"/>
                <w:color w:val="000000" w:themeColor="text1"/>
              </w:rPr>
            </w:pPr>
            <w:r w:rsidRPr="00277350">
              <w:rPr>
                <w:rFonts w:ascii="Times New Roman" w:hAnsi="Times New Roman" w:cs="Times New Roman"/>
                <w:color w:val="000000" w:themeColor="text1"/>
              </w:rPr>
              <w:t>2-Hydroxy-4-metoxybenzophenone</w:t>
            </w:r>
          </w:p>
        </w:tc>
        <w:tc>
          <w:tcPr>
            <w:tcW w:w="889" w:type="pct"/>
          </w:tcPr>
          <w:p w14:paraId="384682BC"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themeColor="text1"/>
              </w:rPr>
              <w:t>Benzophenone-3</w:t>
            </w:r>
          </w:p>
        </w:tc>
        <w:tc>
          <w:tcPr>
            <w:tcW w:w="608" w:type="pct"/>
            <w:vAlign w:val="center"/>
          </w:tcPr>
          <w:p w14:paraId="04124995"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eastAsiaTheme="minorEastAsia" w:hAnsi="Times New Roman" w:cs="Times New Roman"/>
                <w:color w:val="000000"/>
                <w:kern w:val="24"/>
              </w:rPr>
              <w:t>96%</w:t>
            </w:r>
          </w:p>
        </w:tc>
        <w:tc>
          <w:tcPr>
            <w:tcW w:w="677" w:type="pct"/>
            <w:vAlign w:val="center"/>
          </w:tcPr>
          <w:p w14:paraId="4C9D8017"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kern w:val="24"/>
              </w:rPr>
              <w:t>4.71</w:t>
            </w:r>
          </w:p>
        </w:tc>
        <w:tc>
          <w:tcPr>
            <w:tcW w:w="677" w:type="pct"/>
            <w:vAlign w:val="center"/>
          </w:tcPr>
          <w:p w14:paraId="5147DD94"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kern w:val="24"/>
              </w:rPr>
              <w:t>21.05</w:t>
            </w:r>
          </w:p>
        </w:tc>
        <w:tc>
          <w:tcPr>
            <w:tcW w:w="452" w:type="pct"/>
            <w:vAlign w:val="center"/>
          </w:tcPr>
          <w:p w14:paraId="4D0C4DD5"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kern w:val="24"/>
              </w:rPr>
              <w:t>76.71</w:t>
            </w:r>
          </w:p>
        </w:tc>
      </w:tr>
      <w:tr w:rsidR="0086036C" w:rsidRPr="00277350" w14:paraId="5F6E7AF8" w14:textId="77777777" w:rsidTr="002903D1">
        <w:trPr>
          <w:trHeight w:val="738"/>
          <w:jc w:val="center"/>
        </w:trPr>
        <w:tc>
          <w:tcPr>
            <w:tcW w:w="1698" w:type="pct"/>
          </w:tcPr>
          <w:p w14:paraId="2679F79F" w14:textId="77777777" w:rsidR="0086036C" w:rsidRPr="00277350" w:rsidRDefault="0086036C" w:rsidP="002903D1">
            <w:pPr>
              <w:rPr>
                <w:rFonts w:ascii="Times New Roman" w:hAnsi="Times New Roman" w:cs="Times New Roman"/>
                <w:color w:val="000000" w:themeColor="text1"/>
              </w:rPr>
            </w:pPr>
            <w:r w:rsidRPr="00277350">
              <w:rPr>
                <w:rFonts w:ascii="Times New Roman" w:hAnsi="Times New Roman" w:cs="Times New Roman"/>
                <w:color w:val="000000" w:themeColor="text1"/>
              </w:rPr>
              <w:t>2,4,4’-Trichloro-2’-hydroxyphenyl ether</w:t>
            </w:r>
          </w:p>
          <w:p w14:paraId="301D4F20" w14:textId="77777777" w:rsidR="0086036C" w:rsidRPr="00277350" w:rsidRDefault="0086036C" w:rsidP="002903D1">
            <w:pPr>
              <w:rPr>
                <w:rFonts w:ascii="Times New Roman" w:hAnsi="Times New Roman" w:cs="Times New Roman"/>
                <w:color w:val="000000" w:themeColor="text1"/>
              </w:rPr>
            </w:pPr>
          </w:p>
        </w:tc>
        <w:tc>
          <w:tcPr>
            <w:tcW w:w="889" w:type="pct"/>
          </w:tcPr>
          <w:p w14:paraId="6F715996"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themeColor="text1"/>
              </w:rPr>
              <w:t>Triclosan</w:t>
            </w:r>
          </w:p>
        </w:tc>
        <w:tc>
          <w:tcPr>
            <w:tcW w:w="608" w:type="pct"/>
            <w:vAlign w:val="center"/>
          </w:tcPr>
          <w:p w14:paraId="6A86BCF6"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eastAsiaTheme="minorEastAsia" w:hAnsi="Times New Roman" w:cs="Times New Roman"/>
                <w:color w:val="000000"/>
                <w:kern w:val="24"/>
              </w:rPr>
              <w:t>75%</w:t>
            </w:r>
          </w:p>
        </w:tc>
        <w:tc>
          <w:tcPr>
            <w:tcW w:w="677" w:type="pct"/>
            <w:vAlign w:val="center"/>
          </w:tcPr>
          <w:p w14:paraId="4E0C11BE"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kern w:val="24"/>
              </w:rPr>
              <w:t>1.80</w:t>
            </w:r>
          </w:p>
        </w:tc>
        <w:tc>
          <w:tcPr>
            <w:tcW w:w="677" w:type="pct"/>
            <w:vAlign w:val="center"/>
          </w:tcPr>
          <w:p w14:paraId="401180D6"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kern w:val="24"/>
              </w:rPr>
              <w:t>12.22</w:t>
            </w:r>
          </w:p>
        </w:tc>
        <w:tc>
          <w:tcPr>
            <w:tcW w:w="452" w:type="pct"/>
            <w:vAlign w:val="center"/>
          </w:tcPr>
          <w:p w14:paraId="7A887146"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kern w:val="24"/>
              </w:rPr>
              <w:t>49.40</w:t>
            </w:r>
          </w:p>
        </w:tc>
      </w:tr>
      <w:tr w:rsidR="0086036C" w:rsidRPr="00277350" w14:paraId="2AA3DFEE" w14:textId="77777777" w:rsidTr="002903D1">
        <w:trPr>
          <w:trHeight w:val="354"/>
          <w:jc w:val="center"/>
        </w:trPr>
        <w:tc>
          <w:tcPr>
            <w:tcW w:w="1698" w:type="pct"/>
          </w:tcPr>
          <w:p w14:paraId="2C70758E" w14:textId="77777777" w:rsidR="0086036C" w:rsidRPr="00277350" w:rsidRDefault="0086036C" w:rsidP="002903D1">
            <w:pPr>
              <w:rPr>
                <w:rFonts w:ascii="Times New Roman" w:hAnsi="Times New Roman" w:cs="Times New Roman"/>
                <w:color w:val="000000" w:themeColor="text1"/>
              </w:rPr>
            </w:pPr>
            <w:r w:rsidRPr="00277350">
              <w:rPr>
                <w:rFonts w:ascii="Times New Roman" w:hAnsi="Times New Roman" w:cs="Times New Roman"/>
                <w:color w:val="000000" w:themeColor="text1"/>
              </w:rPr>
              <w:t>Ethyl paraben</w:t>
            </w:r>
          </w:p>
          <w:p w14:paraId="715A8CEB" w14:textId="77777777" w:rsidR="0086036C" w:rsidRPr="00277350" w:rsidRDefault="0086036C" w:rsidP="002903D1">
            <w:pPr>
              <w:rPr>
                <w:rFonts w:ascii="Times New Roman" w:hAnsi="Times New Roman" w:cs="Times New Roman"/>
                <w:color w:val="000000" w:themeColor="text1"/>
              </w:rPr>
            </w:pPr>
          </w:p>
        </w:tc>
        <w:tc>
          <w:tcPr>
            <w:tcW w:w="889" w:type="pct"/>
          </w:tcPr>
          <w:p w14:paraId="39DD0663"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themeColor="text1"/>
              </w:rPr>
              <w:t>EPB</w:t>
            </w:r>
          </w:p>
        </w:tc>
        <w:tc>
          <w:tcPr>
            <w:tcW w:w="608" w:type="pct"/>
            <w:vAlign w:val="center"/>
          </w:tcPr>
          <w:p w14:paraId="6F4AD6E8"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eastAsiaTheme="minorEastAsia" w:hAnsi="Times New Roman" w:cs="Times New Roman"/>
                <w:color w:val="000000"/>
                <w:kern w:val="24"/>
              </w:rPr>
              <w:t>50%</w:t>
            </w:r>
          </w:p>
        </w:tc>
        <w:tc>
          <w:tcPr>
            <w:tcW w:w="677" w:type="pct"/>
            <w:vAlign w:val="center"/>
          </w:tcPr>
          <w:p w14:paraId="25238568"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kern w:val="24"/>
              </w:rPr>
              <w:t>0.71</w:t>
            </w:r>
          </w:p>
        </w:tc>
        <w:tc>
          <w:tcPr>
            <w:tcW w:w="677" w:type="pct"/>
            <w:vAlign w:val="center"/>
          </w:tcPr>
          <w:p w14:paraId="5EC1BBAC"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kern w:val="24"/>
              </w:rPr>
              <w:t>2.51</w:t>
            </w:r>
          </w:p>
        </w:tc>
        <w:tc>
          <w:tcPr>
            <w:tcW w:w="452" w:type="pct"/>
            <w:vAlign w:val="center"/>
          </w:tcPr>
          <w:p w14:paraId="4949ADF8"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kern w:val="24"/>
              </w:rPr>
              <w:t>6.70</w:t>
            </w:r>
          </w:p>
        </w:tc>
      </w:tr>
      <w:tr w:rsidR="0086036C" w:rsidRPr="00277350" w14:paraId="6BDAB684" w14:textId="77777777" w:rsidTr="002903D1">
        <w:trPr>
          <w:trHeight w:val="531"/>
          <w:jc w:val="center"/>
        </w:trPr>
        <w:tc>
          <w:tcPr>
            <w:tcW w:w="1698" w:type="pct"/>
          </w:tcPr>
          <w:p w14:paraId="6BD28952" w14:textId="77777777" w:rsidR="0086036C" w:rsidRPr="00277350" w:rsidRDefault="0086036C" w:rsidP="002903D1">
            <w:pPr>
              <w:rPr>
                <w:rFonts w:ascii="Times New Roman" w:hAnsi="Times New Roman" w:cs="Times New Roman"/>
                <w:color w:val="000000" w:themeColor="text1"/>
              </w:rPr>
            </w:pPr>
            <w:r w:rsidRPr="00277350">
              <w:rPr>
                <w:rFonts w:ascii="Times New Roman" w:hAnsi="Times New Roman" w:cs="Times New Roman"/>
                <w:color w:val="000000" w:themeColor="text1"/>
              </w:rPr>
              <w:t>Methyl paraben</w:t>
            </w:r>
          </w:p>
        </w:tc>
        <w:tc>
          <w:tcPr>
            <w:tcW w:w="889" w:type="pct"/>
          </w:tcPr>
          <w:p w14:paraId="06EB0328"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themeColor="text1"/>
              </w:rPr>
              <w:t>MPB</w:t>
            </w:r>
          </w:p>
        </w:tc>
        <w:tc>
          <w:tcPr>
            <w:tcW w:w="608" w:type="pct"/>
            <w:vAlign w:val="center"/>
          </w:tcPr>
          <w:p w14:paraId="00E4CC75"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eastAsiaTheme="minorEastAsia" w:hAnsi="Times New Roman" w:cs="Times New Roman"/>
                <w:color w:val="000000"/>
                <w:kern w:val="24"/>
              </w:rPr>
              <w:t>99%</w:t>
            </w:r>
          </w:p>
        </w:tc>
        <w:tc>
          <w:tcPr>
            <w:tcW w:w="677" w:type="pct"/>
            <w:vAlign w:val="center"/>
          </w:tcPr>
          <w:p w14:paraId="64845D73"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kern w:val="24"/>
              </w:rPr>
              <w:t>13.33</w:t>
            </w:r>
          </w:p>
        </w:tc>
        <w:tc>
          <w:tcPr>
            <w:tcW w:w="677" w:type="pct"/>
            <w:vAlign w:val="center"/>
          </w:tcPr>
          <w:p w14:paraId="4501E06A"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kern w:val="24"/>
              </w:rPr>
              <w:t>51.21</w:t>
            </w:r>
          </w:p>
        </w:tc>
        <w:tc>
          <w:tcPr>
            <w:tcW w:w="452" w:type="pct"/>
            <w:vAlign w:val="center"/>
          </w:tcPr>
          <w:p w14:paraId="740B2D6D"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kern w:val="24"/>
              </w:rPr>
              <w:t>192.50</w:t>
            </w:r>
          </w:p>
        </w:tc>
      </w:tr>
      <w:tr w:rsidR="0086036C" w:rsidRPr="00277350" w14:paraId="66069D35" w14:textId="77777777" w:rsidTr="002903D1">
        <w:trPr>
          <w:trHeight w:val="423"/>
          <w:jc w:val="center"/>
        </w:trPr>
        <w:tc>
          <w:tcPr>
            <w:tcW w:w="1698" w:type="pct"/>
          </w:tcPr>
          <w:p w14:paraId="4098D2D3" w14:textId="77777777" w:rsidR="0086036C" w:rsidRPr="00277350" w:rsidRDefault="0086036C" w:rsidP="002903D1">
            <w:pPr>
              <w:rPr>
                <w:rFonts w:ascii="Times New Roman" w:hAnsi="Times New Roman" w:cs="Times New Roman"/>
                <w:color w:val="000000" w:themeColor="text1"/>
              </w:rPr>
            </w:pPr>
            <w:r w:rsidRPr="00277350">
              <w:rPr>
                <w:rFonts w:ascii="Times New Roman" w:hAnsi="Times New Roman" w:cs="Times New Roman"/>
                <w:color w:val="000000" w:themeColor="text1"/>
              </w:rPr>
              <w:t>Propyl paraben</w:t>
            </w:r>
          </w:p>
        </w:tc>
        <w:tc>
          <w:tcPr>
            <w:tcW w:w="889" w:type="pct"/>
          </w:tcPr>
          <w:p w14:paraId="41DCBFA5"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themeColor="text1"/>
              </w:rPr>
              <w:t>PPB</w:t>
            </w:r>
          </w:p>
        </w:tc>
        <w:tc>
          <w:tcPr>
            <w:tcW w:w="608" w:type="pct"/>
            <w:vAlign w:val="center"/>
          </w:tcPr>
          <w:p w14:paraId="4CB0F25C"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eastAsiaTheme="minorEastAsia" w:hAnsi="Times New Roman" w:cs="Times New Roman"/>
                <w:color w:val="000000"/>
                <w:kern w:val="24"/>
              </w:rPr>
              <w:t>95%</w:t>
            </w:r>
          </w:p>
        </w:tc>
        <w:tc>
          <w:tcPr>
            <w:tcW w:w="677" w:type="pct"/>
            <w:vAlign w:val="center"/>
          </w:tcPr>
          <w:p w14:paraId="3B4E8FF5"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kern w:val="24"/>
              </w:rPr>
              <w:t>1.11</w:t>
            </w:r>
          </w:p>
        </w:tc>
        <w:tc>
          <w:tcPr>
            <w:tcW w:w="677" w:type="pct"/>
            <w:vAlign w:val="center"/>
          </w:tcPr>
          <w:p w14:paraId="4FF5905B"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kern w:val="24"/>
              </w:rPr>
              <w:t>6.72</w:t>
            </w:r>
          </w:p>
        </w:tc>
        <w:tc>
          <w:tcPr>
            <w:tcW w:w="452" w:type="pct"/>
            <w:vAlign w:val="center"/>
          </w:tcPr>
          <w:p w14:paraId="1AAFD18C"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kern w:val="24"/>
              </w:rPr>
              <w:t>40.90</w:t>
            </w:r>
          </w:p>
        </w:tc>
      </w:tr>
    </w:tbl>
    <w:p w14:paraId="29BD58AA" w14:textId="654B75FE" w:rsidR="0086036C" w:rsidRPr="00277350" w:rsidRDefault="0086036C" w:rsidP="00927C64">
      <w:pPr>
        <w:pStyle w:val="ListParagraph"/>
        <w:numPr>
          <w:ilvl w:val="0"/>
          <w:numId w:val="2"/>
        </w:numPr>
        <w:spacing w:after="0" w:line="240" w:lineRule="auto"/>
        <w:rPr>
          <w:rFonts w:ascii="Times New Roman" w:hAnsi="Times New Roman" w:cs="Times New Roman"/>
          <w:i/>
          <w:iCs/>
          <w:color w:val="000000" w:themeColor="text1"/>
        </w:rPr>
      </w:pPr>
      <w:r w:rsidRPr="00277350">
        <w:rPr>
          <w:rFonts w:ascii="Times New Roman" w:hAnsi="Times New Roman" w:cs="Times New Roman"/>
          <w:i/>
          <w:iCs/>
          <w:color w:val="000000" w:themeColor="text1"/>
        </w:rPr>
        <w:t xml:space="preserve"> %&gt;LOD represents the limit of detection of phenol metabolite concentrations. Values below the detection limit are imputed as LOD </w:t>
      </w:r>
      <m:oMath>
        <m:rad>
          <m:radPr>
            <m:degHide m:val="1"/>
            <m:ctrlPr>
              <w:rPr>
                <w:rFonts w:ascii="Cambria Math" w:hAnsi="Cambria Math" w:cs="Times New Roman"/>
                <w:i/>
                <w:iCs/>
                <w:color w:val="000000" w:themeColor="text1"/>
              </w:rPr>
            </m:ctrlPr>
          </m:radPr>
          <m:deg/>
          <m:e>
            <m:r>
              <w:rPr>
                <w:rFonts w:ascii="Cambria Math" w:hAnsi="Cambria Math" w:cs="Times New Roman"/>
                <w:color w:val="000000" w:themeColor="text1"/>
              </w:rPr>
              <m:t>2</m:t>
            </m:r>
          </m:e>
        </m:rad>
        <m:r>
          <w:rPr>
            <w:rFonts w:ascii="Cambria Math" w:hAnsi="Cambria Math" w:cs="Times New Roman"/>
            <w:color w:val="000000" w:themeColor="text1"/>
          </w:rPr>
          <m:t> </m:t>
        </m:r>
      </m:oMath>
      <w:r w:rsidRPr="00277350">
        <w:rPr>
          <w:rFonts w:ascii="Times New Roman" w:hAnsi="Times New Roman" w:cs="Times New Roman"/>
          <w:i/>
          <w:iCs/>
          <w:color w:val="000000" w:themeColor="text1"/>
        </w:rPr>
        <w:t xml:space="preserve">by NHANES. The 25th and 75th percentiles are log-transformed. GM represents the geometric mean. </w:t>
      </w:r>
    </w:p>
    <w:p w14:paraId="18AED260" w14:textId="77777777" w:rsidR="00CE1027" w:rsidRPr="00277350" w:rsidRDefault="00CE1027" w:rsidP="00CE1027">
      <w:pPr>
        <w:pStyle w:val="ListParagraph"/>
        <w:spacing w:after="0" w:line="240" w:lineRule="auto"/>
        <w:rPr>
          <w:rFonts w:ascii="Times New Roman" w:hAnsi="Times New Roman" w:cs="Times New Roman"/>
          <w:i/>
          <w:iCs/>
          <w:color w:val="000000" w:themeColor="text1"/>
        </w:rPr>
      </w:pPr>
    </w:p>
    <w:p w14:paraId="5FADC222" w14:textId="19EBC1AC" w:rsidR="0086036C" w:rsidRPr="00277350" w:rsidRDefault="0086036C" w:rsidP="00CE1027">
      <w:pPr>
        <w:spacing w:line="240" w:lineRule="auto"/>
        <w:rPr>
          <w:rFonts w:ascii="Times New Roman" w:hAnsi="Times New Roman" w:cs="Times New Roman"/>
          <w:i/>
          <w:iCs/>
          <w:color w:val="000000" w:themeColor="text1"/>
        </w:rPr>
      </w:pPr>
      <w:r w:rsidRPr="00277350">
        <w:rPr>
          <w:rFonts w:ascii="Times New Roman" w:hAnsi="Times New Roman" w:cs="Times New Roman"/>
          <w:i/>
          <w:iCs/>
          <w:color w:val="000000" w:themeColor="text1"/>
        </w:rPr>
        <w:lastRenderedPageBreak/>
        <w:t>Detection Frequency and Distribution</w:t>
      </w:r>
    </w:p>
    <w:p w14:paraId="280017DB" w14:textId="34F39E2A" w:rsidR="0086036C" w:rsidRPr="00AA3B9E" w:rsidRDefault="0086036C" w:rsidP="00AA3B9E">
      <w:pPr>
        <w:spacing w:line="240" w:lineRule="auto"/>
        <w:ind w:firstLine="720"/>
        <w:rPr>
          <w:rFonts w:ascii="Times New Roman" w:hAnsi="Times New Roman" w:cs="Times New Roman"/>
          <w:kern w:val="0"/>
        </w:rPr>
      </w:pPr>
      <w:r w:rsidRPr="00277350">
        <w:rPr>
          <w:rFonts w:ascii="Times New Roman" w:hAnsi="Times New Roman" w:cs="Times New Roman"/>
          <w:kern w:val="0"/>
        </w:rPr>
        <w:t xml:space="preserve">Most urinary phenol metabolite concentrations had detection frequencies 90% of higher </w:t>
      </w:r>
      <w:proofErr w:type="gramStart"/>
      <w:r w:rsidRPr="00277350">
        <w:rPr>
          <w:rFonts w:ascii="Times New Roman" w:hAnsi="Times New Roman" w:cs="Times New Roman"/>
          <w:kern w:val="0"/>
        </w:rPr>
        <w:t>with the exception of</w:t>
      </w:r>
      <w:proofErr w:type="gramEnd"/>
      <w:r w:rsidRPr="00277350">
        <w:rPr>
          <w:rFonts w:ascii="Times New Roman" w:hAnsi="Times New Roman" w:cs="Times New Roman"/>
          <w:kern w:val="0"/>
        </w:rPr>
        <w:t xml:space="preserve"> ethyl paraben (50%) and triclosan (75%). Methyl paraben had the highest geometric mean of 51.21 ng/mL, while Bisphenol A was the lowest geometric mean of 1.52 ng/mL. All phenols were positively correlated with modest correlations between methyl paraben and propyl paraben </w:t>
      </w:r>
      <w:r w:rsidRPr="00277350">
        <w:rPr>
          <w:rFonts w:ascii="Times New Roman" w:hAnsi="Times New Roman" w:cs="Times New Roman"/>
          <w:color w:val="000000" w:themeColor="text1"/>
        </w:rPr>
        <w:t>(</w:t>
      </w:r>
      <w:r w:rsidRPr="00277350">
        <w:rPr>
          <w:rFonts w:ascii="Times New Roman" w:hAnsi="Times New Roman" w:cs="Times New Roman"/>
          <w:kern w:val="0"/>
        </w:rPr>
        <w:t xml:space="preserve">Spearman </w:t>
      </w:r>
      <w:r w:rsidRPr="00277350">
        <w:rPr>
          <w:rFonts w:ascii="Times New Roman" w:hAnsi="Times New Roman" w:cs="Times New Roman"/>
          <w:color w:val="000000" w:themeColor="text1"/>
        </w:rPr>
        <w:t>ρ= 0.82). (Supplemental Figure 2).</w:t>
      </w:r>
      <w:r w:rsidRPr="00277350">
        <w:rPr>
          <w:rFonts w:ascii="Times New Roman" w:hAnsi="Times New Roman" w:cs="Times New Roman"/>
          <w:b/>
          <w:bCs/>
          <w:color w:val="000000" w:themeColor="text1"/>
          <w:sz w:val="4"/>
          <w:szCs w:val="4"/>
        </w:rPr>
        <w:br w:type="page"/>
      </w:r>
    </w:p>
    <w:p w14:paraId="5F3FE0FB" w14:textId="12438AA6" w:rsidR="0086036C" w:rsidRPr="00277350" w:rsidRDefault="0086036C" w:rsidP="00CE1027">
      <w:pPr>
        <w:pStyle w:val="Heading1"/>
        <w:rPr>
          <w:rFonts w:ascii="Times New Roman" w:hAnsi="Times New Roman" w:cs="Times New Roman"/>
          <w:b/>
          <w:bCs/>
          <w:color w:val="000000" w:themeColor="text1"/>
          <w:sz w:val="26"/>
          <w:szCs w:val="26"/>
        </w:rPr>
      </w:pPr>
      <w:r w:rsidRPr="00277350">
        <w:rPr>
          <w:rFonts w:ascii="Times New Roman" w:hAnsi="Times New Roman" w:cs="Times New Roman"/>
          <w:b/>
          <w:bCs/>
          <w:color w:val="000000" w:themeColor="text1"/>
          <w:sz w:val="26"/>
          <w:szCs w:val="26"/>
        </w:rPr>
        <w:lastRenderedPageBreak/>
        <w:t xml:space="preserve">Table 3: Adjusted Linear Regression: Self-Reported Food Security Status and Urinary Phenol Metabolites </w:t>
      </w:r>
    </w:p>
    <w:tbl>
      <w:tblPr>
        <w:tblStyle w:val="TableGrid"/>
        <w:tblW w:w="9670" w:type="dxa"/>
        <w:tblInd w:w="-113" w:type="dxa"/>
        <w:tblBorders>
          <w:insideH w:val="none" w:sz="0" w:space="0" w:color="auto"/>
          <w:insideV w:val="none" w:sz="0" w:space="0" w:color="auto"/>
        </w:tblBorders>
        <w:tblLook w:val="04A0" w:firstRow="1" w:lastRow="0" w:firstColumn="1" w:lastColumn="0" w:noHBand="0" w:noVBand="1"/>
      </w:tblPr>
      <w:tblGrid>
        <w:gridCol w:w="2233"/>
        <w:gridCol w:w="2494"/>
        <w:gridCol w:w="2130"/>
        <w:gridCol w:w="1537"/>
        <w:gridCol w:w="1276"/>
      </w:tblGrid>
      <w:tr w:rsidR="00CE1027" w:rsidRPr="00277350" w14:paraId="64675839" w14:textId="77777777" w:rsidTr="00CE1027">
        <w:trPr>
          <w:trHeight w:val="372"/>
        </w:trPr>
        <w:tc>
          <w:tcPr>
            <w:tcW w:w="2233" w:type="dxa"/>
            <w:tcBorders>
              <w:bottom w:val="single" w:sz="4" w:space="0" w:color="auto"/>
            </w:tcBorders>
            <w:shd w:val="clear" w:color="auto" w:fill="000000" w:themeFill="text1"/>
            <w:vAlign w:val="center"/>
            <w:hideMark/>
          </w:tcPr>
          <w:p w14:paraId="30A6F286" w14:textId="77777777" w:rsidR="00CE1027" w:rsidRPr="00277350" w:rsidRDefault="00CE1027" w:rsidP="002903D1">
            <w:pPr>
              <w:jc w:val="center"/>
              <w:rPr>
                <w:rFonts w:ascii="Times New Roman" w:hAnsi="Times New Roman" w:cs="Times New Roman"/>
                <w:b/>
                <w:bCs/>
              </w:rPr>
            </w:pPr>
            <w:r w:rsidRPr="00277350">
              <w:rPr>
                <w:rFonts w:ascii="Times New Roman" w:hAnsi="Times New Roman" w:cs="Times New Roman"/>
                <w:b/>
                <w:bCs/>
              </w:rPr>
              <w:t>Phenol Metabolite</w:t>
            </w:r>
          </w:p>
        </w:tc>
        <w:tc>
          <w:tcPr>
            <w:tcW w:w="2494" w:type="dxa"/>
            <w:tcBorders>
              <w:bottom w:val="nil"/>
            </w:tcBorders>
            <w:shd w:val="clear" w:color="auto" w:fill="000000" w:themeFill="text1"/>
            <w:vAlign w:val="center"/>
            <w:hideMark/>
          </w:tcPr>
          <w:p w14:paraId="0FB2C364" w14:textId="77777777" w:rsidR="00CE1027" w:rsidRPr="00277350" w:rsidRDefault="00CE1027" w:rsidP="002903D1">
            <w:pPr>
              <w:jc w:val="center"/>
              <w:rPr>
                <w:rFonts w:ascii="Times New Roman" w:hAnsi="Times New Roman" w:cs="Times New Roman"/>
                <w:b/>
                <w:bCs/>
              </w:rPr>
            </w:pPr>
            <w:r w:rsidRPr="00277350">
              <w:rPr>
                <w:rFonts w:ascii="Times New Roman" w:hAnsi="Times New Roman" w:cs="Times New Roman"/>
                <w:b/>
                <w:bCs/>
              </w:rPr>
              <w:t>Food Security Level</w:t>
            </w:r>
          </w:p>
        </w:tc>
        <w:tc>
          <w:tcPr>
            <w:tcW w:w="2130" w:type="dxa"/>
            <w:tcBorders>
              <w:bottom w:val="nil"/>
            </w:tcBorders>
            <w:shd w:val="clear" w:color="auto" w:fill="000000" w:themeFill="text1"/>
            <w:vAlign w:val="center"/>
            <w:hideMark/>
          </w:tcPr>
          <w:p w14:paraId="57FE9C75" w14:textId="77777777" w:rsidR="00CE1027" w:rsidRPr="00277350" w:rsidRDefault="00CE1027" w:rsidP="002903D1">
            <w:pPr>
              <w:jc w:val="center"/>
              <w:rPr>
                <w:rFonts w:ascii="Times New Roman" w:hAnsi="Times New Roman" w:cs="Times New Roman"/>
                <w:b/>
                <w:bCs/>
              </w:rPr>
            </w:pPr>
            <w:r w:rsidRPr="00277350">
              <w:rPr>
                <w:rFonts w:ascii="Times New Roman" w:hAnsi="Times New Roman" w:cs="Times New Roman"/>
                <w:b/>
                <w:bCs/>
              </w:rPr>
              <w:t>% Difference</w:t>
            </w:r>
          </w:p>
        </w:tc>
        <w:tc>
          <w:tcPr>
            <w:tcW w:w="2813" w:type="dxa"/>
            <w:gridSpan w:val="2"/>
            <w:tcBorders>
              <w:bottom w:val="nil"/>
            </w:tcBorders>
            <w:shd w:val="clear" w:color="auto" w:fill="000000" w:themeFill="text1"/>
            <w:vAlign w:val="center"/>
            <w:hideMark/>
          </w:tcPr>
          <w:p w14:paraId="5DC51922" w14:textId="77777777" w:rsidR="00CE1027" w:rsidRPr="00277350" w:rsidRDefault="00CE1027" w:rsidP="002903D1">
            <w:pPr>
              <w:rPr>
                <w:rFonts w:ascii="Times New Roman" w:hAnsi="Times New Roman" w:cs="Times New Roman"/>
                <w:b/>
                <w:bCs/>
              </w:rPr>
            </w:pPr>
            <w:r w:rsidRPr="00277350">
              <w:rPr>
                <w:rFonts w:ascii="Times New Roman" w:hAnsi="Times New Roman" w:cs="Times New Roman"/>
                <w:b/>
                <w:bCs/>
              </w:rPr>
              <w:t xml:space="preserve">  95% LCI        95% UCI            </w:t>
            </w:r>
          </w:p>
        </w:tc>
      </w:tr>
      <w:tr w:rsidR="00CE1027" w:rsidRPr="00277350" w14:paraId="165A5A43" w14:textId="77777777" w:rsidTr="00CE1027">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6BB06097" w14:textId="77777777" w:rsidR="00CE1027" w:rsidRPr="00277350" w:rsidRDefault="00CE1027" w:rsidP="002903D1">
            <w:pPr>
              <w:jc w:val="center"/>
              <w:rPr>
                <w:rFonts w:ascii="Times New Roman" w:hAnsi="Times New Roman" w:cs="Times New Roman"/>
                <w:b/>
                <w:bCs/>
              </w:rPr>
            </w:pPr>
            <w:r w:rsidRPr="00277350">
              <w:rPr>
                <w:rFonts w:ascii="Times New Roman" w:hAnsi="Times New Roman" w:cs="Times New Roman"/>
                <w:b/>
                <w:bCs/>
              </w:rPr>
              <w:t>BPA</w:t>
            </w:r>
          </w:p>
        </w:tc>
        <w:tc>
          <w:tcPr>
            <w:tcW w:w="2494" w:type="dxa"/>
            <w:tcBorders>
              <w:top w:val="nil"/>
              <w:left w:val="single" w:sz="4" w:space="0" w:color="auto"/>
              <w:bottom w:val="single" w:sz="4" w:space="0" w:color="auto"/>
              <w:right w:val="single" w:sz="4" w:space="0" w:color="auto"/>
            </w:tcBorders>
            <w:noWrap/>
            <w:vAlign w:val="center"/>
            <w:hideMark/>
          </w:tcPr>
          <w:p w14:paraId="6876718C" w14:textId="77777777" w:rsidR="00CE1027" w:rsidRPr="00277350" w:rsidRDefault="00CE1027" w:rsidP="002903D1">
            <w:pPr>
              <w:jc w:val="center"/>
              <w:rPr>
                <w:rFonts w:ascii="Times New Roman" w:hAnsi="Times New Roman" w:cs="Times New Roman"/>
              </w:rPr>
            </w:pPr>
            <w:r w:rsidRPr="00277350">
              <w:rPr>
                <w:rFonts w:ascii="Times New Roman" w:hAnsi="Times New Roman" w:cs="Times New Roman"/>
              </w:rPr>
              <w:t xml:space="preserve"> High (Ref)</w:t>
            </w:r>
          </w:p>
        </w:tc>
        <w:tc>
          <w:tcPr>
            <w:tcW w:w="2130" w:type="dxa"/>
            <w:tcBorders>
              <w:top w:val="nil"/>
              <w:left w:val="single" w:sz="4" w:space="0" w:color="auto"/>
              <w:bottom w:val="single" w:sz="4" w:space="0" w:color="auto"/>
              <w:right w:val="single" w:sz="4" w:space="0" w:color="auto"/>
            </w:tcBorders>
            <w:noWrap/>
            <w:vAlign w:val="center"/>
            <w:hideMark/>
          </w:tcPr>
          <w:p w14:paraId="22EEE8E5" w14:textId="77777777" w:rsidR="00CE1027" w:rsidRPr="00277350" w:rsidRDefault="00CE1027" w:rsidP="002903D1">
            <w:pPr>
              <w:jc w:val="center"/>
              <w:rPr>
                <w:rFonts w:ascii="Times New Roman" w:hAnsi="Times New Roman" w:cs="Times New Roman"/>
              </w:rPr>
            </w:pPr>
          </w:p>
        </w:tc>
        <w:tc>
          <w:tcPr>
            <w:tcW w:w="1537" w:type="dxa"/>
            <w:tcBorders>
              <w:top w:val="nil"/>
              <w:left w:val="single" w:sz="4" w:space="0" w:color="auto"/>
              <w:bottom w:val="single" w:sz="4" w:space="0" w:color="auto"/>
              <w:right w:val="single" w:sz="4" w:space="0" w:color="auto"/>
            </w:tcBorders>
            <w:noWrap/>
            <w:vAlign w:val="center"/>
            <w:hideMark/>
          </w:tcPr>
          <w:p w14:paraId="42695549" w14:textId="77777777" w:rsidR="00CE1027" w:rsidRPr="00277350" w:rsidRDefault="00CE1027" w:rsidP="002903D1">
            <w:pPr>
              <w:jc w:val="center"/>
              <w:rPr>
                <w:rFonts w:ascii="Times New Roman" w:hAnsi="Times New Roman" w:cs="Times New Roman"/>
              </w:rPr>
            </w:pPr>
          </w:p>
        </w:tc>
        <w:tc>
          <w:tcPr>
            <w:tcW w:w="1276" w:type="dxa"/>
            <w:tcBorders>
              <w:top w:val="nil"/>
              <w:left w:val="single" w:sz="4" w:space="0" w:color="auto"/>
              <w:bottom w:val="single" w:sz="4" w:space="0" w:color="auto"/>
              <w:right w:val="single" w:sz="4" w:space="0" w:color="auto"/>
            </w:tcBorders>
            <w:noWrap/>
            <w:vAlign w:val="center"/>
            <w:hideMark/>
          </w:tcPr>
          <w:p w14:paraId="5DF99EEB" w14:textId="77777777" w:rsidR="00CE1027" w:rsidRPr="00277350" w:rsidRDefault="00CE1027" w:rsidP="002903D1">
            <w:pPr>
              <w:jc w:val="center"/>
              <w:rPr>
                <w:rFonts w:ascii="Times New Roman" w:hAnsi="Times New Roman" w:cs="Times New Roman"/>
              </w:rPr>
            </w:pPr>
          </w:p>
        </w:tc>
      </w:tr>
      <w:tr w:rsidR="00CE1027" w:rsidRPr="00277350" w14:paraId="6C3309AD" w14:textId="77777777" w:rsidTr="00CE1027">
        <w:trPr>
          <w:trHeight w:val="243"/>
        </w:trPr>
        <w:tc>
          <w:tcPr>
            <w:tcW w:w="2233" w:type="dxa"/>
            <w:vMerge/>
            <w:tcBorders>
              <w:top w:val="single" w:sz="4" w:space="0" w:color="auto"/>
              <w:bottom w:val="single" w:sz="4" w:space="0" w:color="auto"/>
              <w:right w:val="single" w:sz="4" w:space="0" w:color="auto"/>
            </w:tcBorders>
            <w:noWrap/>
            <w:vAlign w:val="center"/>
            <w:hideMark/>
          </w:tcPr>
          <w:p w14:paraId="234572BD" w14:textId="77777777" w:rsidR="00CE1027" w:rsidRPr="00277350" w:rsidRDefault="00CE1027" w:rsidP="002903D1">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vAlign w:val="center"/>
            <w:hideMark/>
          </w:tcPr>
          <w:p w14:paraId="3A4F918E" w14:textId="77777777" w:rsidR="00CE1027" w:rsidRPr="00277350" w:rsidRDefault="00CE1027" w:rsidP="002903D1">
            <w:pPr>
              <w:jc w:val="center"/>
              <w:rPr>
                <w:rFonts w:ascii="Times New Roman" w:hAnsi="Times New Roman" w:cs="Times New Roman"/>
              </w:rPr>
            </w:pPr>
            <w:r w:rsidRPr="00277350">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198FC6B6" w14:textId="77777777" w:rsidR="00CE1027" w:rsidRPr="00277350" w:rsidRDefault="00CE1027" w:rsidP="002903D1">
            <w:pPr>
              <w:jc w:val="center"/>
              <w:rPr>
                <w:rFonts w:ascii="Times New Roman" w:hAnsi="Times New Roman" w:cs="Times New Roman"/>
              </w:rPr>
            </w:pPr>
            <w:r w:rsidRPr="00277350">
              <w:rPr>
                <w:rFonts w:ascii="Times New Roman" w:hAnsi="Times New Roman" w:cs="Times New Roman"/>
                <w:color w:val="000000"/>
              </w:rPr>
              <w:t>1.80</w:t>
            </w:r>
          </w:p>
        </w:tc>
        <w:tc>
          <w:tcPr>
            <w:tcW w:w="1537" w:type="dxa"/>
            <w:tcBorders>
              <w:top w:val="single" w:sz="4" w:space="0" w:color="auto"/>
              <w:left w:val="single" w:sz="4" w:space="0" w:color="auto"/>
              <w:bottom w:val="single" w:sz="4" w:space="0" w:color="auto"/>
              <w:right w:val="single" w:sz="4" w:space="0" w:color="auto"/>
            </w:tcBorders>
            <w:noWrap/>
            <w:hideMark/>
          </w:tcPr>
          <w:p w14:paraId="3BC6EA97" w14:textId="77777777" w:rsidR="00CE1027" w:rsidRPr="00277350" w:rsidRDefault="00CE1027" w:rsidP="002903D1">
            <w:pPr>
              <w:jc w:val="center"/>
              <w:rPr>
                <w:rFonts w:ascii="Times New Roman" w:hAnsi="Times New Roman" w:cs="Times New Roman"/>
              </w:rPr>
            </w:pPr>
            <w:r w:rsidRPr="00277350">
              <w:rPr>
                <w:rFonts w:ascii="Times New Roman" w:hAnsi="Times New Roman" w:cs="Times New Roman"/>
                <w:color w:val="000000"/>
              </w:rPr>
              <w:t>-5.91</w:t>
            </w:r>
          </w:p>
        </w:tc>
        <w:tc>
          <w:tcPr>
            <w:tcW w:w="1276" w:type="dxa"/>
            <w:tcBorders>
              <w:top w:val="single" w:sz="4" w:space="0" w:color="auto"/>
              <w:left w:val="single" w:sz="4" w:space="0" w:color="auto"/>
              <w:bottom w:val="single" w:sz="4" w:space="0" w:color="auto"/>
              <w:right w:val="single" w:sz="4" w:space="0" w:color="auto"/>
            </w:tcBorders>
            <w:noWrap/>
            <w:hideMark/>
          </w:tcPr>
          <w:p w14:paraId="59227EB7" w14:textId="77777777" w:rsidR="00CE1027" w:rsidRPr="00277350" w:rsidRDefault="00CE1027" w:rsidP="002903D1">
            <w:pPr>
              <w:jc w:val="center"/>
              <w:rPr>
                <w:rFonts w:ascii="Times New Roman" w:hAnsi="Times New Roman" w:cs="Times New Roman"/>
              </w:rPr>
            </w:pPr>
            <w:r w:rsidRPr="00277350">
              <w:rPr>
                <w:rFonts w:ascii="Times New Roman" w:hAnsi="Times New Roman" w:cs="Times New Roman"/>
                <w:color w:val="000000"/>
              </w:rPr>
              <w:t>10.15</w:t>
            </w:r>
          </w:p>
        </w:tc>
      </w:tr>
      <w:tr w:rsidR="00CE1027" w:rsidRPr="00277350" w14:paraId="485D7292" w14:textId="77777777" w:rsidTr="00CE1027">
        <w:trPr>
          <w:trHeight w:val="243"/>
        </w:trPr>
        <w:tc>
          <w:tcPr>
            <w:tcW w:w="2233" w:type="dxa"/>
            <w:vMerge/>
            <w:tcBorders>
              <w:top w:val="single" w:sz="4" w:space="0" w:color="auto"/>
              <w:bottom w:val="single" w:sz="4" w:space="0" w:color="auto"/>
              <w:right w:val="single" w:sz="4" w:space="0" w:color="auto"/>
            </w:tcBorders>
            <w:noWrap/>
            <w:vAlign w:val="center"/>
            <w:hideMark/>
          </w:tcPr>
          <w:p w14:paraId="7D07308C" w14:textId="77777777" w:rsidR="00CE1027" w:rsidRPr="00277350" w:rsidRDefault="00CE1027" w:rsidP="002903D1">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vAlign w:val="center"/>
            <w:hideMark/>
          </w:tcPr>
          <w:p w14:paraId="17DE710F" w14:textId="77777777" w:rsidR="00CE1027" w:rsidRPr="00277350" w:rsidRDefault="00CE1027" w:rsidP="002903D1">
            <w:pPr>
              <w:jc w:val="center"/>
              <w:rPr>
                <w:rFonts w:ascii="Times New Roman" w:hAnsi="Times New Roman" w:cs="Times New Roman"/>
              </w:rPr>
            </w:pPr>
            <w:r w:rsidRPr="00277350">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4BA40C36" w14:textId="77777777" w:rsidR="00CE1027" w:rsidRPr="00277350" w:rsidRDefault="00CE1027" w:rsidP="002903D1">
            <w:pPr>
              <w:jc w:val="center"/>
              <w:rPr>
                <w:rFonts w:ascii="Times New Roman" w:hAnsi="Times New Roman" w:cs="Times New Roman"/>
              </w:rPr>
            </w:pPr>
            <w:r w:rsidRPr="00277350">
              <w:rPr>
                <w:rFonts w:ascii="Times New Roman" w:hAnsi="Times New Roman" w:cs="Times New Roman"/>
                <w:color w:val="000000"/>
              </w:rPr>
              <w:t>7.53</w:t>
            </w:r>
          </w:p>
        </w:tc>
        <w:tc>
          <w:tcPr>
            <w:tcW w:w="1537" w:type="dxa"/>
            <w:tcBorders>
              <w:top w:val="single" w:sz="4" w:space="0" w:color="auto"/>
              <w:left w:val="single" w:sz="4" w:space="0" w:color="auto"/>
              <w:bottom w:val="single" w:sz="4" w:space="0" w:color="auto"/>
              <w:right w:val="single" w:sz="4" w:space="0" w:color="auto"/>
            </w:tcBorders>
            <w:noWrap/>
            <w:hideMark/>
          </w:tcPr>
          <w:p w14:paraId="6F75638F" w14:textId="77777777" w:rsidR="00CE1027" w:rsidRPr="00277350" w:rsidRDefault="00CE1027" w:rsidP="002903D1">
            <w:pPr>
              <w:jc w:val="center"/>
              <w:rPr>
                <w:rFonts w:ascii="Times New Roman" w:hAnsi="Times New Roman" w:cs="Times New Roman"/>
              </w:rPr>
            </w:pPr>
            <w:r w:rsidRPr="00277350">
              <w:rPr>
                <w:rFonts w:ascii="Times New Roman" w:hAnsi="Times New Roman" w:cs="Times New Roman"/>
                <w:color w:val="000000"/>
              </w:rPr>
              <w:t>-1.27</w:t>
            </w:r>
          </w:p>
        </w:tc>
        <w:tc>
          <w:tcPr>
            <w:tcW w:w="1276" w:type="dxa"/>
            <w:tcBorders>
              <w:top w:val="single" w:sz="4" w:space="0" w:color="auto"/>
              <w:left w:val="single" w:sz="4" w:space="0" w:color="auto"/>
              <w:bottom w:val="single" w:sz="4" w:space="0" w:color="auto"/>
              <w:right w:val="single" w:sz="4" w:space="0" w:color="auto"/>
            </w:tcBorders>
            <w:noWrap/>
            <w:hideMark/>
          </w:tcPr>
          <w:p w14:paraId="05794D07" w14:textId="77777777" w:rsidR="00CE1027" w:rsidRPr="00277350" w:rsidRDefault="00CE1027" w:rsidP="002903D1">
            <w:pPr>
              <w:jc w:val="center"/>
              <w:rPr>
                <w:rFonts w:ascii="Times New Roman" w:hAnsi="Times New Roman" w:cs="Times New Roman"/>
              </w:rPr>
            </w:pPr>
            <w:r w:rsidRPr="00277350">
              <w:rPr>
                <w:rFonts w:ascii="Times New Roman" w:hAnsi="Times New Roman" w:cs="Times New Roman"/>
                <w:color w:val="000000"/>
              </w:rPr>
              <w:t>17.12</w:t>
            </w:r>
          </w:p>
        </w:tc>
      </w:tr>
      <w:tr w:rsidR="00CE1027" w:rsidRPr="00277350" w14:paraId="5492E5A3" w14:textId="77777777" w:rsidTr="00CE1027">
        <w:trPr>
          <w:trHeight w:val="243"/>
        </w:trPr>
        <w:tc>
          <w:tcPr>
            <w:tcW w:w="2233" w:type="dxa"/>
            <w:vMerge/>
            <w:tcBorders>
              <w:top w:val="single" w:sz="4" w:space="0" w:color="auto"/>
              <w:bottom w:val="single" w:sz="4" w:space="0" w:color="auto"/>
              <w:right w:val="single" w:sz="4" w:space="0" w:color="auto"/>
            </w:tcBorders>
            <w:noWrap/>
            <w:vAlign w:val="center"/>
            <w:hideMark/>
          </w:tcPr>
          <w:p w14:paraId="440135F6" w14:textId="77777777" w:rsidR="00CE1027" w:rsidRPr="00277350" w:rsidRDefault="00CE1027" w:rsidP="002903D1">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vAlign w:val="center"/>
            <w:hideMark/>
          </w:tcPr>
          <w:p w14:paraId="7D7FFFEC" w14:textId="77777777" w:rsidR="00CE1027" w:rsidRPr="00277350" w:rsidRDefault="00CE1027" w:rsidP="002903D1">
            <w:pPr>
              <w:jc w:val="center"/>
              <w:rPr>
                <w:rFonts w:ascii="Times New Roman" w:hAnsi="Times New Roman" w:cs="Times New Roman"/>
              </w:rPr>
            </w:pPr>
            <w:r w:rsidRPr="00277350">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3289ED9B" w14:textId="77777777" w:rsidR="00CE1027" w:rsidRPr="00277350" w:rsidRDefault="00CE1027" w:rsidP="002903D1">
            <w:pPr>
              <w:jc w:val="center"/>
              <w:rPr>
                <w:rFonts w:ascii="Times New Roman" w:hAnsi="Times New Roman" w:cs="Times New Roman"/>
              </w:rPr>
            </w:pPr>
            <w:r w:rsidRPr="00277350">
              <w:rPr>
                <w:rFonts w:ascii="Times New Roman" w:hAnsi="Times New Roman" w:cs="Times New Roman"/>
                <w:color w:val="000000"/>
              </w:rPr>
              <w:t>7.61</w:t>
            </w:r>
          </w:p>
        </w:tc>
        <w:tc>
          <w:tcPr>
            <w:tcW w:w="1537" w:type="dxa"/>
            <w:tcBorders>
              <w:top w:val="single" w:sz="4" w:space="0" w:color="auto"/>
              <w:left w:val="single" w:sz="4" w:space="0" w:color="auto"/>
              <w:bottom w:val="single" w:sz="4" w:space="0" w:color="auto"/>
              <w:right w:val="single" w:sz="4" w:space="0" w:color="auto"/>
            </w:tcBorders>
            <w:noWrap/>
            <w:hideMark/>
          </w:tcPr>
          <w:p w14:paraId="706D2A4C" w14:textId="77777777" w:rsidR="00CE1027" w:rsidRPr="00277350" w:rsidRDefault="00CE1027" w:rsidP="002903D1">
            <w:pPr>
              <w:jc w:val="center"/>
              <w:rPr>
                <w:rFonts w:ascii="Times New Roman" w:hAnsi="Times New Roman" w:cs="Times New Roman"/>
              </w:rPr>
            </w:pPr>
            <w:r w:rsidRPr="00277350">
              <w:rPr>
                <w:rFonts w:ascii="Times New Roman" w:hAnsi="Times New Roman" w:cs="Times New Roman"/>
                <w:color w:val="000000"/>
              </w:rPr>
              <w:t>-4.48</w:t>
            </w:r>
          </w:p>
        </w:tc>
        <w:tc>
          <w:tcPr>
            <w:tcW w:w="1276" w:type="dxa"/>
            <w:tcBorders>
              <w:top w:val="single" w:sz="4" w:space="0" w:color="auto"/>
              <w:left w:val="single" w:sz="4" w:space="0" w:color="auto"/>
              <w:bottom w:val="single" w:sz="4" w:space="0" w:color="auto"/>
              <w:right w:val="single" w:sz="4" w:space="0" w:color="auto"/>
            </w:tcBorders>
            <w:noWrap/>
            <w:hideMark/>
          </w:tcPr>
          <w:p w14:paraId="26FCA165" w14:textId="77777777" w:rsidR="00CE1027" w:rsidRPr="00277350" w:rsidRDefault="00CE1027" w:rsidP="002903D1">
            <w:pPr>
              <w:jc w:val="center"/>
              <w:rPr>
                <w:rFonts w:ascii="Times New Roman" w:hAnsi="Times New Roman" w:cs="Times New Roman"/>
              </w:rPr>
            </w:pPr>
            <w:r w:rsidRPr="00277350">
              <w:rPr>
                <w:rFonts w:ascii="Times New Roman" w:hAnsi="Times New Roman" w:cs="Times New Roman"/>
                <w:color w:val="000000"/>
              </w:rPr>
              <w:t>21.23</w:t>
            </w:r>
          </w:p>
        </w:tc>
      </w:tr>
      <w:tr w:rsidR="00CE1027" w:rsidRPr="00277350" w14:paraId="4236AB30" w14:textId="77777777" w:rsidTr="00CE1027">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22807CB4" w14:textId="77777777" w:rsidR="00CE1027" w:rsidRPr="00277350" w:rsidRDefault="00CE1027" w:rsidP="002903D1">
            <w:pPr>
              <w:jc w:val="center"/>
              <w:rPr>
                <w:rFonts w:ascii="Times New Roman" w:hAnsi="Times New Roman" w:cs="Times New Roman"/>
                <w:b/>
                <w:bCs/>
              </w:rPr>
            </w:pPr>
            <w:r w:rsidRPr="00277350">
              <w:rPr>
                <w:rFonts w:ascii="Times New Roman" w:hAnsi="Times New Roman" w:cs="Times New Roman"/>
                <w:b/>
                <w:bCs/>
              </w:rPr>
              <w:t>BP3</w:t>
            </w:r>
          </w:p>
        </w:tc>
        <w:tc>
          <w:tcPr>
            <w:tcW w:w="2494" w:type="dxa"/>
            <w:tcBorders>
              <w:top w:val="single" w:sz="4" w:space="0" w:color="auto"/>
              <w:left w:val="single" w:sz="4" w:space="0" w:color="auto"/>
              <w:bottom w:val="single" w:sz="4" w:space="0" w:color="auto"/>
              <w:right w:val="single" w:sz="4" w:space="0" w:color="auto"/>
            </w:tcBorders>
            <w:noWrap/>
            <w:hideMark/>
          </w:tcPr>
          <w:p w14:paraId="363CBABE" w14:textId="77777777" w:rsidR="00CE1027" w:rsidRPr="00277350" w:rsidRDefault="00CE1027" w:rsidP="002903D1">
            <w:pPr>
              <w:jc w:val="center"/>
              <w:rPr>
                <w:rFonts w:ascii="Times New Roman" w:hAnsi="Times New Roman" w:cs="Times New Roman"/>
              </w:rPr>
            </w:pPr>
            <w:r w:rsidRPr="00277350">
              <w:rPr>
                <w:rFonts w:ascii="Times New Roman" w:hAnsi="Times New Roman" w:cs="Times New Roman"/>
              </w:rPr>
              <w:t xml:space="preserve"> High (Ref)</w:t>
            </w:r>
          </w:p>
        </w:tc>
        <w:tc>
          <w:tcPr>
            <w:tcW w:w="2130" w:type="dxa"/>
            <w:tcBorders>
              <w:top w:val="single" w:sz="4" w:space="0" w:color="auto"/>
              <w:left w:val="single" w:sz="4" w:space="0" w:color="auto"/>
              <w:bottom w:val="single" w:sz="4" w:space="0" w:color="auto"/>
              <w:right w:val="single" w:sz="4" w:space="0" w:color="auto"/>
            </w:tcBorders>
            <w:noWrap/>
            <w:hideMark/>
          </w:tcPr>
          <w:p w14:paraId="52D4CB16" w14:textId="77777777" w:rsidR="00CE1027" w:rsidRPr="00277350" w:rsidRDefault="00CE1027" w:rsidP="002903D1">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right w:val="single" w:sz="4" w:space="0" w:color="auto"/>
            </w:tcBorders>
            <w:noWrap/>
            <w:hideMark/>
          </w:tcPr>
          <w:p w14:paraId="487FF072" w14:textId="77777777" w:rsidR="00CE1027" w:rsidRPr="00277350" w:rsidRDefault="00CE1027" w:rsidP="002903D1">
            <w:pPr>
              <w:jc w:val="center"/>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noWrap/>
            <w:hideMark/>
          </w:tcPr>
          <w:p w14:paraId="6F381D01" w14:textId="77777777" w:rsidR="00CE1027" w:rsidRPr="00277350" w:rsidRDefault="00CE1027" w:rsidP="002903D1">
            <w:pPr>
              <w:jc w:val="center"/>
              <w:rPr>
                <w:rFonts w:ascii="Times New Roman" w:hAnsi="Times New Roman" w:cs="Times New Roman"/>
              </w:rPr>
            </w:pPr>
          </w:p>
        </w:tc>
      </w:tr>
      <w:tr w:rsidR="00CE1027" w:rsidRPr="00277350" w14:paraId="5CDD3926" w14:textId="77777777" w:rsidTr="00CE1027">
        <w:trPr>
          <w:trHeight w:val="243"/>
        </w:trPr>
        <w:tc>
          <w:tcPr>
            <w:tcW w:w="2233" w:type="dxa"/>
            <w:vMerge/>
            <w:tcBorders>
              <w:top w:val="single" w:sz="4" w:space="0" w:color="auto"/>
              <w:bottom w:val="single" w:sz="4" w:space="0" w:color="auto"/>
              <w:right w:val="single" w:sz="4" w:space="0" w:color="auto"/>
            </w:tcBorders>
            <w:noWrap/>
            <w:vAlign w:val="center"/>
            <w:hideMark/>
          </w:tcPr>
          <w:p w14:paraId="465239C9" w14:textId="77777777" w:rsidR="00CE1027" w:rsidRPr="00277350" w:rsidRDefault="00CE1027" w:rsidP="002903D1">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5B7FBCB1" w14:textId="77777777" w:rsidR="00CE1027" w:rsidRPr="00277350" w:rsidRDefault="00CE1027" w:rsidP="002903D1">
            <w:pPr>
              <w:jc w:val="center"/>
              <w:rPr>
                <w:rFonts w:ascii="Times New Roman" w:hAnsi="Times New Roman" w:cs="Times New Roman"/>
              </w:rPr>
            </w:pPr>
            <w:r w:rsidRPr="00277350">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4E76C8FD" w14:textId="77777777" w:rsidR="00CE1027" w:rsidRPr="00277350" w:rsidRDefault="00CE1027" w:rsidP="002903D1">
            <w:pPr>
              <w:jc w:val="center"/>
              <w:rPr>
                <w:rFonts w:ascii="Times New Roman" w:hAnsi="Times New Roman" w:cs="Times New Roman"/>
              </w:rPr>
            </w:pPr>
            <w:r w:rsidRPr="00277350">
              <w:rPr>
                <w:rFonts w:ascii="Times New Roman" w:hAnsi="Times New Roman" w:cs="Times New Roman"/>
                <w:color w:val="000000"/>
              </w:rPr>
              <w:t>-19.82</w:t>
            </w:r>
          </w:p>
        </w:tc>
        <w:tc>
          <w:tcPr>
            <w:tcW w:w="1537" w:type="dxa"/>
            <w:tcBorders>
              <w:top w:val="single" w:sz="4" w:space="0" w:color="auto"/>
              <w:left w:val="single" w:sz="4" w:space="0" w:color="auto"/>
              <w:bottom w:val="single" w:sz="4" w:space="0" w:color="auto"/>
              <w:right w:val="single" w:sz="4" w:space="0" w:color="auto"/>
            </w:tcBorders>
            <w:noWrap/>
            <w:hideMark/>
          </w:tcPr>
          <w:p w14:paraId="3E0960F6" w14:textId="77777777" w:rsidR="00CE1027" w:rsidRPr="00277350" w:rsidRDefault="00CE1027" w:rsidP="002903D1">
            <w:pPr>
              <w:jc w:val="center"/>
              <w:rPr>
                <w:rFonts w:ascii="Times New Roman" w:hAnsi="Times New Roman" w:cs="Times New Roman"/>
              </w:rPr>
            </w:pPr>
            <w:r w:rsidRPr="00277350">
              <w:rPr>
                <w:rFonts w:ascii="Times New Roman" w:hAnsi="Times New Roman" w:cs="Times New Roman"/>
                <w:color w:val="000000"/>
              </w:rPr>
              <w:t>-31.68</w:t>
            </w:r>
          </w:p>
        </w:tc>
        <w:tc>
          <w:tcPr>
            <w:tcW w:w="1276" w:type="dxa"/>
            <w:tcBorders>
              <w:top w:val="single" w:sz="4" w:space="0" w:color="auto"/>
              <w:left w:val="single" w:sz="4" w:space="0" w:color="auto"/>
              <w:bottom w:val="single" w:sz="4" w:space="0" w:color="auto"/>
              <w:right w:val="single" w:sz="4" w:space="0" w:color="auto"/>
            </w:tcBorders>
            <w:noWrap/>
            <w:hideMark/>
          </w:tcPr>
          <w:p w14:paraId="08D9890C" w14:textId="77777777" w:rsidR="00CE1027" w:rsidRPr="00277350" w:rsidRDefault="00CE1027" w:rsidP="002903D1">
            <w:pPr>
              <w:jc w:val="center"/>
              <w:rPr>
                <w:rFonts w:ascii="Times New Roman" w:hAnsi="Times New Roman" w:cs="Times New Roman"/>
              </w:rPr>
            </w:pPr>
            <w:r w:rsidRPr="00277350">
              <w:rPr>
                <w:rFonts w:ascii="Times New Roman" w:hAnsi="Times New Roman" w:cs="Times New Roman"/>
                <w:color w:val="000000"/>
              </w:rPr>
              <w:t>-5.91</w:t>
            </w:r>
          </w:p>
        </w:tc>
      </w:tr>
      <w:tr w:rsidR="00CE1027" w:rsidRPr="00277350" w14:paraId="7031FBE7" w14:textId="77777777" w:rsidTr="00CE1027">
        <w:trPr>
          <w:trHeight w:val="243"/>
        </w:trPr>
        <w:tc>
          <w:tcPr>
            <w:tcW w:w="2233" w:type="dxa"/>
            <w:vMerge/>
            <w:tcBorders>
              <w:top w:val="single" w:sz="4" w:space="0" w:color="auto"/>
              <w:bottom w:val="single" w:sz="4" w:space="0" w:color="auto"/>
              <w:right w:val="single" w:sz="4" w:space="0" w:color="auto"/>
            </w:tcBorders>
            <w:noWrap/>
            <w:vAlign w:val="center"/>
            <w:hideMark/>
          </w:tcPr>
          <w:p w14:paraId="2DE66150" w14:textId="77777777" w:rsidR="00CE1027" w:rsidRPr="00277350" w:rsidRDefault="00CE1027" w:rsidP="002903D1">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7A301339" w14:textId="77777777" w:rsidR="00CE1027" w:rsidRPr="00277350" w:rsidRDefault="00CE1027" w:rsidP="002903D1">
            <w:pPr>
              <w:jc w:val="center"/>
              <w:rPr>
                <w:rFonts w:ascii="Times New Roman" w:hAnsi="Times New Roman" w:cs="Times New Roman"/>
              </w:rPr>
            </w:pPr>
            <w:r w:rsidRPr="00277350">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215E77C2" w14:textId="77777777" w:rsidR="00CE1027" w:rsidRPr="00277350" w:rsidRDefault="00CE1027" w:rsidP="002903D1">
            <w:pPr>
              <w:jc w:val="center"/>
              <w:rPr>
                <w:rFonts w:ascii="Times New Roman" w:hAnsi="Times New Roman" w:cs="Times New Roman"/>
              </w:rPr>
            </w:pPr>
            <w:r w:rsidRPr="00277350">
              <w:rPr>
                <w:rFonts w:ascii="Times New Roman" w:hAnsi="Times New Roman" w:cs="Times New Roman"/>
                <w:color w:val="000000"/>
              </w:rPr>
              <w:t>-17.40</w:t>
            </w:r>
          </w:p>
        </w:tc>
        <w:tc>
          <w:tcPr>
            <w:tcW w:w="1537" w:type="dxa"/>
            <w:tcBorders>
              <w:top w:val="single" w:sz="4" w:space="0" w:color="auto"/>
              <w:left w:val="single" w:sz="4" w:space="0" w:color="auto"/>
              <w:bottom w:val="single" w:sz="4" w:space="0" w:color="auto"/>
              <w:right w:val="single" w:sz="4" w:space="0" w:color="auto"/>
            </w:tcBorders>
            <w:noWrap/>
            <w:hideMark/>
          </w:tcPr>
          <w:p w14:paraId="4024FF4E" w14:textId="77777777" w:rsidR="00CE1027" w:rsidRPr="00277350" w:rsidRDefault="00CE1027" w:rsidP="002903D1">
            <w:pPr>
              <w:jc w:val="center"/>
              <w:rPr>
                <w:rFonts w:ascii="Times New Roman" w:hAnsi="Times New Roman" w:cs="Times New Roman"/>
              </w:rPr>
            </w:pPr>
            <w:r w:rsidRPr="00277350">
              <w:rPr>
                <w:rFonts w:ascii="Times New Roman" w:hAnsi="Times New Roman" w:cs="Times New Roman"/>
                <w:color w:val="000000"/>
              </w:rPr>
              <w:t>-29.05</w:t>
            </w:r>
          </w:p>
        </w:tc>
        <w:tc>
          <w:tcPr>
            <w:tcW w:w="1276" w:type="dxa"/>
            <w:tcBorders>
              <w:top w:val="single" w:sz="4" w:space="0" w:color="auto"/>
              <w:left w:val="single" w:sz="4" w:space="0" w:color="auto"/>
              <w:bottom w:val="single" w:sz="4" w:space="0" w:color="auto"/>
              <w:right w:val="single" w:sz="4" w:space="0" w:color="auto"/>
            </w:tcBorders>
            <w:noWrap/>
            <w:hideMark/>
          </w:tcPr>
          <w:p w14:paraId="66632528" w14:textId="77777777" w:rsidR="00CE1027" w:rsidRPr="00277350" w:rsidRDefault="00CE1027" w:rsidP="002903D1">
            <w:pPr>
              <w:jc w:val="center"/>
              <w:rPr>
                <w:rFonts w:ascii="Times New Roman" w:hAnsi="Times New Roman" w:cs="Times New Roman"/>
              </w:rPr>
            </w:pPr>
            <w:r w:rsidRPr="00277350">
              <w:rPr>
                <w:rFonts w:ascii="Times New Roman" w:hAnsi="Times New Roman" w:cs="Times New Roman"/>
                <w:color w:val="000000"/>
              </w:rPr>
              <w:t>-3.84</w:t>
            </w:r>
          </w:p>
        </w:tc>
      </w:tr>
      <w:tr w:rsidR="00CE1027" w:rsidRPr="00277350" w14:paraId="3294E7B0" w14:textId="77777777" w:rsidTr="00CE1027">
        <w:trPr>
          <w:trHeight w:val="243"/>
        </w:trPr>
        <w:tc>
          <w:tcPr>
            <w:tcW w:w="2233" w:type="dxa"/>
            <w:vMerge/>
            <w:tcBorders>
              <w:top w:val="single" w:sz="4" w:space="0" w:color="auto"/>
              <w:bottom w:val="single" w:sz="4" w:space="0" w:color="auto"/>
              <w:right w:val="single" w:sz="4" w:space="0" w:color="auto"/>
            </w:tcBorders>
            <w:noWrap/>
            <w:vAlign w:val="center"/>
            <w:hideMark/>
          </w:tcPr>
          <w:p w14:paraId="4899BFC8" w14:textId="77777777" w:rsidR="00CE1027" w:rsidRPr="00277350" w:rsidRDefault="00CE1027" w:rsidP="002903D1">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4D5F4707" w14:textId="77777777" w:rsidR="00CE1027" w:rsidRPr="00277350" w:rsidRDefault="00CE1027" w:rsidP="002903D1">
            <w:pPr>
              <w:jc w:val="center"/>
              <w:rPr>
                <w:rFonts w:ascii="Times New Roman" w:hAnsi="Times New Roman" w:cs="Times New Roman"/>
              </w:rPr>
            </w:pPr>
            <w:r w:rsidRPr="00277350">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5B34BC8C" w14:textId="77777777" w:rsidR="00CE1027" w:rsidRPr="00277350" w:rsidRDefault="00CE1027" w:rsidP="002903D1">
            <w:pPr>
              <w:jc w:val="center"/>
              <w:rPr>
                <w:rFonts w:ascii="Times New Roman" w:hAnsi="Times New Roman" w:cs="Times New Roman"/>
              </w:rPr>
            </w:pPr>
            <w:r w:rsidRPr="00277350">
              <w:rPr>
                <w:rFonts w:ascii="Times New Roman" w:hAnsi="Times New Roman" w:cs="Times New Roman"/>
                <w:color w:val="000000"/>
              </w:rPr>
              <w:t>-19.55</w:t>
            </w:r>
          </w:p>
        </w:tc>
        <w:tc>
          <w:tcPr>
            <w:tcW w:w="1537" w:type="dxa"/>
            <w:tcBorders>
              <w:top w:val="single" w:sz="4" w:space="0" w:color="auto"/>
              <w:left w:val="single" w:sz="4" w:space="0" w:color="auto"/>
              <w:bottom w:val="single" w:sz="4" w:space="0" w:color="auto"/>
              <w:right w:val="single" w:sz="4" w:space="0" w:color="auto"/>
            </w:tcBorders>
            <w:noWrap/>
            <w:hideMark/>
          </w:tcPr>
          <w:p w14:paraId="11321B02" w14:textId="77777777" w:rsidR="00CE1027" w:rsidRPr="00277350" w:rsidRDefault="00CE1027" w:rsidP="002903D1">
            <w:pPr>
              <w:jc w:val="center"/>
              <w:rPr>
                <w:rFonts w:ascii="Times New Roman" w:hAnsi="Times New Roman" w:cs="Times New Roman"/>
              </w:rPr>
            </w:pPr>
            <w:r w:rsidRPr="00277350">
              <w:rPr>
                <w:rFonts w:ascii="Times New Roman" w:hAnsi="Times New Roman" w:cs="Times New Roman"/>
                <w:color w:val="000000"/>
              </w:rPr>
              <w:t>-35.27</w:t>
            </w:r>
          </w:p>
        </w:tc>
        <w:tc>
          <w:tcPr>
            <w:tcW w:w="1276" w:type="dxa"/>
            <w:tcBorders>
              <w:top w:val="single" w:sz="4" w:space="0" w:color="auto"/>
              <w:left w:val="single" w:sz="4" w:space="0" w:color="auto"/>
              <w:bottom w:val="single" w:sz="4" w:space="0" w:color="auto"/>
              <w:right w:val="single" w:sz="4" w:space="0" w:color="auto"/>
            </w:tcBorders>
            <w:noWrap/>
            <w:hideMark/>
          </w:tcPr>
          <w:p w14:paraId="4A42CE87" w14:textId="77777777" w:rsidR="00CE1027" w:rsidRPr="00277350" w:rsidRDefault="00CE1027" w:rsidP="002903D1">
            <w:pPr>
              <w:jc w:val="center"/>
              <w:rPr>
                <w:rFonts w:ascii="Times New Roman" w:hAnsi="Times New Roman" w:cs="Times New Roman"/>
              </w:rPr>
            </w:pPr>
            <w:r w:rsidRPr="00277350">
              <w:rPr>
                <w:rFonts w:ascii="Times New Roman" w:hAnsi="Times New Roman" w:cs="Times New Roman"/>
                <w:color w:val="000000"/>
              </w:rPr>
              <w:t>-0.02</w:t>
            </w:r>
          </w:p>
        </w:tc>
      </w:tr>
      <w:tr w:rsidR="00CE1027" w:rsidRPr="00277350" w14:paraId="3B4910A9" w14:textId="77777777" w:rsidTr="00CE1027">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158915CB" w14:textId="77777777" w:rsidR="00CE1027" w:rsidRPr="00277350" w:rsidRDefault="00CE1027" w:rsidP="002903D1">
            <w:pPr>
              <w:jc w:val="center"/>
              <w:rPr>
                <w:rFonts w:ascii="Times New Roman" w:hAnsi="Times New Roman" w:cs="Times New Roman"/>
                <w:b/>
                <w:bCs/>
              </w:rPr>
            </w:pPr>
            <w:r w:rsidRPr="00277350">
              <w:rPr>
                <w:rFonts w:ascii="Times New Roman" w:hAnsi="Times New Roman" w:cs="Times New Roman"/>
                <w:b/>
                <w:bCs/>
              </w:rPr>
              <w:t>TRS</w:t>
            </w:r>
          </w:p>
        </w:tc>
        <w:tc>
          <w:tcPr>
            <w:tcW w:w="2494" w:type="dxa"/>
            <w:tcBorders>
              <w:top w:val="single" w:sz="4" w:space="0" w:color="auto"/>
              <w:left w:val="single" w:sz="4" w:space="0" w:color="auto"/>
              <w:bottom w:val="single" w:sz="4" w:space="0" w:color="auto"/>
              <w:right w:val="single" w:sz="4" w:space="0" w:color="auto"/>
            </w:tcBorders>
            <w:noWrap/>
            <w:hideMark/>
          </w:tcPr>
          <w:p w14:paraId="4715D1D4" w14:textId="77777777" w:rsidR="00CE1027" w:rsidRPr="00277350" w:rsidRDefault="00CE1027" w:rsidP="002903D1">
            <w:pPr>
              <w:jc w:val="center"/>
              <w:rPr>
                <w:rFonts w:ascii="Times New Roman" w:hAnsi="Times New Roman" w:cs="Times New Roman"/>
              </w:rPr>
            </w:pPr>
            <w:r w:rsidRPr="00277350">
              <w:rPr>
                <w:rFonts w:ascii="Times New Roman" w:hAnsi="Times New Roman" w:cs="Times New Roman"/>
              </w:rPr>
              <w:t xml:space="preserve"> High (Ref)</w:t>
            </w:r>
          </w:p>
        </w:tc>
        <w:tc>
          <w:tcPr>
            <w:tcW w:w="2130" w:type="dxa"/>
            <w:tcBorders>
              <w:top w:val="single" w:sz="4" w:space="0" w:color="auto"/>
              <w:left w:val="single" w:sz="4" w:space="0" w:color="auto"/>
              <w:bottom w:val="single" w:sz="4" w:space="0" w:color="auto"/>
              <w:right w:val="single" w:sz="4" w:space="0" w:color="auto"/>
            </w:tcBorders>
            <w:noWrap/>
            <w:vAlign w:val="bottom"/>
            <w:hideMark/>
          </w:tcPr>
          <w:p w14:paraId="2B1F9DFD" w14:textId="77777777" w:rsidR="00CE1027" w:rsidRPr="00277350" w:rsidRDefault="00CE1027" w:rsidP="002903D1">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right w:val="single" w:sz="4" w:space="0" w:color="auto"/>
            </w:tcBorders>
            <w:noWrap/>
            <w:vAlign w:val="bottom"/>
            <w:hideMark/>
          </w:tcPr>
          <w:p w14:paraId="76FCC2EE" w14:textId="77777777" w:rsidR="00CE1027" w:rsidRPr="00277350" w:rsidRDefault="00CE1027" w:rsidP="002903D1">
            <w:pPr>
              <w:jc w:val="center"/>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59CF245D" w14:textId="77777777" w:rsidR="00CE1027" w:rsidRPr="00277350" w:rsidRDefault="00CE1027" w:rsidP="002903D1">
            <w:pPr>
              <w:jc w:val="center"/>
              <w:rPr>
                <w:rFonts w:ascii="Times New Roman" w:hAnsi="Times New Roman" w:cs="Times New Roman"/>
              </w:rPr>
            </w:pPr>
          </w:p>
        </w:tc>
      </w:tr>
      <w:tr w:rsidR="00CE1027" w:rsidRPr="00277350" w14:paraId="7BC3DF94" w14:textId="77777777" w:rsidTr="00CE1027">
        <w:trPr>
          <w:trHeight w:val="243"/>
        </w:trPr>
        <w:tc>
          <w:tcPr>
            <w:tcW w:w="2233" w:type="dxa"/>
            <w:vMerge/>
            <w:tcBorders>
              <w:top w:val="single" w:sz="4" w:space="0" w:color="auto"/>
              <w:bottom w:val="single" w:sz="4" w:space="0" w:color="auto"/>
              <w:right w:val="single" w:sz="4" w:space="0" w:color="auto"/>
            </w:tcBorders>
            <w:noWrap/>
            <w:vAlign w:val="center"/>
            <w:hideMark/>
          </w:tcPr>
          <w:p w14:paraId="7D10EBFF" w14:textId="77777777" w:rsidR="00CE1027" w:rsidRPr="00277350" w:rsidRDefault="00CE1027" w:rsidP="002903D1">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0D3A9638" w14:textId="77777777" w:rsidR="00CE1027" w:rsidRPr="00277350" w:rsidRDefault="00CE1027" w:rsidP="002903D1">
            <w:pPr>
              <w:jc w:val="center"/>
              <w:rPr>
                <w:rFonts w:ascii="Times New Roman" w:hAnsi="Times New Roman" w:cs="Times New Roman"/>
              </w:rPr>
            </w:pPr>
            <w:r w:rsidRPr="00277350">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1BA18A22" w14:textId="77777777" w:rsidR="00CE1027" w:rsidRPr="00277350" w:rsidRDefault="00CE1027" w:rsidP="002903D1">
            <w:pPr>
              <w:jc w:val="center"/>
              <w:rPr>
                <w:rFonts w:ascii="Times New Roman" w:eastAsia="Aptos" w:hAnsi="Times New Roman" w:cs="Times New Roman"/>
                <w:color w:val="000000" w:themeColor="text1"/>
              </w:rPr>
            </w:pPr>
            <w:r w:rsidRPr="00277350">
              <w:rPr>
                <w:rFonts w:ascii="Times New Roman" w:hAnsi="Times New Roman" w:cs="Times New Roman"/>
                <w:color w:val="000000"/>
              </w:rPr>
              <w:t>-14.72</w:t>
            </w:r>
          </w:p>
        </w:tc>
        <w:tc>
          <w:tcPr>
            <w:tcW w:w="1537" w:type="dxa"/>
            <w:tcBorders>
              <w:top w:val="single" w:sz="4" w:space="0" w:color="auto"/>
              <w:left w:val="single" w:sz="4" w:space="0" w:color="auto"/>
              <w:bottom w:val="single" w:sz="4" w:space="0" w:color="auto"/>
              <w:right w:val="single" w:sz="4" w:space="0" w:color="auto"/>
            </w:tcBorders>
            <w:noWrap/>
            <w:hideMark/>
          </w:tcPr>
          <w:p w14:paraId="1F3CFF23" w14:textId="77777777" w:rsidR="00CE1027" w:rsidRPr="00277350" w:rsidRDefault="00CE1027" w:rsidP="002903D1">
            <w:pPr>
              <w:jc w:val="center"/>
              <w:rPr>
                <w:rFonts w:ascii="Times New Roman" w:eastAsia="Aptos" w:hAnsi="Times New Roman" w:cs="Times New Roman"/>
                <w:color w:val="000000" w:themeColor="text1"/>
              </w:rPr>
            </w:pPr>
            <w:r w:rsidRPr="00277350">
              <w:rPr>
                <w:rFonts w:ascii="Times New Roman" w:hAnsi="Times New Roman" w:cs="Times New Roman"/>
                <w:color w:val="000000"/>
              </w:rPr>
              <w:t>-28.86</w:t>
            </w:r>
          </w:p>
        </w:tc>
        <w:tc>
          <w:tcPr>
            <w:tcW w:w="1276" w:type="dxa"/>
            <w:tcBorders>
              <w:top w:val="single" w:sz="4" w:space="0" w:color="auto"/>
              <w:left w:val="single" w:sz="4" w:space="0" w:color="auto"/>
              <w:bottom w:val="single" w:sz="4" w:space="0" w:color="auto"/>
              <w:right w:val="single" w:sz="4" w:space="0" w:color="auto"/>
            </w:tcBorders>
            <w:noWrap/>
            <w:hideMark/>
          </w:tcPr>
          <w:p w14:paraId="0214B1D1" w14:textId="77777777" w:rsidR="00CE1027" w:rsidRPr="00277350" w:rsidRDefault="00CE1027" w:rsidP="002903D1">
            <w:pPr>
              <w:jc w:val="center"/>
              <w:rPr>
                <w:rFonts w:ascii="Times New Roman" w:eastAsia="Aptos" w:hAnsi="Times New Roman" w:cs="Times New Roman"/>
                <w:color w:val="000000" w:themeColor="text1"/>
              </w:rPr>
            </w:pPr>
            <w:r w:rsidRPr="00277350">
              <w:rPr>
                <w:rFonts w:ascii="Times New Roman" w:hAnsi="Times New Roman" w:cs="Times New Roman"/>
                <w:color w:val="000000"/>
              </w:rPr>
              <w:t>2.22</w:t>
            </w:r>
          </w:p>
        </w:tc>
      </w:tr>
      <w:tr w:rsidR="00CE1027" w:rsidRPr="00277350" w14:paraId="05DF1589" w14:textId="77777777" w:rsidTr="00CE1027">
        <w:trPr>
          <w:trHeight w:val="243"/>
        </w:trPr>
        <w:tc>
          <w:tcPr>
            <w:tcW w:w="2233" w:type="dxa"/>
            <w:vMerge/>
            <w:tcBorders>
              <w:top w:val="single" w:sz="4" w:space="0" w:color="auto"/>
              <w:bottom w:val="single" w:sz="4" w:space="0" w:color="auto"/>
              <w:right w:val="single" w:sz="4" w:space="0" w:color="auto"/>
            </w:tcBorders>
            <w:noWrap/>
            <w:vAlign w:val="center"/>
            <w:hideMark/>
          </w:tcPr>
          <w:p w14:paraId="24653205" w14:textId="77777777" w:rsidR="00CE1027" w:rsidRPr="00277350" w:rsidRDefault="00CE1027" w:rsidP="002903D1">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593CAA07" w14:textId="77777777" w:rsidR="00CE1027" w:rsidRPr="00277350" w:rsidRDefault="00CE1027" w:rsidP="002903D1">
            <w:pPr>
              <w:jc w:val="center"/>
              <w:rPr>
                <w:rFonts w:ascii="Times New Roman" w:hAnsi="Times New Roman" w:cs="Times New Roman"/>
              </w:rPr>
            </w:pPr>
            <w:r w:rsidRPr="00277350">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0753C1F0" w14:textId="77777777" w:rsidR="00CE1027" w:rsidRPr="00277350" w:rsidRDefault="00CE1027" w:rsidP="002903D1">
            <w:pPr>
              <w:jc w:val="center"/>
              <w:rPr>
                <w:rFonts w:ascii="Times New Roman" w:eastAsia="Aptos" w:hAnsi="Times New Roman" w:cs="Times New Roman"/>
                <w:color w:val="000000" w:themeColor="text1"/>
              </w:rPr>
            </w:pPr>
            <w:r w:rsidRPr="00277350">
              <w:rPr>
                <w:rFonts w:ascii="Times New Roman" w:hAnsi="Times New Roman" w:cs="Times New Roman"/>
                <w:color w:val="000000"/>
              </w:rPr>
              <w:t>-12.65</w:t>
            </w:r>
          </w:p>
        </w:tc>
        <w:tc>
          <w:tcPr>
            <w:tcW w:w="1537" w:type="dxa"/>
            <w:tcBorders>
              <w:top w:val="single" w:sz="4" w:space="0" w:color="auto"/>
              <w:left w:val="single" w:sz="4" w:space="0" w:color="auto"/>
              <w:bottom w:val="single" w:sz="4" w:space="0" w:color="auto"/>
              <w:right w:val="single" w:sz="4" w:space="0" w:color="auto"/>
            </w:tcBorders>
            <w:noWrap/>
            <w:hideMark/>
          </w:tcPr>
          <w:p w14:paraId="3343BD2D" w14:textId="77777777" w:rsidR="00CE1027" w:rsidRPr="00277350" w:rsidRDefault="00CE1027" w:rsidP="002903D1">
            <w:pPr>
              <w:jc w:val="center"/>
              <w:rPr>
                <w:rFonts w:ascii="Times New Roman" w:eastAsia="Aptos" w:hAnsi="Times New Roman" w:cs="Times New Roman"/>
                <w:color w:val="000000" w:themeColor="text1"/>
              </w:rPr>
            </w:pPr>
            <w:r w:rsidRPr="00277350">
              <w:rPr>
                <w:rFonts w:ascii="Times New Roman" w:hAnsi="Times New Roman" w:cs="Times New Roman"/>
                <w:color w:val="000000"/>
              </w:rPr>
              <w:t>-25.06</w:t>
            </w:r>
          </w:p>
        </w:tc>
        <w:tc>
          <w:tcPr>
            <w:tcW w:w="1276" w:type="dxa"/>
            <w:tcBorders>
              <w:top w:val="single" w:sz="4" w:space="0" w:color="auto"/>
              <w:left w:val="single" w:sz="4" w:space="0" w:color="auto"/>
              <w:bottom w:val="single" w:sz="4" w:space="0" w:color="auto"/>
              <w:right w:val="single" w:sz="4" w:space="0" w:color="auto"/>
            </w:tcBorders>
            <w:noWrap/>
            <w:hideMark/>
          </w:tcPr>
          <w:p w14:paraId="48BD2889" w14:textId="77777777" w:rsidR="00CE1027" w:rsidRPr="00277350" w:rsidRDefault="00CE1027" w:rsidP="002903D1">
            <w:pPr>
              <w:jc w:val="center"/>
              <w:rPr>
                <w:rFonts w:ascii="Times New Roman" w:eastAsia="Aptos" w:hAnsi="Times New Roman" w:cs="Times New Roman"/>
                <w:color w:val="000000" w:themeColor="text1"/>
              </w:rPr>
            </w:pPr>
            <w:r w:rsidRPr="00277350">
              <w:rPr>
                <w:rFonts w:ascii="Times New Roman" w:hAnsi="Times New Roman" w:cs="Times New Roman"/>
                <w:color w:val="000000"/>
              </w:rPr>
              <w:t>1.80</w:t>
            </w:r>
          </w:p>
        </w:tc>
      </w:tr>
      <w:tr w:rsidR="00CE1027" w:rsidRPr="00277350" w14:paraId="5CD4C093" w14:textId="77777777" w:rsidTr="00CE1027">
        <w:trPr>
          <w:trHeight w:val="243"/>
        </w:trPr>
        <w:tc>
          <w:tcPr>
            <w:tcW w:w="2233" w:type="dxa"/>
            <w:vMerge/>
            <w:tcBorders>
              <w:top w:val="single" w:sz="4" w:space="0" w:color="auto"/>
              <w:bottom w:val="single" w:sz="4" w:space="0" w:color="auto"/>
              <w:right w:val="single" w:sz="4" w:space="0" w:color="auto"/>
            </w:tcBorders>
            <w:noWrap/>
            <w:vAlign w:val="center"/>
            <w:hideMark/>
          </w:tcPr>
          <w:p w14:paraId="5A49EED4" w14:textId="77777777" w:rsidR="00CE1027" w:rsidRPr="00277350" w:rsidRDefault="00CE1027" w:rsidP="002903D1">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615C0E7C" w14:textId="77777777" w:rsidR="00CE1027" w:rsidRPr="00277350" w:rsidRDefault="00CE1027" w:rsidP="002903D1">
            <w:pPr>
              <w:jc w:val="center"/>
              <w:rPr>
                <w:rFonts w:ascii="Times New Roman" w:hAnsi="Times New Roman" w:cs="Times New Roman"/>
              </w:rPr>
            </w:pPr>
            <w:r w:rsidRPr="00277350">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23A4923A" w14:textId="77777777" w:rsidR="00CE1027" w:rsidRPr="00277350" w:rsidRDefault="00CE1027" w:rsidP="002903D1">
            <w:pPr>
              <w:jc w:val="center"/>
              <w:rPr>
                <w:rFonts w:ascii="Times New Roman" w:eastAsia="Aptos" w:hAnsi="Times New Roman" w:cs="Times New Roman"/>
                <w:color w:val="000000" w:themeColor="text1"/>
              </w:rPr>
            </w:pPr>
            <w:r w:rsidRPr="00277350">
              <w:rPr>
                <w:rFonts w:ascii="Times New Roman" w:hAnsi="Times New Roman" w:cs="Times New Roman"/>
                <w:color w:val="000000"/>
              </w:rPr>
              <w:t>-24.46</w:t>
            </w:r>
          </w:p>
        </w:tc>
        <w:tc>
          <w:tcPr>
            <w:tcW w:w="1537" w:type="dxa"/>
            <w:tcBorders>
              <w:top w:val="single" w:sz="4" w:space="0" w:color="auto"/>
              <w:left w:val="single" w:sz="4" w:space="0" w:color="auto"/>
              <w:bottom w:val="single" w:sz="4" w:space="0" w:color="auto"/>
              <w:right w:val="single" w:sz="4" w:space="0" w:color="auto"/>
            </w:tcBorders>
            <w:noWrap/>
            <w:hideMark/>
          </w:tcPr>
          <w:p w14:paraId="7B8A731D" w14:textId="77777777" w:rsidR="00CE1027" w:rsidRPr="00277350" w:rsidRDefault="00CE1027" w:rsidP="002903D1">
            <w:pPr>
              <w:jc w:val="center"/>
              <w:rPr>
                <w:rFonts w:ascii="Times New Roman" w:eastAsia="Aptos" w:hAnsi="Times New Roman" w:cs="Times New Roman"/>
                <w:color w:val="000000" w:themeColor="text1"/>
              </w:rPr>
            </w:pPr>
            <w:r w:rsidRPr="00277350">
              <w:rPr>
                <w:rFonts w:ascii="Times New Roman" w:hAnsi="Times New Roman" w:cs="Times New Roman"/>
                <w:color w:val="000000"/>
              </w:rPr>
              <w:t>-36.76</w:t>
            </w:r>
          </w:p>
        </w:tc>
        <w:tc>
          <w:tcPr>
            <w:tcW w:w="1276" w:type="dxa"/>
            <w:tcBorders>
              <w:top w:val="single" w:sz="4" w:space="0" w:color="auto"/>
              <w:left w:val="single" w:sz="4" w:space="0" w:color="auto"/>
              <w:bottom w:val="single" w:sz="4" w:space="0" w:color="auto"/>
              <w:right w:val="single" w:sz="4" w:space="0" w:color="auto"/>
            </w:tcBorders>
            <w:noWrap/>
            <w:hideMark/>
          </w:tcPr>
          <w:p w14:paraId="096F1AA5" w14:textId="77777777" w:rsidR="00CE1027" w:rsidRPr="00277350" w:rsidRDefault="00CE1027" w:rsidP="002903D1">
            <w:pPr>
              <w:jc w:val="center"/>
              <w:rPr>
                <w:rFonts w:ascii="Times New Roman" w:eastAsia="Aptos" w:hAnsi="Times New Roman" w:cs="Times New Roman"/>
                <w:color w:val="000000" w:themeColor="text1"/>
              </w:rPr>
            </w:pPr>
            <w:r w:rsidRPr="00277350">
              <w:rPr>
                <w:rFonts w:ascii="Times New Roman" w:hAnsi="Times New Roman" w:cs="Times New Roman"/>
                <w:color w:val="000000"/>
              </w:rPr>
              <w:t>-9.77</w:t>
            </w:r>
          </w:p>
        </w:tc>
      </w:tr>
      <w:tr w:rsidR="00CE1027" w:rsidRPr="00277350" w14:paraId="1612A16F" w14:textId="77777777" w:rsidTr="00CE1027">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68EC9E64" w14:textId="77777777" w:rsidR="00CE1027" w:rsidRPr="00277350" w:rsidRDefault="00CE1027" w:rsidP="002903D1">
            <w:pPr>
              <w:jc w:val="center"/>
              <w:rPr>
                <w:rFonts w:ascii="Times New Roman" w:hAnsi="Times New Roman" w:cs="Times New Roman"/>
                <w:b/>
                <w:bCs/>
              </w:rPr>
            </w:pPr>
            <m:oMathPara>
              <m:oMath>
                <m:r>
                  <m:rPr>
                    <m:sty m:val="b"/>
                  </m:rPr>
                  <w:rPr>
                    <w:rFonts w:ascii="Cambria Math" w:eastAsiaTheme="minorEastAsia" w:hAnsi="Cambria Math" w:cs="Times New Roman"/>
                  </w:rPr>
                  <m:t>EPB</m:t>
                </m:r>
              </m:oMath>
            </m:oMathPara>
          </w:p>
        </w:tc>
        <w:tc>
          <w:tcPr>
            <w:tcW w:w="2494" w:type="dxa"/>
            <w:tcBorders>
              <w:top w:val="single" w:sz="4" w:space="0" w:color="auto"/>
              <w:left w:val="single" w:sz="4" w:space="0" w:color="auto"/>
              <w:bottom w:val="single" w:sz="4" w:space="0" w:color="auto"/>
              <w:right w:val="single" w:sz="4" w:space="0" w:color="auto"/>
            </w:tcBorders>
            <w:noWrap/>
            <w:hideMark/>
          </w:tcPr>
          <w:p w14:paraId="58855E1C" w14:textId="77777777" w:rsidR="00CE1027" w:rsidRPr="00277350" w:rsidRDefault="00CE1027" w:rsidP="002903D1">
            <w:pPr>
              <w:jc w:val="center"/>
              <w:rPr>
                <w:rFonts w:ascii="Times New Roman" w:hAnsi="Times New Roman" w:cs="Times New Roman"/>
              </w:rPr>
            </w:pPr>
            <w:r w:rsidRPr="00277350">
              <w:rPr>
                <w:rFonts w:ascii="Times New Roman" w:hAnsi="Times New Roman" w:cs="Times New Roman"/>
              </w:rPr>
              <w:t xml:space="preserve"> High (Ref)</w:t>
            </w:r>
          </w:p>
        </w:tc>
        <w:tc>
          <w:tcPr>
            <w:tcW w:w="2130" w:type="dxa"/>
            <w:tcBorders>
              <w:top w:val="single" w:sz="4" w:space="0" w:color="auto"/>
              <w:left w:val="single" w:sz="4" w:space="0" w:color="auto"/>
              <w:bottom w:val="single" w:sz="4" w:space="0" w:color="auto"/>
              <w:right w:val="single" w:sz="4" w:space="0" w:color="auto"/>
            </w:tcBorders>
            <w:noWrap/>
            <w:hideMark/>
          </w:tcPr>
          <w:p w14:paraId="0F7834B6" w14:textId="77777777" w:rsidR="00CE1027" w:rsidRPr="00277350" w:rsidRDefault="00CE1027" w:rsidP="002903D1">
            <w:pPr>
              <w:jc w:val="center"/>
              <w:rPr>
                <w:rFonts w:ascii="Times New Roman" w:hAnsi="Times New Roman" w:cs="Times New Roman"/>
                <w:color w:val="000000" w:themeColor="text1"/>
              </w:rPr>
            </w:pPr>
          </w:p>
        </w:tc>
        <w:tc>
          <w:tcPr>
            <w:tcW w:w="1537" w:type="dxa"/>
            <w:tcBorders>
              <w:top w:val="single" w:sz="4" w:space="0" w:color="auto"/>
              <w:left w:val="single" w:sz="4" w:space="0" w:color="auto"/>
              <w:bottom w:val="single" w:sz="4" w:space="0" w:color="auto"/>
              <w:right w:val="single" w:sz="4" w:space="0" w:color="auto"/>
            </w:tcBorders>
            <w:noWrap/>
            <w:hideMark/>
          </w:tcPr>
          <w:p w14:paraId="118AEA1C" w14:textId="77777777" w:rsidR="00CE1027" w:rsidRPr="00277350" w:rsidRDefault="00CE1027" w:rsidP="002903D1">
            <w:pPr>
              <w:jc w:val="center"/>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noWrap/>
            <w:hideMark/>
          </w:tcPr>
          <w:p w14:paraId="1943EC4C" w14:textId="77777777" w:rsidR="00CE1027" w:rsidRPr="00277350" w:rsidRDefault="00CE1027" w:rsidP="002903D1">
            <w:pPr>
              <w:jc w:val="center"/>
              <w:rPr>
                <w:rFonts w:ascii="Times New Roman" w:hAnsi="Times New Roman" w:cs="Times New Roman"/>
              </w:rPr>
            </w:pPr>
          </w:p>
        </w:tc>
      </w:tr>
      <w:tr w:rsidR="00CE1027" w:rsidRPr="00277350" w14:paraId="2BAE8648" w14:textId="77777777" w:rsidTr="00CE1027">
        <w:trPr>
          <w:trHeight w:val="243"/>
        </w:trPr>
        <w:tc>
          <w:tcPr>
            <w:tcW w:w="2233" w:type="dxa"/>
            <w:vMerge/>
            <w:tcBorders>
              <w:top w:val="single" w:sz="4" w:space="0" w:color="auto"/>
              <w:bottom w:val="single" w:sz="4" w:space="0" w:color="auto"/>
              <w:right w:val="single" w:sz="4" w:space="0" w:color="auto"/>
            </w:tcBorders>
            <w:noWrap/>
            <w:hideMark/>
          </w:tcPr>
          <w:p w14:paraId="63C7DE69" w14:textId="77777777" w:rsidR="00CE1027" w:rsidRPr="00277350" w:rsidRDefault="00CE1027" w:rsidP="002903D1">
            <w:pP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05AC601A" w14:textId="77777777" w:rsidR="00CE1027" w:rsidRPr="00277350" w:rsidRDefault="00CE1027" w:rsidP="002903D1">
            <w:pPr>
              <w:jc w:val="center"/>
              <w:rPr>
                <w:rFonts w:ascii="Times New Roman" w:hAnsi="Times New Roman" w:cs="Times New Roman"/>
              </w:rPr>
            </w:pPr>
            <w:r w:rsidRPr="00277350">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40EF85E2" w14:textId="77777777" w:rsidR="00CE1027" w:rsidRPr="00277350" w:rsidRDefault="00CE1027" w:rsidP="002903D1">
            <w:pPr>
              <w:jc w:val="center"/>
              <w:rPr>
                <w:rFonts w:ascii="Times New Roman" w:hAnsi="Times New Roman" w:cs="Times New Roman"/>
                <w:color w:val="000000" w:themeColor="text1"/>
              </w:rPr>
            </w:pPr>
            <w:r w:rsidRPr="00277350">
              <w:rPr>
                <w:rFonts w:ascii="Times New Roman" w:hAnsi="Times New Roman" w:cs="Times New Roman"/>
                <w:color w:val="000000" w:themeColor="text1"/>
              </w:rPr>
              <w:t>-10.97</w:t>
            </w:r>
          </w:p>
        </w:tc>
        <w:tc>
          <w:tcPr>
            <w:tcW w:w="1537" w:type="dxa"/>
            <w:tcBorders>
              <w:top w:val="single" w:sz="4" w:space="0" w:color="auto"/>
              <w:left w:val="single" w:sz="4" w:space="0" w:color="auto"/>
              <w:bottom w:val="single" w:sz="4" w:space="0" w:color="auto"/>
              <w:right w:val="single" w:sz="4" w:space="0" w:color="auto"/>
            </w:tcBorders>
            <w:noWrap/>
            <w:hideMark/>
          </w:tcPr>
          <w:p w14:paraId="3FF01108" w14:textId="77777777" w:rsidR="00CE1027" w:rsidRPr="00277350" w:rsidRDefault="00CE1027" w:rsidP="002903D1">
            <w:pPr>
              <w:jc w:val="center"/>
              <w:rPr>
                <w:rFonts w:ascii="Times New Roman" w:hAnsi="Times New Roman" w:cs="Times New Roman"/>
              </w:rPr>
            </w:pPr>
            <w:r w:rsidRPr="00277350">
              <w:rPr>
                <w:rFonts w:ascii="Times New Roman" w:hAnsi="Times New Roman" w:cs="Times New Roman"/>
                <w:color w:val="000000"/>
              </w:rPr>
              <w:t>-21.90</w:t>
            </w:r>
          </w:p>
        </w:tc>
        <w:tc>
          <w:tcPr>
            <w:tcW w:w="1276" w:type="dxa"/>
            <w:tcBorders>
              <w:top w:val="single" w:sz="4" w:space="0" w:color="auto"/>
              <w:left w:val="single" w:sz="4" w:space="0" w:color="auto"/>
              <w:bottom w:val="single" w:sz="4" w:space="0" w:color="auto"/>
              <w:right w:val="single" w:sz="4" w:space="0" w:color="auto"/>
            </w:tcBorders>
            <w:noWrap/>
            <w:hideMark/>
          </w:tcPr>
          <w:p w14:paraId="77CA4941" w14:textId="77777777" w:rsidR="00CE1027" w:rsidRPr="00277350" w:rsidRDefault="00CE1027" w:rsidP="002903D1">
            <w:pPr>
              <w:jc w:val="center"/>
              <w:rPr>
                <w:rFonts w:ascii="Times New Roman" w:hAnsi="Times New Roman" w:cs="Times New Roman"/>
              </w:rPr>
            </w:pPr>
            <w:r w:rsidRPr="00277350">
              <w:rPr>
                <w:rFonts w:ascii="Times New Roman" w:hAnsi="Times New Roman" w:cs="Times New Roman"/>
                <w:color w:val="000000"/>
              </w:rPr>
              <w:t>1.50</w:t>
            </w:r>
          </w:p>
        </w:tc>
      </w:tr>
      <w:tr w:rsidR="00CE1027" w:rsidRPr="00277350" w14:paraId="5964F245" w14:textId="77777777" w:rsidTr="00CE1027">
        <w:trPr>
          <w:trHeight w:val="243"/>
        </w:trPr>
        <w:tc>
          <w:tcPr>
            <w:tcW w:w="2233" w:type="dxa"/>
            <w:vMerge/>
            <w:tcBorders>
              <w:top w:val="single" w:sz="4" w:space="0" w:color="auto"/>
              <w:bottom w:val="single" w:sz="4" w:space="0" w:color="auto"/>
              <w:right w:val="single" w:sz="4" w:space="0" w:color="auto"/>
            </w:tcBorders>
            <w:noWrap/>
            <w:hideMark/>
          </w:tcPr>
          <w:p w14:paraId="61624E2C" w14:textId="77777777" w:rsidR="00CE1027" w:rsidRPr="00277350" w:rsidRDefault="00CE1027" w:rsidP="002903D1">
            <w:pP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135DDBE8" w14:textId="77777777" w:rsidR="00CE1027" w:rsidRPr="00277350" w:rsidRDefault="00CE1027" w:rsidP="002903D1">
            <w:pPr>
              <w:jc w:val="center"/>
              <w:rPr>
                <w:rFonts w:ascii="Times New Roman" w:hAnsi="Times New Roman" w:cs="Times New Roman"/>
              </w:rPr>
            </w:pPr>
            <w:r w:rsidRPr="00277350">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12CA18AB" w14:textId="77777777" w:rsidR="00CE1027" w:rsidRPr="00277350" w:rsidRDefault="00CE1027" w:rsidP="002903D1">
            <w:pPr>
              <w:jc w:val="center"/>
              <w:rPr>
                <w:rFonts w:ascii="Times New Roman" w:hAnsi="Times New Roman" w:cs="Times New Roman"/>
                <w:color w:val="000000" w:themeColor="text1"/>
              </w:rPr>
            </w:pPr>
            <w:r w:rsidRPr="00277350">
              <w:rPr>
                <w:rFonts w:ascii="Times New Roman" w:hAnsi="Times New Roman" w:cs="Times New Roman"/>
                <w:color w:val="000000" w:themeColor="text1"/>
              </w:rPr>
              <w:t>-5.65</w:t>
            </w:r>
          </w:p>
        </w:tc>
        <w:tc>
          <w:tcPr>
            <w:tcW w:w="1537" w:type="dxa"/>
            <w:tcBorders>
              <w:top w:val="single" w:sz="4" w:space="0" w:color="auto"/>
              <w:left w:val="single" w:sz="4" w:space="0" w:color="auto"/>
              <w:bottom w:val="single" w:sz="4" w:space="0" w:color="auto"/>
              <w:right w:val="single" w:sz="4" w:space="0" w:color="auto"/>
            </w:tcBorders>
            <w:noWrap/>
            <w:hideMark/>
          </w:tcPr>
          <w:p w14:paraId="6E21133D" w14:textId="77777777" w:rsidR="00CE1027" w:rsidRPr="00277350" w:rsidRDefault="00CE1027" w:rsidP="002903D1">
            <w:pPr>
              <w:jc w:val="center"/>
              <w:rPr>
                <w:rFonts w:ascii="Times New Roman" w:hAnsi="Times New Roman" w:cs="Times New Roman"/>
              </w:rPr>
            </w:pPr>
            <w:r w:rsidRPr="00277350">
              <w:rPr>
                <w:rFonts w:ascii="Times New Roman" w:hAnsi="Times New Roman" w:cs="Times New Roman"/>
                <w:color w:val="000000"/>
              </w:rPr>
              <w:t>-17.98</w:t>
            </w:r>
          </w:p>
        </w:tc>
        <w:tc>
          <w:tcPr>
            <w:tcW w:w="1276" w:type="dxa"/>
            <w:tcBorders>
              <w:top w:val="single" w:sz="4" w:space="0" w:color="auto"/>
              <w:left w:val="single" w:sz="4" w:space="0" w:color="auto"/>
              <w:bottom w:val="single" w:sz="4" w:space="0" w:color="auto"/>
              <w:right w:val="single" w:sz="4" w:space="0" w:color="auto"/>
            </w:tcBorders>
            <w:noWrap/>
            <w:hideMark/>
          </w:tcPr>
          <w:p w14:paraId="05EBF111" w14:textId="77777777" w:rsidR="00CE1027" w:rsidRPr="00277350" w:rsidRDefault="00CE1027" w:rsidP="002903D1">
            <w:pPr>
              <w:jc w:val="center"/>
              <w:rPr>
                <w:rFonts w:ascii="Times New Roman" w:hAnsi="Times New Roman" w:cs="Times New Roman"/>
              </w:rPr>
            </w:pPr>
            <w:r w:rsidRPr="00277350">
              <w:rPr>
                <w:rFonts w:ascii="Times New Roman" w:hAnsi="Times New Roman" w:cs="Times New Roman"/>
                <w:color w:val="000000"/>
              </w:rPr>
              <w:t>8.53</w:t>
            </w:r>
          </w:p>
        </w:tc>
      </w:tr>
      <w:tr w:rsidR="00CE1027" w:rsidRPr="00277350" w14:paraId="4680BE38" w14:textId="77777777" w:rsidTr="00CE1027">
        <w:trPr>
          <w:trHeight w:val="243"/>
        </w:trPr>
        <w:tc>
          <w:tcPr>
            <w:tcW w:w="2233" w:type="dxa"/>
            <w:vMerge/>
            <w:tcBorders>
              <w:top w:val="single" w:sz="4" w:space="0" w:color="auto"/>
              <w:bottom w:val="single" w:sz="4" w:space="0" w:color="auto"/>
              <w:right w:val="single" w:sz="4" w:space="0" w:color="auto"/>
            </w:tcBorders>
            <w:noWrap/>
            <w:hideMark/>
          </w:tcPr>
          <w:p w14:paraId="10AF2540" w14:textId="77777777" w:rsidR="00CE1027" w:rsidRPr="00277350" w:rsidRDefault="00CE1027" w:rsidP="002903D1">
            <w:pP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2A34B61C" w14:textId="77777777" w:rsidR="00CE1027" w:rsidRPr="00277350" w:rsidRDefault="00CE1027" w:rsidP="002903D1">
            <w:pPr>
              <w:jc w:val="center"/>
              <w:rPr>
                <w:rFonts w:ascii="Times New Roman" w:hAnsi="Times New Roman" w:cs="Times New Roman"/>
              </w:rPr>
            </w:pPr>
            <w:r w:rsidRPr="00277350">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433B09F1" w14:textId="77777777" w:rsidR="00CE1027" w:rsidRPr="00277350" w:rsidRDefault="00CE1027" w:rsidP="002903D1">
            <w:pPr>
              <w:jc w:val="center"/>
              <w:rPr>
                <w:rFonts w:ascii="Times New Roman" w:hAnsi="Times New Roman" w:cs="Times New Roman"/>
                <w:color w:val="000000" w:themeColor="text1"/>
              </w:rPr>
            </w:pPr>
            <w:r w:rsidRPr="00277350">
              <w:rPr>
                <w:rFonts w:ascii="Times New Roman" w:hAnsi="Times New Roman" w:cs="Times New Roman"/>
                <w:color w:val="000000" w:themeColor="text1"/>
              </w:rPr>
              <w:t>-25.96</w:t>
            </w:r>
          </w:p>
        </w:tc>
        <w:tc>
          <w:tcPr>
            <w:tcW w:w="1537" w:type="dxa"/>
            <w:tcBorders>
              <w:top w:val="single" w:sz="4" w:space="0" w:color="auto"/>
              <w:left w:val="single" w:sz="4" w:space="0" w:color="auto"/>
              <w:bottom w:val="single" w:sz="4" w:space="0" w:color="auto"/>
              <w:right w:val="single" w:sz="4" w:space="0" w:color="auto"/>
            </w:tcBorders>
            <w:noWrap/>
            <w:hideMark/>
          </w:tcPr>
          <w:p w14:paraId="4AF93E1D" w14:textId="77777777" w:rsidR="00CE1027" w:rsidRPr="00277350" w:rsidRDefault="00CE1027" w:rsidP="002903D1">
            <w:pPr>
              <w:jc w:val="center"/>
              <w:rPr>
                <w:rFonts w:ascii="Times New Roman" w:hAnsi="Times New Roman" w:cs="Times New Roman"/>
              </w:rPr>
            </w:pPr>
            <w:r w:rsidRPr="00277350">
              <w:rPr>
                <w:rFonts w:ascii="Times New Roman" w:hAnsi="Times New Roman" w:cs="Times New Roman"/>
                <w:color w:val="000000"/>
              </w:rPr>
              <w:t>-35.07</w:t>
            </w:r>
          </w:p>
        </w:tc>
        <w:tc>
          <w:tcPr>
            <w:tcW w:w="1276" w:type="dxa"/>
            <w:tcBorders>
              <w:top w:val="single" w:sz="4" w:space="0" w:color="auto"/>
              <w:left w:val="single" w:sz="4" w:space="0" w:color="auto"/>
              <w:bottom w:val="single" w:sz="4" w:space="0" w:color="auto"/>
              <w:right w:val="single" w:sz="4" w:space="0" w:color="auto"/>
            </w:tcBorders>
            <w:noWrap/>
            <w:hideMark/>
          </w:tcPr>
          <w:p w14:paraId="56D0B706" w14:textId="77777777" w:rsidR="00CE1027" w:rsidRPr="00277350" w:rsidRDefault="00CE1027" w:rsidP="002903D1">
            <w:pPr>
              <w:jc w:val="center"/>
              <w:rPr>
                <w:rFonts w:ascii="Times New Roman" w:hAnsi="Times New Roman" w:cs="Times New Roman"/>
              </w:rPr>
            </w:pPr>
            <w:r w:rsidRPr="00277350">
              <w:rPr>
                <w:rFonts w:ascii="Times New Roman" w:hAnsi="Times New Roman" w:cs="Times New Roman"/>
                <w:color w:val="000000"/>
              </w:rPr>
              <w:t>-15.57</w:t>
            </w:r>
          </w:p>
        </w:tc>
      </w:tr>
      <w:tr w:rsidR="00CE1027" w:rsidRPr="00277350" w14:paraId="0E2CFAFF" w14:textId="77777777" w:rsidTr="00CE1027">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540E31D3" w14:textId="77777777" w:rsidR="00CE1027" w:rsidRPr="00277350" w:rsidRDefault="00CE1027" w:rsidP="002903D1">
            <w:pPr>
              <w:jc w:val="center"/>
              <w:rPr>
                <w:rFonts w:ascii="Times New Roman" w:hAnsi="Times New Roman" w:cs="Times New Roman"/>
                <w:b/>
                <w:bCs/>
              </w:rPr>
            </w:pPr>
            <m:oMathPara>
              <m:oMath>
                <m:r>
                  <m:rPr>
                    <m:sty m:val="b"/>
                  </m:rPr>
                  <w:rPr>
                    <w:rFonts w:ascii="Cambria Math" w:eastAsiaTheme="minorEastAsia" w:hAnsi="Cambria Math" w:cs="Times New Roman"/>
                  </w:rPr>
                  <m:t>MPB</m:t>
                </m:r>
              </m:oMath>
            </m:oMathPara>
          </w:p>
        </w:tc>
        <w:tc>
          <w:tcPr>
            <w:tcW w:w="2494" w:type="dxa"/>
            <w:tcBorders>
              <w:top w:val="single" w:sz="4" w:space="0" w:color="auto"/>
              <w:left w:val="single" w:sz="4" w:space="0" w:color="auto"/>
              <w:bottom w:val="single" w:sz="4" w:space="0" w:color="auto"/>
              <w:right w:val="single" w:sz="4" w:space="0" w:color="auto"/>
            </w:tcBorders>
            <w:noWrap/>
            <w:hideMark/>
          </w:tcPr>
          <w:p w14:paraId="3F9A506E" w14:textId="77777777" w:rsidR="00CE1027" w:rsidRPr="00277350" w:rsidRDefault="00CE1027" w:rsidP="002903D1">
            <w:pPr>
              <w:jc w:val="center"/>
              <w:rPr>
                <w:rFonts w:ascii="Times New Roman" w:hAnsi="Times New Roman" w:cs="Times New Roman"/>
              </w:rPr>
            </w:pPr>
            <w:r w:rsidRPr="00277350">
              <w:rPr>
                <w:rFonts w:ascii="Times New Roman" w:hAnsi="Times New Roman" w:cs="Times New Roman"/>
              </w:rPr>
              <w:t xml:space="preserve"> High (Ref)</w:t>
            </w:r>
          </w:p>
        </w:tc>
        <w:tc>
          <w:tcPr>
            <w:tcW w:w="2130" w:type="dxa"/>
            <w:tcBorders>
              <w:top w:val="single" w:sz="4" w:space="0" w:color="auto"/>
              <w:left w:val="single" w:sz="4" w:space="0" w:color="auto"/>
              <w:bottom w:val="single" w:sz="4" w:space="0" w:color="auto"/>
              <w:right w:val="single" w:sz="4" w:space="0" w:color="auto"/>
            </w:tcBorders>
            <w:noWrap/>
            <w:vAlign w:val="bottom"/>
            <w:hideMark/>
          </w:tcPr>
          <w:p w14:paraId="1E0C7191" w14:textId="77777777" w:rsidR="00CE1027" w:rsidRPr="00277350" w:rsidRDefault="00CE1027" w:rsidP="002903D1">
            <w:pPr>
              <w:jc w:val="center"/>
              <w:rPr>
                <w:rFonts w:ascii="Times New Roman" w:hAnsi="Times New Roman" w:cs="Times New Roman"/>
                <w:color w:val="000000" w:themeColor="text1"/>
              </w:rPr>
            </w:pPr>
          </w:p>
        </w:tc>
        <w:tc>
          <w:tcPr>
            <w:tcW w:w="1537" w:type="dxa"/>
            <w:tcBorders>
              <w:top w:val="single" w:sz="4" w:space="0" w:color="auto"/>
              <w:left w:val="single" w:sz="4" w:space="0" w:color="auto"/>
              <w:bottom w:val="single" w:sz="4" w:space="0" w:color="auto"/>
              <w:right w:val="single" w:sz="4" w:space="0" w:color="auto"/>
            </w:tcBorders>
            <w:noWrap/>
            <w:vAlign w:val="bottom"/>
            <w:hideMark/>
          </w:tcPr>
          <w:p w14:paraId="5E6D86D7" w14:textId="77777777" w:rsidR="00CE1027" w:rsidRPr="00277350" w:rsidRDefault="00CE1027" w:rsidP="002903D1">
            <w:pPr>
              <w:jc w:val="center"/>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2ADAC4AB" w14:textId="77777777" w:rsidR="00CE1027" w:rsidRPr="00277350" w:rsidRDefault="00CE1027" w:rsidP="002903D1">
            <w:pPr>
              <w:jc w:val="center"/>
              <w:rPr>
                <w:rFonts w:ascii="Times New Roman" w:hAnsi="Times New Roman" w:cs="Times New Roman"/>
              </w:rPr>
            </w:pPr>
          </w:p>
        </w:tc>
      </w:tr>
      <w:tr w:rsidR="00CE1027" w:rsidRPr="00277350" w14:paraId="66E5EFA9" w14:textId="77777777" w:rsidTr="00CE1027">
        <w:trPr>
          <w:trHeight w:val="243"/>
        </w:trPr>
        <w:tc>
          <w:tcPr>
            <w:tcW w:w="2233" w:type="dxa"/>
            <w:vMerge/>
            <w:tcBorders>
              <w:top w:val="single" w:sz="4" w:space="0" w:color="auto"/>
              <w:bottom w:val="single" w:sz="4" w:space="0" w:color="auto"/>
              <w:right w:val="single" w:sz="4" w:space="0" w:color="auto"/>
            </w:tcBorders>
            <w:noWrap/>
            <w:vAlign w:val="center"/>
            <w:hideMark/>
          </w:tcPr>
          <w:p w14:paraId="6EA5C819" w14:textId="77777777" w:rsidR="00CE1027" w:rsidRPr="00277350" w:rsidRDefault="00CE1027" w:rsidP="002903D1">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68FA6183" w14:textId="77777777" w:rsidR="00CE1027" w:rsidRPr="00277350" w:rsidRDefault="00CE1027" w:rsidP="002903D1">
            <w:pPr>
              <w:jc w:val="center"/>
              <w:rPr>
                <w:rFonts w:ascii="Times New Roman" w:hAnsi="Times New Roman" w:cs="Times New Roman"/>
              </w:rPr>
            </w:pPr>
            <w:r w:rsidRPr="00277350">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687BD726" w14:textId="77777777" w:rsidR="00CE1027" w:rsidRPr="00277350" w:rsidRDefault="00CE1027" w:rsidP="002903D1">
            <w:pPr>
              <w:jc w:val="center"/>
              <w:rPr>
                <w:rFonts w:ascii="Times New Roman" w:hAnsi="Times New Roman" w:cs="Times New Roman"/>
                <w:color w:val="000000" w:themeColor="text1"/>
              </w:rPr>
            </w:pPr>
            <w:r w:rsidRPr="00277350">
              <w:rPr>
                <w:rFonts w:ascii="Times New Roman" w:hAnsi="Times New Roman" w:cs="Times New Roman"/>
                <w:color w:val="000000" w:themeColor="text1"/>
              </w:rPr>
              <w:t>-16.65</w:t>
            </w:r>
          </w:p>
        </w:tc>
        <w:tc>
          <w:tcPr>
            <w:tcW w:w="1537" w:type="dxa"/>
            <w:tcBorders>
              <w:top w:val="single" w:sz="4" w:space="0" w:color="auto"/>
              <w:left w:val="single" w:sz="4" w:space="0" w:color="auto"/>
              <w:bottom w:val="single" w:sz="4" w:space="0" w:color="auto"/>
              <w:right w:val="single" w:sz="4" w:space="0" w:color="auto"/>
            </w:tcBorders>
            <w:noWrap/>
            <w:hideMark/>
          </w:tcPr>
          <w:p w14:paraId="71F9B09B" w14:textId="77777777" w:rsidR="00CE1027" w:rsidRPr="00277350" w:rsidRDefault="00CE1027" w:rsidP="002903D1">
            <w:pPr>
              <w:jc w:val="center"/>
              <w:rPr>
                <w:rFonts w:ascii="Times New Roman" w:hAnsi="Times New Roman" w:cs="Times New Roman"/>
              </w:rPr>
            </w:pPr>
            <w:r w:rsidRPr="00277350">
              <w:rPr>
                <w:rFonts w:ascii="Times New Roman" w:hAnsi="Times New Roman" w:cs="Times New Roman"/>
                <w:color w:val="000000"/>
              </w:rPr>
              <w:t>-26.78</w:t>
            </w:r>
          </w:p>
        </w:tc>
        <w:tc>
          <w:tcPr>
            <w:tcW w:w="1276" w:type="dxa"/>
            <w:tcBorders>
              <w:top w:val="single" w:sz="4" w:space="0" w:color="auto"/>
              <w:left w:val="single" w:sz="4" w:space="0" w:color="auto"/>
              <w:bottom w:val="single" w:sz="4" w:space="0" w:color="auto"/>
              <w:right w:val="single" w:sz="4" w:space="0" w:color="auto"/>
            </w:tcBorders>
            <w:noWrap/>
            <w:hideMark/>
          </w:tcPr>
          <w:p w14:paraId="12F9286A" w14:textId="77777777" w:rsidR="00CE1027" w:rsidRPr="00277350" w:rsidRDefault="00CE1027" w:rsidP="002903D1">
            <w:pPr>
              <w:jc w:val="center"/>
              <w:rPr>
                <w:rFonts w:ascii="Times New Roman" w:hAnsi="Times New Roman" w:cs="Times New Roman"/>
              </w:rPr>
            </w:pPr>
            <w:r w:rsidRPr="00277350">
              <w:rPr>
                <w:rFonts w:ascii="Times New Roman" w:hAnsi="Times New Roman" w:cs="Times New Roman"/>
                <w:color w:val="000000"/>
              </w:rPr>
              <w:t>-5.10</w:t>
            </w:r>
          </w:p>
        </w:tc>
      </w:tr>
      <w:tr w:rsidR="00CE1027" w:rsidRPr="00277350" w14:paraId="0F735548" w14:textId="77777777" w:rsidTr="00CE1027">
        <w:trPr>
          <w:trHeight w:val="243"/>
        </w:trPr>
        <w:tc>
          <w:tcPr>
            <w:tcW w:w="2233" w:type="dxa"/>
            <w:vMerge/>
            <w:tcBorders>
              <w:top w:val="single" w:sz="4" w:space="0" w:color="auto"/>
              <w:bottom w:val="single" w:sz="4" w:space="0" w:color="auto"/>
              <w:right w:val="single" w:sz="4" w:space="0" w:color="auto"/>
            </w:tcBorders>
            <w:noWrap/>
            <w:vAlign w:val="center"/>
            <w:hideMark/>
          </w:tcPr>
          <w:p w14:paraId="1E280C60" w14:textId="77777777" w:rsidR="00CE1027" w:rsidRPr="00277350" w:rsidRDefault="00CE1027" w:rsidP="002903D1">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016F7A86" w14:textId="77777777" w:rsidR="00CE1027" w:rsidRPr="00277350" w:rsidRDefault="00CE1027" w:rsidP="002903D1">
            <w:pPr>
              <w:jc w:val="center"/>
              <w:rPr>
                <w:rFonts w:ascii="Times New Roman" w:hAnsi="Times New Roman" w:cs="Times New Roman"/>
              </w:rPr>
            </w:pPr>
            <w:r w:rsidRPr="00277350">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2CBC0A46" w14:textId="77777777" w:rsidR="00CE1027" w:rsidRPr="00277350" w:rsidRDefault="00CE1027" w:rsidP="002903D1">
            <w:pPr>
              <w:jc w:val="center"/>
              <w:rPr>
                <w:rFonts w:ascii="Times New Roman" w:hAnsi="Times New Roman" w:cs="Times New Roman"/>
                <w:color w:val="000000" w:themeColor="text1"/>
              </w:rPr>
            </w:pPr>
            <w:r w:rsidRPr="00277350">
              <w:rPr>
                <w:rFonts w:ascii="Times New Roman" w:hAnsi="Times New Roman" w:cs="Times New Roman"/>
                <w:color w:val="000000" w:themeColor="text1"/>
              </w:rPr>
              <w:t>-14.81</w:t>
            </w:r>
          </w:p>
        </w:tc>
        <w:tc>
          <w:tcPr>
            <w:tcW w:w="1537" w:type="dxa"/>
            <w:tcBorders>
              <w:top w:val="single" w:sz="4" w:space="0" w:color="auto"/>
              <w:left w:val="single" w:sz="4" w:space="0" w:color="auto"/>
              <w:bottom w:val="single" w:sz="4" w:space="0" w:color="auto"/>
              <w:right w:val="single" w:sz="4" w:space="0" w:color="auto"/>
            </w:tcBorders>
            <w:noWrap/>
            <w:hideMark/>
          </w:tcPr>
          <w:p w14:paraId="44E2DD9F" w14:textId="77777777" w:rsidR="00CE1027" w:rsidRPr="00277350" w:rsidRDefault="00CE1027" w:rsidP="002903D1">
            <w:pPr>
              <w:jc w:val="center"/>
              <w:rPr>
                <w:rFonts w:ascii="Times New Roman" w:hAnsi="Times New Roman" w:cs="Times New Roman"/>
              </w:rPr>
            </w:pPr>
            <w:r w:rsidRPr="00277350">
              <w:rPr>
                <w:rFonts w:ascii="Times New Roman" w:hAnsi="Times New Roman" w:cs="Times New Roman"/>
                <w:color w:val="000000"/>
              </w:rPr>
              <w:t>-28.35</w:t>
            </w:r>
          </w:p>
        </w:tc>
        <w:tc>
          <w:tcPr>
            <w:tcW w:w="1276" w:type="dxa"/>
            <w:tcBorders>
              <w:top w:val="single" w:sz="4" w:space="0" w:color="auto"/>
              <w:left w:val="single" w:sz="4" w:space="0" w:color="auto"/>
              <w:bottom w:val="single" w:sz="4" w:space="0" w:color="auto"/>
              <w:right w:val="single" w:sz="4" w:space="0" w:color="auto"/>
            </w:tcBorders>
            <w:noWrap/>
            <w:hideMark/>
          </w:tcPr>
          <w:p w14:paraId="4E5CF8F6" w14:textId="77777777" w:rsidR="00CE1027" w:rsidRPr="00277350" w:rsidRDefault="00CE1027" w:rsidP="002903D1">
            <w:pPr>
              <w:jc w:val="center"/>
              <w:rPr>
                <w:rFonts w:ascii="Times New Roman" w:hAnsi="Times New Roman" w:cs="Times New Roman"/>
              </w:rPr>
            </w:pPr>
            <w:r w:rsidRPr="00277350">
              <w:rPr>
                <w:rFonts w:ascii="Times New Roman" w:hAnsi="Times New Roman" w:cs="Times New Roman"/>
                <w:color w:val="000000"/>
              </w:rPr>
              <w:t>1.29</w:t>
            </w:r>
          </w:p>
        </w:tc>
      </w:tr>
      <w:tr w:rsidR="00CE1027" w:rsidRPr="00277350" w14:paraId="2FC649BF" w14:textId="77777777" w:rsidTr="00CE1027">
        <w:trPr>
          <w:trHeight w:val="243"/>
        </w:trPr>
        <w:tc>
          <w:tcPr>
            <w:tcW w:w="2233" w:type="dxa"/>
            <w:vMerge/>
            <w:tcBorders>
              <w:top w:val="single" w:sz="4" w:space="0" w:color="auto"/>
              <w:bottom w:val="single" w:sz="4" w:space="0" w:color="auto"/>
              <w:right w:val="single" w:sz="4" w:space="0" w:color="auto"/>
            </w:tcBorders>
            <w:noWrap/>
            <w:vAlign w:val="center"/>
            <w:hideMark/>
          </w:tcPr>
          <w:p w14:paraId="569B6FF0" w14:textId="77777777" w:rsidR="00CE1027" w:rsidRPr="00277350" w:rsidRDefault="00CE1027" w:rsidP="002903D1">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242240A7" w14:textId="77777777" w:rsidR="00CE1027" w:rsidRPr="00277350" w:rsidRDefault="00CE1027" w:rsidP="002903D1">
            <w:pPr>
              <w:jc w:val="center"/>
              <w:rPr>
                <w:rFonts w:ascii="Times New Roman" w:hAnsi="Times New Roman" w:cs="Times New Roman"/>
              </w:rPr>
            </w:pPr>
            <w:r w:rsidRPr="00277350">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511700D0" w14:textId="77777777" w:rsidR="00CE1027" w:rsidRPr="00277350" w:rsidRDefault="00CE1027" w:rsidP="002903D1">
            <w:pPr>
              <w:jc w:val="center"/>
              <w:rPr>
                <w:rFonts w:ascii="Times New Roman" w:hAnsi="Times New Roman" w:cs="Times New Roman"/>
                <w:color w:val="000000" w:themeColor="text1"/>
              </w:rPr>
            </w:pPr>
            <w:r w:rsidRPr="00277350">
              <w:rPr>
                <w:rFonts w:ascii="Times New Roman" w:hAnsi="Times New Roman" w:cs="Times New Roman"/>
                <w:color w:val="000000" w:themeColor="text1"/>
              </w:rPr>
              <w:t>-21.53</w:t>
            </w:r>
          </w:p>
        </w:tc>
        <w:tc>
          <w:tcPr>
            <w:tcW w:w="1537" w:type="dxa"/>
            <w:tcBorders>
              <w:top w:val="single" w:sz="4" w:space="0" w:color="auto"/>
              <w:left w:val="single" w:sz="4" w:space="0" w:color="auto"/>
              <w:bottom w:val="single" w:sz="4" w:space="0" w:color="auto"/>
              <w:right w:val="single" w:sz="4" w:space="0" w:color="auto"/>
            </w:tcBorders>
            <w:noWrap/>
            <w:hideMark/>
          </w:tcPr>
          <w:p w14:paraId="7A87039A" w14:textId="77777777" w:rsidR="00CE1027" w:rsidRPr="00277350" w:rsidRDefault="00CE1027" w:rsidP="002903D1">
            <w:pPr>
              <w:jc w:val="center"/>
              <w:rPr>
                <w:rFonts w:ascii="Times New Roman" w:hAnsi="Times New Roman" w:cs="Times New Roman"/>
              </w:rPr>
            </w:pPr>
            <w:r w:rsidRPr="00277350">
              <w:rPr>
                <w:rFonts w:ascii="Times New Roman" w:hAnsi="Times New Roman" w:cs="Times New Roman"/>
                <w:color w:val="000000"/>
              </w:rPr>
              <w:t>-35.05</w:t>
            </w:r>
          </w:p>
        </w:tc>
        <w:tc>
          <w:tcPr>
            <w:tcW w:w="1276" w:type="dxa"/>
            <w:tcBorders>
              <w:top w:val="single" w:sz="4" w:space="0" w:color="auto"/>
              <w:left w:val="single" w:sz="4" w:space="0" w:color="auto"/>
              <w:bottom w:val="single" w:sz="4" w:space="0" w:color="auto"/>
              <w:right w:val="single" w:sz="4" w:space="0" w:color="auto"/>
            </w:tcBorders>
            <w:noWrap/>
            <w:hideMark/>
          </w:tcPr>
          <w:p w14:paraId="28A21532" w14:textId="77777777" w:rsidR="00CE1027" w:rsidRPr="00277350" w:rsidRDefault="00CE1027" w:rsidP="002903D1">
            <w:pPr>
              <w:jc w:val="center"/>
              <w:rPr>
                <w:rFonts w:ascii="Times New Roman" w:hAnsi="Times New Roman" w:cs="Times New Roman"/>
              </w:rPr>
            </w:pPr>
            <w:r w:rsidRPr="00277350">
              <w:rPr>
                <w:rFonts w:ascii="Times New Roman" w:hAnsi="Times New Roman" w:cs="Times New Roman"/>
                <w:color w:val="000000"/>
              </w:rPr>
              <w:t>-5.18</w:t>
            </w:r>
          </w:p>
        </w:tc>
      </w:tr>
      <w:tr w:rsidR="00CE1027" w:rsidRPr="00277350" w14:paraId="74C93F36" w14:textId="77777777" w:rsidTr="00CE1027">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6507F7EE" w14:textId="77777777" w:rsidR="00CE1027" w:rsidRPr="00277350" w:rsidRDefault="00CE1027" w:rsidP="002903D1">
            <w:pPr>
              <w:jc w:val="center"/>
              <w:rPr>
                <w:rFonts w:ascii="Times New Roman" w:hAnsi="Times New Roman" w:cs="Times New Roman"/>
                <w:b/>
                <w:bCs/>
              </w:rPr>
            </w:pPr>
            <m:oMathPara>
              <m:oMath>
                <m:r>
                  <m:rPr>
                    <m:sty m:val="b"/>
                  </m:rPr>
                  <w:rPr>
                    <w:rFonts w:ascii="Cambria Math" w:eastAsiaTheme="minorEastAsia" w:hAnsi="Cambria Math" w:cs="Times New Roman"/>
                  </w:rPr>
                  <m:t>PPB</m:t>
                </m:r>
              </m:oMath>
            </m:oMathPara>
          </w:p>
        </w:tc>
        <w:tc>
          <w:tcPr>
            <w:tcW w:w="2494" w:type="dxa"/>
            <w:tcBorders>
              <w:top w:val="single" w:sz="4" w:space="0" w:color="auto"/>
              <w:left w:val="single" w:sz="4" w:space="0" w:color="auto"/>
              <w:bottom w:val="single" w:sz="4" w:space="0" w:color="auto"/>
              <w:right w:val="single" w:sz="4" w:space="0" w:color="auto"/>
            </w:tcBorders>
            <w:noWrap/>
            <w:hideMark/>
          </w:tcPr>
          <w:p w14:paraId="7DBF539A" w14:textId="77777777" w:rsidR="00CE1027" w:rsidRPr="00277350" w:rsidRDefault="00CE1027" w:rsidP="002903D1">
            <w:pPr>
              <w:jc w:val="center"/>
              <w:rPr>
                <w:rFonts w:ascii="Times New Roman" w:hAnsi="Times New Roman" w:cs="Times New Roman"/>
              </w:rPr>
            </w:pPr>
            <w:r w:rsidRPr="00277350">
              <w:rPr>
                <w:rFonts w:ascii="Times New Roman" w:hAnsi="Times New Roman" w:cs="Times New Roman"/>
              </w:rPr>
              <w:t xml:space="preserve"> High (Ref)</w:t>
            </w:r>
          </w:p>
        </w:tc>
        <w:tc>
          <w:tcPr>
            <w:tcW w:w="2130" w:type="dxa"/>
            <w:tcBorders>
              <w:top w:val="single" w:sz="4" w:space="0" w:color="auto"/>
              <w:left w:val="single" w:sz="4" w:space="0" w:color="auto"/>
              <w:bottom w:val="single" w:sz="4" w:space="0" w:color="auto"/>
              <w:right w:val="single" w:sz="4" w:space="0" w:color="auto"/>
            </w:tcBorders>
            <w:noWrap/>
            <w:vAlign w:val="bottom"/>
            <w:hideMark/>
          </w:tcPr>
          <w:p w14:paraId="2FF73B99" w14:textId="77777777" w:rsidR="00CE1027" w:rsidRPr="00277350" w:rsidRDefault="00CE1027" w:rsidP="002903D1">
            <w:pPr>
              <w:jc w:val="center"/>
              <w:rPr>
                <w:rFonts w:ascii="Times New Roman" w:hAnsi="Times New Roman" w:cs="Times New Roman"/>
                <w:color w:val="000000" w:themeColor="text1"/>
              </w:rPr>
            </w:pPr>
          </w:p>
        </w:tc>
        <w:tc>
          <w:tcPr>
            <w:tcW w:w="1537" w:type="dxa"/>
            <w:tcBorders>
              <w:top w:val="single" w:sz="4" w:space="0" w:color="auto"/>
              <w:left w:val="single" w:sz="4" w:space="0" w:color="auto"/>
              <w:bottom w:val="single" w:sz="4" w:space="0" w:color="auto"/>
              <w:right w:val="single" w:sz="4" w:space="0" w:color="auto"/>
            </w:tcBorders>
            <w:noWrap/>
            <w:vAlign w:val="bottom"/>
            <w:hideMark/>
          </w:tcPr>
          <w:p w14:paraId="3AB631C7" w14:textId="77777777" w:rsidR="00CE1027" w:rsidRPr="00277350" w:rsidRDefault="00CE1027" w:rsidP="002903D1">
            <w:pPr>
              <w:jc w:val="center"/>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7AA066EC" w14:textId="77777777" w:rsidR="00CE1027" w:rsidRPr="00277350" w:rsidRDefault="00CE1027" w:rsidP="002903D1">
            <w:pPr>
              <w:jc w:val="center"/>
              <w:rPr>
                <w:rFonts w:ascii="Times New Roman" w:hAnsi="Times New Roman" w:cs="Times New Roman"/>
              </w:rPr>
            </w:pPr>
          </w:p>
        </w:tc>
      </w:tr>
      <w:tr w:rsidR="00CE1027" w:rsidRPr="00277350" w14:paraId="6989ACA0" w14:textId="77777777" w:rsidTr="00CE1027">
        <w:trPr>
          <w:trHeight w:val="243"/>
        </w:trPr>
        <w:tc>
          <w:tcPr>
            <w:tcW w:w="2233" w:type="dxa"/>
            <w:vMerge/>
            <w:tcBorders>
              <w:top w:val="single" w:sz="4" w:space="0" w:color="auto"/>
              <w:bottom w:val="single" w:sz="4" w:space="0" w:color="auto"/>
              <w:right w:val="single" w:sz="4" w:space="0" w:color="auto"/>
            </w:tcBorders>
            <w:noWrap/>
            <w:vAlign w:val="center"/>
            <w:hideMark/>
          </w:tcPr>
          <w:p w14:paraId="678AE7EF" w14:textId="77777777" w:rsidR="00CE1027" w:rsidRPr="00277350" w:rsidRDefault="00CE1027" w:rsidP="002903D1">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56F0BCA0" w14:textId="77777777" w:rsidR="00CE1027" w:rsidRPr="00277350" w:rsidRDefault="00CE1027" w:rsidP="002903D1">
            <w:pPr>
              <w:jc w:val="center"/>
              <w:rPr>
                <w:rFonts w:ascii="Times New Roman" w:hAnsi="Times New Roman" w:cs="Times New Roman"/>
              </w:rPr>
            </w:pPr>
            <w:r w:rsidRPr="00277350">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6C81292E" w14:textId="77777777" w:rsidR="00CE1027" w:rsidRPr="00277350" w:rsidRDefault="00CE1027" w:rsidP="002903D1">
            <w:pPr>
              <w:jc w:val="center"/>
              <w:rPr>
                <w:rFonts w:ascii="Times New Roman" w:hAnsi="Times New Roman" w:cs="Times New Roman"/>
                <w:color w:val="000000" w:themeColor="text1"/>
              </w:rPr>
            </w:pPr>
            <w:r w:rsidRPr="00277350">
              <w:rPr>
                <w:rFonts w:ascii="Times New Roman" w:hAnsi="Times New Roman" w:cs="Times New Roman"/>
                <w:color w:val="000000" w:themeColor="text1"/>
              </w:rPr>
              <w:t>-16.26</w:t>
            </w:r>
          </w:p>
        </w:tc>
        <w:tc>
          <w:tcPr>
            <w:tcW w:w="1537" w:type="dxa"/>
            <w:tcBorders>
              <w:top w:val="single" w:sz="4" w:space="0" w:color="auto"/>
              <w:left w:val="single" w:sz="4" w:space="0" w:color="auto"/>
              <w:bottom w:val="single" w:sz="4" w:space="0" w:color="auto"/>
              <w:right w:val="single" w:sz="4" w:space="0" w:color="auto"/>
            </w:tcBorders>
            <w:noWrap/>
            <w:hideMark/>
          </w:tcPr>
          <w:p w14:paraId="3215A87F" w14:textId="77777777" w:rsidR="00CE1027" w:rsidRPr="00277350" w:rsidRDefault="00CE1027" w:rsidP="002903D1">
            <w:pPr>
              <w:jc w:val="center"/>
              <w:rPr>
                <w:rFonts w:ascii="Times New Roman" w:hAnsi="Times New Roman" w:cs="Times New Roman"/>
              </w:rPr>
            </w:pPr>
            <w:r w:rsidRPr="00277350">
              <w:rPr>
                <w:rFonts w:ascii="Times New Roman" w:hAnsi="Times New Roman" w:cs="Times New Roman"/>
                <w:color w:val="000000"/>
              </w:rPr>
              <w:t>-28.75</w:t>
            </w:r>
          </w:p>
        </w:tc>
        <w:tc>
          <w:tcPr>
            <w:tcW w:w="1276" w:type="dxa"/>
            <w:tcBorders>
              <w:top w:val="single" w:sz="4" w:space="0" w:color="auto"/>
              <w:left w:val="single" w:sz="4" w:space="0" w:color="auto"/>
              <w:bottom w:val="single" w:sz="4" w:space="0" w:color="auto"/>
              <w:right w:val="single" w:sz="4" w:space="0" w:color="auto"/>
            </w:tcBorders>
            <w:noWrap/>
            <w:hideMark/>
          </w:tcPr>
          <w:p w14:paraId="03EDE170" w14:textId="77777777" w:rsidR="00CE1027" w:rsidRPr="00277350" w:rsidRDefault="00CE1027" w:rsidP="002903D1">
            <w:pPr>
              <w:jc w:val="center"/>
              <w:rPr>
                <w:rFonts w:ascii="Times New Roman" w:hAnsi="Times New Roman" w:cs="Times New Roman"/>
              </w:rPr>
            </w:pPr>
            <w:r w:rsidRPr="00277350">
              <w:rPr>
                <w:rFonts w:ascii="Times New Roman" w:hAnsi="Times New Roman" w:cs="Times New Roman"/>
                <w:color w:val="000000"/>
              </w:rPr>
              <w:t>-1.59</w:t>
            </w:r>
          </w:p>
        </w:tc>
      </w:tr>
      <w:tr w:rsidR="00CE1027" w:rsidRPr="00277350" w14:paraId="05D95F72" w14:textId="77777777" w:rsidTr="00CE1027">
        <w:trPr>
          <w:trHeight w:val="243"/>
        </w:trPr>
        <w:tc>
          <w:tcPr>
            <w:tcW w:w="2233" w:type="dxa"/>
            <w:vMerge/>
            <w:tcBorders>
              <w:top w:val="single" w:sz="4" w:space="0" w:color="auto"/>
              <w:bottom w:val="single" w:sz="4" w:space="0" w:color="auto"/>
              <w:right w:val="single" w:sz="4" w:space="0" w:color="auto"/>
            </w:tcBorders>
            <w:noWrap/>
            <w:vAlign w:val="center"/>
            <w:hideMark/>
          </w:tcPr>
          <w:p w14:paraId="61B0665E" w14:textId="77777777" w:rsidR="00CE1027" w:rsidRPr="00277350" w:rsidRDefault="00CE1027" w:rsidP="002903D1">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475401BC" w14:textId="77777777" w:rsidR="00CE1027" w:rsidRPr="00277350" w:rsidRDefault="00CE1027" w:rsidP="002903D1">
            <w:pPr>
              <w:jc w:val="center"/>
              <w:rPr>
                <w:rFonts w:ascii="Times New Roman" w:hAnsi="Times New Roman" w:cs="Times New Roman"/>
              </w:rPr>
            </w:pPr>
            <w:r w:rsidRPr="00277350">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7CD35E1D" w14:textId="77777777" w:rsidR="00CE1027" w:rsidRPr="00277350" w:rsidRDefault="00CE1027" w:rsidP="002903D1">
            <w:pPr>
              <w:jc w:val="center"/>
              <w:rPr>
                <w:rFonts w:ascii="Times New Roman" w:hAnsi="Times New Roman" w:cs="Times New Roman"/>
                <w:color w:val="000000" w:themeColor="text1"/>
              </w:rPr>
            </w:pPr>
            <w:r w:rsidRPr="00277350">
              <w:rPr>
                <w:rFonts w:ascii="Times New Roman" w:hAnsi="Times New Roman" w:cs="Times New Roman"/>
                <w:color w:val="000000" w:themeColor="text1"/>
              </w:rPr>
              <w:t>-15.16</w:t>
            </w:r>
          </w:p>
        </w:tc>
        <w:tc>
          <w:tcPr>
            <w:tcW w:w="1537" w:type="dxa"/>
            <w:tcBorders>
              <w:top w:val="single" w:sz="4" w:space="0" w:color="auto"/>
              <w:left w:val="single" w:sz="4" w:space="0" w:color="auto"/>
              <w:bottom w:val="single" w:sz="4" w:space="0" w:color="auto"/>
              <w:right w:val="single" w:sz="4" w:space="0" w:color="auto"/>
            </w:tcBorders>
            <w:noWrap/>
            <w:hideMark/>
          </w:tcPr>
          <w:p w14:paraId="53CE700D" w14:textId="77777777" w:rsidR="00CE1027" w:rsidRPr="00277350" w:rsidRDefault="00CE1027" w:rsidP="002903D1">
            <w:pPr>
              <w:jc w:val="center"/>
              <w:rPr>
                <w:rFonts w:ascii="Times New Roman" w:hAnsi="Times New Roman" w:cs="Times New Roman"/>
              </w:rPr>
            </w:pPr>
            <w:r w:rsidRPr="00277350">
              <w:rPr>
                <w:rFonts w:ascii="Times New Roman" w:hAnsi="Times New Roman" w:cs="Times New Roman"/>
                <w:color w:val="000000"/>
              </w:rPr>
              <w:t>-32.01</w:t>
            </w:r>
          </w:p>
        </w:tc>
        <w:tc>
          <w:tcPr>
            <w:tcW w:w="1276" w:type="dxa"/>
            <w:tcBorders>
              <w:top w:val="single" w:sz="4" w:space="0" w:color="auto"/>
              <w:left w:val="single" w:sz="4" w:space="0" w:color="auto"/>
              <w:bottom w:val="single" w:sz="4" w:space="0" w:color="auto"/>
              <w:right w:val="single" w:sz="4" w:space="0" w:color="auto"/>
            </w:tcBorders>
            <w:noWrap/>
            <w:hideMark/>
          </w:tcPr>
          <w:p w14:paraId="31AD83C2" w14:textId="77777777" w:rsidR="00CE1027" w:rsidRPr="00277350" w:rsidRDefault="00CE1027" w:rsidP="002903D1">
            <w:pPr>
              <w:jc w:val="center"/>
              <w:rPr>
                <w:rFonts w:ascii="Times New Roman" w:hAnsi="Times New Roman" w:cs="Times New Roman"/>
              </w:rPr>
            </w:pPr>
            <w:r w:rsidRPr="00277350">
              <w:rPr>
                <w:rFonts w:ascii="Times New Roman" w:hAnsi="Times New Roman" w:cs="Times New Roman"/>
                <w:color w:val="000000"/>
              </w:rPr>
              <w:t>5.85</w:t>
            </w:r>
          </w:p>
        </w:tc>
      </w:tr>
      <w:tr w:rsidR="00CE1027" w:rsidRPr="00277350" w14:paraId="41072BFF" w14:textId="77777777" w:rsidTr="00CE1027">
        <w:trPr>
          <w:trHeight w:val="243"/>
        </w:trPr>
        <w:tc>
          <w:tcPr>
            <w:tcW w:w="2233" w:type="dxa"/>
            <w:vMerge/>
            <w:tcBorders>
              <w:top w:val="single" w:sz="4" w:space="0" w:color="auto"/>
              <w:bottom w:val="single" w:sz="4" w:space="0" w:color="auto"/>
              <w:right w:val="single" w:sz="4" w:space="0" w:color="auto"/>
            </w:tcBorders>
            <w:noWrap/>
            <w:vAlign w:val="center"/>
            <w:hideMark/>
          </w:tcPr>
          <w:p w14:paraId="7F2F3DE0" w14:textId="77777777" w:rsidR="00CE1027" w:rsidRPr="00277350" w:rsidRDefault="00CE1027" w:rsidP="002903D1">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5265B3AF" w14:textId="77777777" w:rsidR="00CE1027" w:rsidRPr="00277350" w:rsidRDefault="00CE1027" w:rsidP="002903D1">
            <w:pPr>
              <w:jc w:val="center"/>
              <w:rPr>
                <w:rFonts w:ascii="Times New Roman" w:hAnsi="Times New Roman" w:cs="Times New Roman"/>
              </w:rPr>
            </w:pPr>
            <w:r w:rsidRPr="00277350">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22AB1D6A" w14:textId="77777777" w:rsidR="00CE1027" w:rsidRPr="00277350" w:rsidRDefault="00CE1027" w:rsidP="002903D1">
            <w:pPr>
              <w:jc w:val="center"/>
              <w:rPr>
                <w:rFonts w:ascii="Times New Roman" w:hAnsi="Times New Roman" w:cs="Times New Roman"/>
                <w:color w:val="000000" w:themeColor="text1"/>
              </w:rPr>
            </w:pPr>
            <w:r w:rsidRPr="00277350">
              <w:rPr>
                <w:rFonts w:ascii="Times New Roman" w:hAnsi="Times New Roman" w:cs="Times New Roman"/>
                <w:color w:val="000000" w:themeColor="text1"/>
              </w:rPr>
              <w:t>-25.08</w:t>
            </w:r>
          </w:p>
        </w:tc>
        <w:tc>
          <w:tcPr>
            <w:tcW w:w="1537" w:type="dxa"/>
            <w:tcBorders>
              <w:top w:val="single" w:sz="4" w:space="0" w:color="auto"/>
              <w:left w:val="single" w:sz="4" w:space="0" w:color="auto"/>
              <w:bottom w:val="single" w:sz="4" w:space="0" w:color="auto"/>
              <w:right w:val="single" w:sz="4" w:space="0" w:color="auto"/>
            </w:tcBorders>
            <w:noWrap/>
            <w:hideMark/>
          </w:tcPr>
          <w:p w14:paraId="19942102" w14:textId="77777777" w:rsidR="00CE1027" w:rsidRPr="00277350" w:rsidRDefault="00CE1027" w:rsidP="002903D1">
            <w:pPr>
              <w:jc w:val="center"/>
              <w:rPr>
                <w:rFonts w:ascii="Times New Roman" w:hAnsi="Times New Roman" w:cs="Times New Roman"/>
              </w:rPr>
            </w:pPr>
            <w:r w:rsidRPr="00277350">
              <w:rPr>
                <w:rFonts w:ascii="Times New Roman" w:hAnsi="Times New Roman" w:cs="Times New Roman"/>
                <w:color w:val="000000"/>
              </w:rPr>
              <w:t>-40.79</w:t>
            </w:r>
          </w:p>
        </w:tc>
        <w:tc>
          <w:tcPr>
            <w:tcW w:w="1276" w:type="dxa"/>
            <w:tcBorders>
              <w:top w:val="single" w:sz="4" w:space="0" w:color="auto"/>
              <w:left w:val="single" w:sz="4" w:space="0" w:color="auto"/>
              <w:bottom w:val="single" w:sz="4" w:space="0" w:color="auto"/>
              <w:right w:val="single" w:sz="4" w:space="0" w:color="auto"/>
            </w:tcBorders>
            <w:noWrap/>
            <w:hideMark/>
          </w:tcPr>
          <w:p w14:paraId="62C317BA" w14:textId="77777777" w:rsidR="00CE1027" w:rsidRPr="00277350" w:rsidRDefault="00CE1027" w:rsidP="002903D1">
            <w:pPr>
              <w:jc w:val="center"/>
              <w:rPr>
                <w:rFonts w:ascii="Times New Roman" w:hAnsi="Times New Roman" w:cs="Times New Roman"/>
              </w:rPr>
            </w:pPr>
            <w:r w:rsidRPr="00277350">
              <w:rPr>
                <w:rFonts w:ascii="Times New Roman" w:hAnsi="Times New Roman" w:cs="Times New Roman"/>
                <w:color w:val="000000"/>
              </w:rPr>
              <w:t>-5.20</w:t>
            </w:r>
          </w:p>
        </w:tc>
      </w:tr>
    </w:tbl>
    <w:p w14:paraId="4B2FB578" w14:textId="50466E74" w:rsidR="0086036C" w:rsidRPr="00277350" w:rsidRDefault="0086036C" w:rsidP="00927C64">
      <w:pPr>
        <w:pStyle w:val="ListParagraph"/>
        <w:numPr>
          <w:ilvl w:val="0"/>
          <w:numId w:val="3"/>
        </w:numPr>
        <w:spacing w:after="0" w:line="240" w:lineRule="auto"/>
        <w:rPr>
          <w:rFonts w:ascii="Times New Roman" w:hAnsi="Times New Roman" w:cs="Times New Roman"/>
          <w:i/>
          <w:iCs/>
          <w:color w:val="000000" w:themeColor="text1"/>
        </w:rPr>
      </w:pPr>
      <w:r w:rsidRPr="00277350">
        <w:rPr>
          <w:rFonts w:ascii="Times New Roman" w:hAnsi="Times New Roman" w:cs="Times New Roman"/>
          <w:i/>
          <w:iCs/>
          <w:color w:val="000000" w:themeColor="text1"/>
        </w:rPr>
        <w:t xml:space="preserve">Values are adjusted percent differences in urinary phenol metabolite concentrations (ng/mL) compared to the High Food Secure category (reference group) based on multivariable linear regression models. adjusted for age, gender, education, cycle year, race/ethnicity, </w:t>
      </w:r>
      <w:r w:rsidR="001D5FBA" w:rsidRPr="00277350">
        <w:rPr>
          <w:rFonts w:ascii="Times New Roman" w:hAnsi="Times New Roman" w:cs="Times New Roman"/>
          <w:i/>
          <w:iCs/>
          <w:color w:val="000000" w:themeColor="text1"/>
        </w:rPr>
        <w:t>poverty-to-income</w:t>
      </w:r>
      <w:r w:rsidRPr="00277350">
        <w:rPr>
          <w:rFonts w:ascii="Times New Roman" w:hAnsi="Times New Roman" w:cs="Times New Roman"/>
          <w:i/>
          <w:iCs/>
          <w:color w:val="000000" w:themeColor="text1"/>
        </w:rPr>
        <w:t xml:space="preserve"> ratio and creatinine.</w:t>
      </w:r>
    </w:p>
    <w:p w14:paraId="0051A2A6" w14:textId="77777777" w:rsidR="0086036C" w:rsidRPr="00277350" w:rsidRDefault="0086036C" w:rsidP="00927C64">
      <w:pPr>
        <w:pStyle w:val="ListParagraph"/>
        <w:numPr>
          <w:ilvl w:val="0"/>
          <w:numId w:val="3"/>
        </w:numPr>
        <w:spacing w:after="0" w:line="240" w:lineRule="auto"/>
        <w:rPr>
          <w:rFonts w:ascii="Times New Roman" w:hAnsi="Times New Roman" w:cs="Times New Roman"/>
          <w:i/>
          <w:iCs/>
          <w:color w:val="000000" w:themeColor="text1"/>
        </w:rPr>
      </w:pPr>
      <w:r w:rsidRPr="00277350">
        <w:rPr>
          <w:rFonts w:ascii="Times New Roman" w:hAnsi="Times New Roman" w:cs="Times New Roman"/>
          <w:i/>
          <w:iCs/>
          <w:color w:val="000000" w:themeColor="text1"/>
        </w:rPr>
        <w:t>95% LCI= 95% lower confidence interval; 95% UCI= 95% upper confidence interval.</w:t>
      </w:r>
    </w:p>
    <w:p w14:paraId="56D97CEA" w14:textId="77777777" w:rsidR="0086036C" w:rsidRPr="00277350" w:rsidRDefault="0086036C" w:rsidP="00927C64">
      <w:pPr>
        <w:pStyle w:val="ListParagraph"/>
        <w:numPr>
          <w:ilvl w:val="0"/>
          <w:numId w:val="3"/>
        </w:numPr>
        <w:spacing w:after="0" w:line="240" w:lineRule="auto"/>
        <w:rPr>
          <w:rFonts w:ascii="Times New Roman" w:hAnsi="Times New Roman" w:cs="Times New Roman"/>
          <w:i/>
          <w:iCs/>
          <w:color w:val="000000" w:themeColor="text1"/>
        </w:rPr>
      </w:pPr>
      <w:r w:rsidRPr="00277350">
        <w:rPr>
          <w:rFonts w:ascii="Times New Roman" w:hAnsi="Times New Roman" w:cs="Times New Roman"/>
          <w:i/>
          <w:iCs/>
          <w:color w:val="000000" w:themeColor="text1"/>
        </w:rPr>
        <w:t xml:space="preserve">Abbreviations: BPA =Bisphenol A; BP3 =Bbenzophenone-3; TRS = </w:t>
      </w:r>
      <w:r w:rsidRPr="00277350">
        <w:rPr>
          <w:rFonts w:ascii="Times New Roman" w:hAnsi="Times New Roman" w:cs="Times New Roman"/>
          <w:color w:val="000000" w:themeColor="text1"/>
        </w:rPr>
        <w:t>2,4,4’-Trichloro-2’-hydroxyphenyl ether</w:t>
      </w:r>
      <w:r w:rsidRPr="00277350">
        <w:rPr>
          <w:rFonts w:ascii="Times New Roman" w:hAnsi="Times New Roman" w:cs="Times New Roman"/>
          <w:i/>
          <w:iCs/>
          <w:color w:val="000000" w:themeColor="text1"/>
        </w:rPr>
        <w:t>; EPB = ethyl paraben; MPB = methyl paraben; PPB = propyl paraben</w:t>
      </w:r>
      <w:r w:rsidRPr="00277350">
        <w:rPr>
          <w:rFonts w:ascii="Times New Roman" w:eastAsiaTheme="minorEastAsia" w:hAnsi="Times New Roman" w:cs="Times New Roman"/>
          <w:i/>
          <w:iCs/>
          <w:color w:val="000000" w:themeColor="text1"/>
        </w:rPr>
        <w:t xml:space="preserve">. </w:t>
      </w:r>
    </w:p>
    <w:p w14:paraId="709A0934" w14:textId="77777777" w:rsidR="0086036C" w:rsidRPr="00277350" w:rsidRDefault="0086036C" w:rsidP="0086036C">
      <w:pPr>
        <w:rPr>
          <w:rFonts w:ascii="Times New Roman" w:hAnsi="Times New Roman" w:cs="Times New Roman"/>
          <w:i/>
          <w:iCs/>
          <w:color w:val="000000" w:themeColor="text1"/>
        </w:rPr>
      </w:pPr>
    </w:p>
    <w:p w14:paraId="60600334" w14:textId="77777777" w:rsidR="0086036C" w:rsidRPr="00277350" w:rsidRDefault="0086036C" w:rsidP="0086036C">
      <w:pPr>
        <w:rPr>
          <w:rFonts w:ascii="Times New Roman" w:hAnsi="Times New Roman" w:cs="Times New Roman"/>
          <w:i/>
          <w:iCs/>
          <w:color w:val="000000" w:themeColor="text1"/>
        </w:rPr>
      </w:pPr>
      <w:r w:rsidRPr="00277350">
        <w:rPr>
          <w:rFonts w:ascii="Times New Roman" w:hAnsi="Times New Roman" w:cs="Times New Roman"/>
          <w:i/>
          <w:iCs/>
          <w:color w:val="000000" w:themeColor="text1"/>
        </w:rPr>
        <w:t>Main Analysis</w:t>
      </w:r>
    </w:p>
    <w:p w14:paraId="5E67D0B5" w14:textId="77777777" w:rsidR="0086036C" w:rsidRPr="00277350" w:rsidRDefault="0086036C" w:rsidP="00CE1027">
      <w:pPr>
        <w:spacing w:after="0" w:line="240" w:lineRule="auto"/>
        <w:ind w:firstLine="720"/>
        <w:rPr>
          <w:rFonts w:ascii="Times New Roman" w:hAnsi="Times New Roman" w:cs="Times New Roman"/>
        </w:rPr>
      </w:pPr>
      <w:r w:rsidRPr="00277350">
        <w:rPr>
          <w:rFonts w:ascii="Times New Roman" w:hAnsi="Times New Roman" w:cs="Times New Roman"/>
        </w:rPr>
        <w:t xml:space="preserve">In creatinine adjusted models, reduced food security was associated with higher levels of BP3, TRS, and PPB compared to the reference. For instance, very low food security was associated with positive percent difference in BP3 (10.42%), TRS (27.84%) and PPB (20.60%) (Supplemental Table 1).  Reduced food security was generally associated with negative percent differences for remaining compared to high food secure levels. </w:t>
      </w:r>
    </w:p>
    <w:p w14:paraId="4FBEA265" w14:textId="19A79EB5" w:rsidR="0086036C" w:rsidRPr="00277350" w:rsidRDefault="0086036C" w:rsidP="00CE1027">
      <w:pPr>
        <w:spacing w:after="0" w:line="240" w:lineRule="auto"/>
        <w:ind w:firstLine="720"/>
        <w:rPr>
          <w:rFonts w:ascii="Times New Roman" w:hAnsi="Times New Roman" w:cs="Times New Roman"/>
        </w:rPr>
      </w:pPr>
      <w:r w:rsidRPr="00277350">
        <w:rPr>
          <w:rFonts w:ascii="Times New Roman" w:hAnsi="Times New Roman" w:cs="Times New Roman"/>
          <w:color w:val="000000" w:themeColor="text1"/>
        </w:rPr>
        <w:lastRenderedPageBreak/>
        <w:t xml:space="preserve">In adjusted analysis, several of these trends did not persist and food security was negatively associated with most urinary phenols indicating reduced food security was associated with lower metabolite levels compared to high food secure individuals. Benzophenone-3 (BP3) levels were lower among individuals with marginal </w:t>
      </w:r>
      <w:r w:rsidRPr="00277350">
        <w:rPr>
          <w:rFonts w:ascii="Times New Roman" w:eastAsia="Times New Roman" w:hAnsi="Times New Roman" w:cs="Times New Roman"/>
          <w:color w:val="000000" w:themeColor="text1"/>
        </w:rPr>
        <w:t>(-19.8% [95% CI: -31.7%, 5.9%])</w:t>
      </w:r>
      <w:r w:rsidRPr="00277350">
        <w:rPr>
          <w:rFonts w:ascii="Times New Roman" w:hAnsi="Times New Roman" w:cs="Times New Roman"/>
          <w:color w:val="000000" w:themeColor="text1"/>
        </w:rPr>
        <w:t xml:space="preserve">, low </w:t>
      </w:r>
      <w:r w:rsidRPr="00277350">
        <w:rPr>
          <w:rFonts w:ascii="Times New Roman" w:eastAsia="Times New Roman" w:hAnsi="Times New Roman" w:cs="Times New Roman"/>
          <w:color w:val="000000" w:themeColor="text1"/>
        </w:rPr>
        <w:t>(-17.4% [95% CI: -29.1%, -3.8%])</w:t>
      </w:r>
      <w:r w:rsidRPr="00277350">
        <w:rPr>
          <w:rFonts w:ascii="Times New Roman" w:hAnsi="Times New Roman" w:cs="Times New Roman"/>
          <w:color w:val="000000" w:themeColor="text1"/>
        </w:rPr>
        <w:t>, and very low</w:t>
      </w:r>
      <w:r w:rsidRPr="00277350">
        <w:rPr>
          <w:rFonts w:ascii="Times New Roman" w:eastAsia="Times New Roman" w:hAnsi="Times New Roman" w:cs="Times New Roman"/>
          <w:color w:val="000000" w:themeColor="text1"/>
        </w:rPr>
        <w:t xml:space="preserve"> (-19.6</w:t>
      </w:r>
      <w:r w:rsidR="00CE1027" w:rsidRPr="00277350">
        <w:rPr>
          <w:rFonts w:ascii="Times New Roman" w:eastAsia="Times New Roman" w:hAnsi="Times New Roman" w:cs="Times New Roman"/>
          <w:color w:val="000000" w:themeColor="text1"/>
        </w:rPr>
        <w:t>% [</w:t>
      </w:r>
      <w:r w:rsidRPr="00277350">
        <w:rPr>
          <w:rFonts w:ascii="Times New Roman" w:eastAsia="Times New Roman" w:hAnsi="Times New Roman" w:cs="Times New Roman"/>
          <w:color w:val="000000" w:themeColor="text1"/>
        </w:rPr>
        <w:t xml:space="preserve">95% CI: 35.3%, 0.02%]) food </w:t>
      </w:r>
      <w:r w:rsidRPr="00277350">
        <w:rPr>
          <w:rFonts w:ascii="Times New Roman" w:hAnsi="Times New Roman" w:cs="Times New Roman"/>
          <w:color w:val="000000" w:themeColor="text1"/>
        </w:rPr>
        <w:t>security groups compared to participants with high food security.</w:t>
      </w:r>
      <w:r w:rsidRPr="00277350">
        <w:rPr>
          <w:rFonts w:ascii="Times New Roman" w:eastAsia="Times New Roman" w:hAnsi="Times New Roman" w:cs="Times New Roman"/>
          <w:color w:val="000000" w:themeColor="text1"/>
        </w:rPr>
        <w:t xml:space="preserve"> </w:t>
      </w:r>
      <w:r w:rsidRPr="00277350">
        <w:rPr>
          <w:rFonts w:ascii="Times New Roman" w:hAnsi="Times New Roman" w:cs="Times New Roman"/>
          <w:color w:val="000000" w:themeColor="text1"/>
        </w:rPr>
        <w:t xml:space="preserve">While estimates for triclosan, and all parabens </w:t>
      </w:r>
      <w:r w:rsidR="00CE1027" w:rsidRPr="00277350">
        <w:rPr>
          <w:rFonts w:ascii="Times New Roman" w:hAnsi="Times New Roman" w:cs="Times New Roman"/>
          <w:color w:val="000000" w:themeColor="text1"/>
        </w:rPr>
        <w:t>similarly suggested</w:t>
      </w:r>
      <w:r w:rsidRPr="00277350">
        <w:rPr>
          <w:rFonts w:ascii="Times New Roman" w:hAnsi="Times New Roman" w:cs="Times New Roman"/>
          <w:color w:val="000000" w:themeColor="text1"/>
        </w:rPr>
        <w:t xml:space="preserve"> lower levels with reduced food security status, very low food security consistently showed the largest percent differences. Specifically, compared to individuals with high food security, very low food insecure individuals had significantly lower levels of triclosan (-24.46%, [95% CI: -36.76%, -9.77%]), ethyl paraben(-25.96%, [95% CI: -35.07%, -15.57%] , methyl paraben (-21.53%, [95% CI: -35.05%, -5.18%], and propyl paraben (-25.08%, [95% CI: -40.79%, -5.20%]. Additional associations with marginal food security for some not all parabens were observed. (Figure 1, Table 3). In contrast, BPA was the only urinary phenol with positive % differences, suggesting higher concentrations with decreasing food security; however, all CIs contained the null </w:t>
      </w:r>
      <w:r w:rsidRPr="00277350">
        <w:rPr>
          <w:rFonts w:ascii="Times New Roman" w:eastAsia="Times New Roman" w:hAnsi="Times New Roman" w:cs="Times New Roman"/>
          <w:color w:val="000000" w:themeColor="text1"/>
        </w:rPr>
        <w:t>(Figure 1, Table 3).</w:t>
      </w:r>
    </w:p>
    <w:p w14:paraId="5F68D315" w14:textId="77777777" w:rsidR="0086036C" w:rsidRPr="00277350" w:rsidRDefault="0086036C" w:rsidP="0086036C">
      <w:pPr>
        <w:rPr>
          <w:rFonts w:ascii="Times New Roman" w:hAnsi="Times New Roman" w:cs="Times New Roman"/>
          <w:i/>
          <w:iCs/>
          <w:color w:val="000000" w:themeColor="text1"/>
        </w:rPr>
      </w:pPr>
    </w:p>
    <w:p w14:paraId="5376B707" w14:textId="77777777" w:rsidR="0086036C" w:rsidRPr="00277350" w:rsidRDefault="0086036C" w:rsidP="0086036C">
      <w:pPr>
        <w:pStyle w:val="Heading1"/>
        <w:rPr>
          <w:rFonts w:ascii="Times New Roman" w:hAnsi="Times New Roman" w:cs="Times New Roman"/>
          <w:b/>
          <w:bCs/>
          <w:color w:val="000000" w:themeColor="text1"/>
          <w:sz w:val="26"/>
          <w:szCs w:val="26"/>
        </w:rPr>
      </w:pPr>
      <w:r w:rsidRPr="00277350">
        <w:rPr>
          <w:rFonts w:ascii="Times New Roman" w:hAnsi="Times New Roman" w:cs="Times New Roman"/>
          <w:b/>
          <w:bCs/>
          <w:noProof/>
          <w:color w:val="000000" w:themeColor="text1"/>
          <w:sz w:val="26"/>
          <w:szCs w:val="26"/>
        </w:rPr>
        <w:t xml:space="preserve">Figure 1: </w:t>
      </w:r>
      <w:r w:rsidRPr="00277350">
        <w:rPr>
          <w:rFonts w:ascii="Times New Roman" w:hAnsi="Times New Roman" w:cs="Times New Roman"/>
          <w:b/>
          <w:bCs/>
          <w:color w:val="000000" w:themeColor="text1"/>
          <w:sz w:val="26"/>
          <w:szCs w:val="26"/>
        </w:rPr>
        <w:t>Household Food Security Associations with Urinary Phenol Concentrations</w:t>
      </w:r>
    </w:p>
    <w:p w14:paraId="0C585EB0" w14:textId="77777777" w:rsidR="0086036C" w:rsidRPr="00277350" w:rsidRDefault="0086036C" w:rsidP="0086036C">
      <w:pPr>
        <w:rPr>
          <w:rFonts w:ascii="Times New Roman" w:hAnsi="Times New Roman" w:cs="Times New Roman"/>
        </w:rPr>
      </w:pPr>
      <w:r w:rsidRPr="00277350">
        <w:rPr>
          <w:rFonts w:ascii="Times New Roman" w:hAnsi="Times New Roman" w:cs="Times New Roman"/>
          <w:noProof/>
        </w:rPr>
        <w:drawing>
          <wp:inline distT="0" distB="0" distL="0" distR="0" wp14:anchorId="2E52BF9F" wp14:editId="0B409899">
            <wp:extent cx="6419330" cy="4386542"/>
            <wp:effectExtent l="0" t="0" r="0" b="0"/>
            <wp:docPr id="8" name="Picture 7" descr="A graph of a number of data&#10;&#10;AI-generated content may be incorrect.">
              <a:extLst xmlns:a="http://schemas.openxmlformats.org/drawingml/2006/main">
                <a:ext uri="{FF2B5EF4-FFF2-40B4-BE49-F238E27FC236}">
                  <a16:creationId xmlns:a16="http://schemas.microsoft.com/office/drawing/2014/main" id="{F357F6AC-794E-C6DB-B746-7252D8BAD7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graph of a number of data&#10;&#10;AI-generated content may be incorrect.">
                      <a:extLst>
                        <a:ext uri="{FF2B5EF4-FFF2-40B4-BE49-F238E27FC236}">
                          <a16:creationId xmlns:a16="http://schemas.microsoft.com/office/drawing/2014/main" id="{F357F6AC-794E-C6DB-B746-7252D8BAD79A}"/>
                        </a:ext>
                      </a:extLst>
                    </pic:cNvPr>
                    <pic:cNvPicPr>
                      <a:picLocks noChangeAspect="1"/>
                    </pic:cNvPicPr>
                  </pic:nvPicPr>
                  <pic:blipFill>
                    <a:blip r:embed="rId6"/>
                    <a:srcRect r="24312"/>
                    <a:stretch>
                      <a:fillRect/>
                    </a:stretch>
                  </pic:blipFill>
                  <pic:spPr>
                    <a:xfrm>
                      <a:off x="0" y="0"/>
                      <a:ext cx="6450622" cy="4407925"/>
                    </a:xfrm>
                    <a:prstGeom prst="rect">
                      <a:avLst/>
                    </a:prstGeom>
                  </pic:spPr>
                </pic:pic>
              </a:graphicData>
            </a:graphic>
          </wp:inline>
        </w:drawing>
      </w:r>
    </w:p>
    <w:p w14:paraId="78091736" w14:textId="28F36600" w:rsidR="0086036C" w:rsidRPr="00277350" w:rsidRDefault="0086036C" w:rsidP="00927C64">
      <w:pPr>
        <w:pStyle w:val="ListParagraph"/>
        <w:numPr>
          <w:ilvl w:val="0"/>
          <w:numId w:val="6"/>
        </w:numPr>
        <w:spacing w:after="0" w:line="240" w:lineRule="auto"/>
        <w:rPr>
          <w:rFonts w:ascii="Times New Roman" w:hAnsi="Times New Roman" w:cs="Times New Roman"/>
          <w:i/>
          <w:iCs/>
          <w:noProof/>
          <w:color w:val="000000" w:themeColor="text1"/>
        </w:rPr>
      </w:pPr>
      <w:r w:rsidRPr="00277350">
        <w:rPr>
          <w:rFonts w:ascii="Times New Roman" w:hAnsi="Times New Roman" w:cs="Times New Roman"/>
          <w:i/>
          <w:iCs/>
          <w:noProof/>
          <w:color w:val="000000" w:themeColor="text1"/>
        </w:rPr>
        <w:lastRenderedPageBreak/>
        <w:t>Panels A–G represent adjusted percent differences in urinary phenol metabolite concentrations. Reference is High Food Secure. Circles represent estimated percent differences; bars represent 95% confidence intervals. All models are adjusted for age, sex education, race/ethnicity, poverty-income ratio, cycle year, and creatinine.</w:t>
      </w:r>
    </w:p>
    <w:p w14:paraId="2EE5507D" w14:textId="10416F30" w:rsidR="0086036C" w:rsidRPr="00277350" w:rsidRDefault="0086036C" w:rsidP="00CE1027">
      <w:pPr>
        <w:pStyle w:val="Heading1"/>
        <w:rPr>
          <w:rFonts w:ascii="Times New Roman" w:hAnsi="Times New Roman" w:cs="Times New Roman"/>
          <w:b/>
          <w:bCs/>
          <w:color w:val="000000" w:themeColor="text1"/>
          <w:sz w:val="26"/>
          <w:szCs w:val="26"/>
        </w:rPr>
      </w:pPr>
      <w:r w:rsidRPr="00277350">
        <w:rPr>
          <w:rFonts w:ascii="Times New Roman" w:hAnsi="Times New Roman" w:cs="Times New Roman"/>
          <w:b/>
          <w:bCs/>
          <w:noProof/>
          <w:color w:val="000000" w:themeColor="text1"/>
          <w:sz w:val="26"/>
          <w:szCs w:val="26"/>
        </w:rPr>
        <w:t xml:space="preserve">Figure 2: Strata Specific </w:t>
      </w:r>
      <w:r w:rsidRPr="00277350">
        <w:rPr>
          <w:rFonts w:ascii="Times New Roman" w:hAnsi="Times New Roman" w:cs="Times New Roman"/>
          <w:b/>
          <w:bCs/>
          <w:color w:val="000000" w:themeColor="text1"/>
          <w:sz w:val="26"/>
          <w:szCs w:val="26"/>
        </w:rPr>
        <w:t>Adjusted Linear Regression Plot: Self-Reported Food Security Status and Urinary Phenol Metabolites with Sex Interaction</w:t>
      </w:r>
    </w:p>
    <w:p w14:paraId="2E4D9DAF" w14:textId="59B8E25F" w:rsidR="0086036C" w:rsidRPr="00277350" w:rsidRDefault="00CE1027" w:rsidP="0086036C">
      <w:pPr>
        <w:rPr>
          <w:rFonts w:ascii="Times New Roman" w:hAnsi="Times New Roman" w:cs="Times New Roman"/>
          <w:i/>
          <w:iCs/>
          <w:noProof/>
          <w:color w:val="000000" w:themeColor="text1"/>
        </w:rPr>
      </w:pPr>
      <w:r w:rsidRPr="00277350">
        <w:rPr>
          <w:rFonts w:ascii="Times New Roman" w:hAnsi="Times New Roman" w:cs="Times New Roman"/>
          <w:noProof/>
          <w:color w:val="000000" w:themeColor="text1"/>
        </w:rPr>
        <w:drawing>
          <wp:inline distT="0" distB="0" distL="0" distR="0" wp14:anchorId="7EC517E4" wp14:editId="6A7C5DA3">
            <wp:extent cx="6408165" cy="2837180"/>
            <wp:effectExtent l="0" t="0" r="5715" b="0"/>
            <wp:docPr id="2145010633"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2679" name="Picture 11" descr="A screenshot of a computer&#10;&#10;AI-generated content may be incorrect."/>
                    <pic:cNvPicPr/>
                  </pic:nvPicPr>
                  <pic:blipFill rotWithShape="1">
                    <a:blip r:embed="rId7" cstate="print">
                      <a:extLst>
                        <a:ext uri="{28A0092B-C50C-407E-A947-70E740481C1C}">
                          <a14:useLocalDpi xmlns:a14="http://schemas.microsoft.com/office/drawing/2010/main" val="0"/>
                        </a:ext>
                      </a:extLst>
                    </a:blip>
                    <a:srcRect t="12879" b="31397"/>
                    <a:stretch>
                      <a:fillRect/>
                    </a:stretch>
                  </pic:blipFill>
                  <pic:spPr bwMode="auto">
                    <a:xfrm>
                      <a:off x="0" y="0"/>
                      <a:ext cx="6537118" cy="2894273"/>
                    </a:xfrm>
                    <a:prstGeom prst="rect">
                      <a:avLst/>
                    </a:prstGeom>
                    <a:ln>
                      <a:noFill/>
                    </a:ln>
                    <a:extLst>
                      <a:ext uri="{53640926-AAD7-44D8-BBD7-CCE9431645EC}">
                        <a14:shadowObscured xmlns:a14="http://schemas.microsoft.com/office/drawing/2010/main"/>
                      </a:ext>
                    </a:extLst>
                  </pic:spPr>
                </pic:pic>
              </a:graphicData>
            </a:graphic>
          </wp:inline>
        </w:drawing>
      </w:r>
    </w:p>
    <w:p w14:paraId="72A706FB" w14:textId="7E45B6B0" w:rsidR="0086036C" w:rsidRPr="00277350" w:rsidRDefault="00CE1027" w:rsidP="00CE1027">
      <w:pPr>
        <w:jc w:val="center"/>
        <w:rPr>
          <w:rFonts w:ascii="Times New Roman" w:hAnsi="Times New Roman" w:cs="Times New Roman"/>
          <w:noProof/>
          <w:color w:val="000000" w:themeColor="text1"/>
        </w:rPr>
      </w:pPr>
      <w:r w:rsidRPr="00277350">
        <w:rPr>
          <w:rFonts w:ascii="Times New Roman" w:hAnsi="Times New Roman" w:cs="Times New Roman"/>
          <w:noProof/>
          <w:color w:val="000000" w:themeColor="text1"/>
        </w:rPr>
        <w:drawing>
          <wp:inline distT="0" distB="0" distL="0" distR="0" wp14:anchorId="537E894E" wp14:editId="7E888579">
            <wp:extent cx="1534076" cy="256522"/>
            <wp:effectExtent l="0" t="0" r="3175" b="0"/>
            <wp:docPr id="46342679"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2679" name="Picture 11" descr="A screenshot of a computer&#10;&#10;AI-generated content may be incorrect."/>
                    <pic:cNvPicPr/>
                  </pic:nvPicPr>
                  <pic:blipFill rotWithShape="1">
                    <a:blip r:embed="rId8" cstate="print">
                      <a:extLst>
                        <a:ext uri="{28A0092B-C50C-407E-A947-70E740481C1C}">
                          <a14:useLocalDpi xmlns:a14="http://schemas.microsoft.com/office/drawing/2010/main" val="0"/>
                        </a:ext>
                      </a:extLst>
                    </a:blip>
                    <a:srcRect l="41720" t="94719" r="41782" b="1065"/>
                    <a:stretch>
                      <a:fillRect/>
                    </a:stretch>
                  </pic:blipFill>
                  <pic:spPr bwMode="auto">
                    <a:xfrm>
                      <a:off x="0" y="0"/>
                      <a:ext cx="1618002" cy="270556"/>
                    </a:xfrm>
                    <a:prstGeom prst="rect">
                      <a:avLst/>
                    </a:prstGeom>
                    <a:ln>
                      <a:noFill/>
                    </a:ln>
                    <a:extLst>
                      <a:ext uri="{53640926-AAD7-44D8-BBD7-CCE9431645EC}">
                        <a14:shadowObscured xmlns:a14="http://schemas.microsoft.com/office/drawing/2010/main"/>
                      </a:ext>
                    </a:extLst>
                  </pic:spPr>
                </pic:pic>
              </a:graphicData>
            </a:graphic>
          </wp:inline>
        </w:drawing>
      </w:r>
    </w:p>
    <w:p w14:paraId="0CC3C52C" w14:textId="77777777" w:rsidR="0086036C" w:rsidRPr="00277350" w:rsidRDefault="0086036C" w:rsidP="00927C64">
      <w:pPr>
        <w:pStyle w:val="ListParagraph"/>
        <w:numPr>
          <w:ilvl w:val="0"/>
          <w:numId w:val="4"/>
        </w:numPr>
        <w:spacing w:after="0" w:line="240" w:lineRule="auto"/>
        <w:rPr>
          <w:rFonts w:ascii="Times New Roman" w:hAnsi="Times New Roman" w:cs="Times New Roman"/>
          <w:i/>
          <w:iCs/>
          <w:noProof/>
          <w:color w:val="000000" w:themeColor="text1"/>
        </w:rPr>
      </w:pPr>
      <w:r w:rsidRPr="00277350">
        <w:rPr>
          <w:rFonts w:ascii="Times New Roman" w:hAnsi="Times New Roman" w:cs="Times New Roman"/>
          <w:i/>
          <w:iCs/>
          <w:noProof/>
          <w:color w:val="000000" w:themeColor="text1"/>
        </w:rPr>
        <w:t>Sex stratified adjusted percent differences (95% confidence intervals) in urinary phenol metabolite</w:t>
      </w:r>
    </w:p>
    <w:p w14:paraId="4D6FD15F" w14:textId="390833C7" w:rsidR="0086036C" w:rsidRPr="00277350" w:rsidRDefault="0086036C" w:rsidP="00927C64">
      <w:pPr>
        <w:pStyle w:val="ListParagraph"/>
        <w:numPr>
          <w:ilvl w:val="0"/>
          <w:numId w:val="4"/>
        </w:numPr>
        <w:spacing w:after="0" w:line="240" w:lineRule="auto"/>
        <w:rPr>
          <w:rFonts w:ascii="Times New Roman" w:hAnsi="Times New Roman" w:cs="Times New Roman"/>
          <w:i/>
          <w:iCs/>
          <w:noProof/>
          <w:color w:val="000000" w:themeColor="text1"/>
        </w:rPr>
      </w:pPr>
      <w:r w:rsidRPr="00277350">
        <w:rPr>
          <w:rFonts w:ascii="Times New Roman" w:hAnsi="Times New Roman" w:cs="Times New Roman"/>
          <w:i/>
          <w:iCs/>
          <w:noProof/>
          <w:color w:val="000000" w:themeColor="text1"/>
        </w:rPr>
        <w:t xml:space="preserve">Concentrations across food security levels, estmated from multivariable linear regression models adjusted for age, race and ethnicity, education, survey cycle, </w:t>
      </w:r>
      <w:r w:rsidR="001D5FBA" w:rsidRPr="00277350">
        <w:rPr>
          <w:rFonts w:ascii="Times New Roman" w:hAnsi="Times New Roman" w:cs="Times New Roman"/>
          <w:i/>
          <w:iCs/>
          <w:noProof/>
          <w:color w:val="000000" w:themeColor="text1"/>
        </w:rPr>
        <w:t>poverty-to-income</w:t>
      </w:r>
      <w:r w:rsidRPr="00277350">
        <w:rPr>
          <w:rFonts w:ascii="Times New Roman" w:hAnsi="Times New Roman" w:cs="Times New Roman"/>
          <w:i/>
          <w:iCs/>
          <w:noProof/>
          <w:color w:val="000000" w:themeColor="text1"/>
        </w:rPr>
        <w:t xml:space="preserve"> ratio and creatinine.</w:t>
      </w:r>
      <w:r w:rsidRPr="00277350">
        <w:rPr>
          <w:rFonts w:ascii="Times New Roman" w:hAnsi="Times New Roman" w:cs="Times New Roman"/>
        </w:rPr>
        <w:t xml:space="preserve"> </w:t>
      </w:r>
      <w:r w:rsidRPr="00277350">
        <w:rPr>
          <w:rFonts w:ascii="Times New Roman" w:hAnsi="Times New Roman" w:cs="Times New Roman"/>
          <w:i/>
          <w:iCs/>
          <w:noProof/>
          <w:color w:val="000000" w:themeColor="text1"/>
        </w:rPr>
        <w:t>High Food Secure is the reference group.</w:t>
      </w:r>
    </w:p>
    <w:p w14:paraId="55BFFFAE" w14:textId="77777777" w:rsidR="0086036C" w:rsidRPr="00277350" w:rsidRDefault="0086036C" w:rsidP="00927C64">
      <w:pPr>
        <w:pStyle w:val="ListParagraph"/>
        <w:numPr>
          <w:ilvl w:val="0"/>
          <w:numId w:val="4"/>
        </w:numPr>
        <w:spacing w:after="0" w:line="240" w:lineRule="auto"/>
        <w:rPr>
          <w:rFonts w:ascii="Times New Roman" w:hAnsi="Times New Roman" w:cs="Times New Roman"/>
          <w:i/>
          <w:iCs/>
          <w:noProof/>
          <w:color w:val="000000" w:themeColor="text1"/>
        </w:rPr>
      </w:pPr>
      <w:r w:rsidRPr="00277350">
        <w:rPr>
          <w:rFonts w:ascii="Times New Roman" w:hAnsi="Times New Roman" w:cs="Times New Roman"/>
          <w:i/>
          <w:iCs/>
          <w:noProof/>
          <w:color w:val="000000" w:themeColor="text1"/>
        </w:rPr>
        <w:t>P</w:t>
      </w:r>
      <w:r w:rsidRPr="00277350">
        <w:rPr>
          <w:rFonts w:ascii="Times New Roman" w:hAnsi="Times New Roman" w:cs="Times New Roman"/>
          <w:i/>
          <w:iCs/>
          <w:noProof/>
          <w:color w:val="000000" w:themeColor="text1"/>
          <w:vertAlign w:val="subscript"/>
        </w:rPr>
        <w:t>interaction</w:t>
      </w:r>
      <w:r w:rsidRPr="00277350">
        <w:rPr>
          <w:rFonts w:ascii="Times New Roman" w:hAnsi="Times New Roman" w:cs="Times New Roman"/>
          <w:i/>
          <w:iCs/>
          <w:noProof/>
          <w:color w:val="000000" w:themeColor="text1"/>
        </w:rPr>
        <w:t xml:space="preserve"> values are reported from food security*sex interaction models, where food security is modeled as continuous variable. </w:t>
      </w:r>
    </w:p>
    <w:p w14:paraId="41C08BB4" w14:textId="77777777" w:rsidR="0086036C" w:rsidRPr="00277350" w:rsidRDefault="0086036C" w:rsidP="0086036C">
      <w:pPr>
        <w:pStyle w:val="ListParagraph"/>
        <w:rPr>
          <w:rFonts w:ascii="Times New Roman" w:hAnsi="Times New Roman" w:cs="Times New Roman"/>
          <w:i/>
          <w:iCs/>
          <w:noProof/>
          <w:color w:val="000000" w:themeColor="text1"/>
        </w:rPr>
      </w:pPr>
    </w:p>
    <w:p w14:paraId="12BC5BE6" w14:textId="77777777" w:rsidR="0086036C" w:rsidRPr="00277350" w:rsidRDefault="0086036C" w:rsidP="0086036C">
      <w:pPr>
        <w:rPr>
          <w:rFonts w:ascii="Times New Roman" w:hAnsi="Times New Roman" w:cs="Times New Roman"/>
          <w:i/>
          <w:iCs/>
          <w:color w:val="000000" w:themeColor="text1"/>
        </w:rPr>
      </w:pPr>
      <w:r w:rsidRPr="00277350">
        <w:rPr>
          <w:rFonts w:ascii="Times New Roman" w:hAnsi="Times New Roman" w:cs="Times New Roman"/>
          <w:i/>
          <w:iCs/>
          <w:color w:val="000000" w:themeColor="text1"/>
        </w:rPr>
        <w:t>Effect Measure Modification by Sex</w:t>
      </w:r>
    </w:p>
    <w:p w14:paraId="5F1E426C" w14:textId="77777777" w:rsidR="0086036C" w:rsidRPr="00277350" w:rsidRDefault="0086036C" w:rsidP="005951E4">
      <w:pPr>
        <w:spacing w:after="0" w:line="240" w:lineRule="auto"/>
        <w:ind w:firstLine="720"/>
        <w:rPr>
          <w:rFonts w:ascii="Times New Roman" w:hAnsi="Times New Roman" w:cs="Times New Roman"/>
          <w:color w:val="000000" w:themeColor="text1"/>
        </w:rPr>
      </w:pPr>
      <w:r w:rsidRPr="00277350">
        <w:rPr>
          <w:rFonts w:ascii="Times New Roman" w:hAnsi="Times New Roman" w:cs="Times New Roman"/>
          <w:color w:val="000000" w:themeColor="text1"/>
        </w:rPr>
        <w:t xml:space="preserve">Next, we assessed potential effect measure modification by sex. </w:t>
      </w:r>
      <w:commentRangeStart w:id="0"/>
      <w:r w:rsidRPr="00277350">
        <w:rPr>
          <w:rFonts w:ascii="Times New Roman" w:hAnsi="Times New Roman" w:cs="Times New Roman"/>
          <w:color w:val="000000" w:themeColor="text1"/>
        </w:rPr>
        <w:t>There was evidence of interaction for BPA (</w:t>
      </w:r>
      <w:proofErr w:type="spellStart"/>
      <w:r w:rsidRPr="00277350">
        <w:rPr>
          <w:rFonts w:ascii="Times New Roman" w:hAnsi="Times New Roman" w:cs="Times New Roman"/>
          <w:color w:val="000000" w:themeColor="text1"/>
        </w:rPr>
        <w:t>p</w:t>
      </w:r>
      <w:r w:rsidRPr="00277350">
        <w:rPr>
          <w:rFonts w:ascii="Times New Roman" w:hAnsi="Times New Roman" w:cs="Times New Roman"/>
          <w:color w:val="000000" w:themeColor="text1"/>
          <w:vertAlign w:val="subscript"/>
        </w:rPr>
        <w:t>interaction</w:t>
      </w:r>
      <w:proofErr w:type="spellEnd"/>
      <w:r w:rsidRPr="00277350">
        <w:rPr>
          <w:rFonts w:ascii="Times New Roman" w:hAnsi="Times New Roman" w:cs="Times New Roman"/>
          <w:color w:val="000000" w:themeColor="text1"/>
        </w:rPr>
        <w:t xml:space="preserve">=0.02), </w:t>
      </w:r>
      <w:commentRangeEnd w:id="0"/>
      <w:r w:rsidRPr="00277350">
        <w:rPr>
          <w:rStyle w:val="CommentReference"/>
          <w:rFonts w:ascii="Times New Roman" w:hAnsi="Times New Roman" w:cs="Times New Roman"/>
          <w:color w:val="000000" w:themeColor="text1"/>
          <w:sz w:val="24"/>
          <w:szCs w:val="24"/>
        </w:rPr>
        <w:commentReference w:id="0"/>
      </w:r>
      <w:r w:rsidRPr="00277350">
        <w:rPr>
          <w:rFonts w:ascii="Times New Roman" w:hAnsi="Times New Roman" w:cs="Times New Roman"/>
          <w:color w:val="000000" w:themeColor="text1"/>
        </w:rPr>
        <w:t>and all parabens (ethyl (</w:t>
      </w:r>
      <w:proofErr w:type="spellStart"/>
      <w:r w:rsidRPr="00277350">
        <w:rPr>
          <w:rFonts w:ascii="Times New Roman" w:hAnsi="Times New Roman" w:cs="Times New Roman"/>
          <w:color w:val="000000" w:themeColor="text1"/>
        </w:rPr>
        <w:t>p</w:t>
      </w:r>
      <w:r w:rsidRPr="00277350">
        <w:rPr>
          <w:rFonts w:ascii="Times New Roman" w:hAnsi="Times New Roman" w:cs="Times New Roman"/>
          <w:color w:val="000000" w:themeColor="text1"/>
          <w:vertAlign w:val="subscript"/>
        </w:rPr>
        <w:t>interaction</w:t>
      </w:r>
      <w:proofErr w:type="spellEnd"/>
      <w:r w:rsidRPr="00277350">
        <w:rPr>
          <w:rFonts w:ascii="Times New Roman" w:hAnsi="Times New Roman" w:cs="Times New Roman"/>
          <w:color w:val="000000" w:themeColor="text1"/>
        </w:rPr>
        <w:t>&lt;0.01), methyl (</w:t>
      </w:r>
      <w:proofErr w:type="spellStart"/>
      <w:r w:rsidRPr="00277350">
        <w:rPr>
          <w:rFonts w:ascii="Times New Roman" w:hAnsi="Times New Roman" w:cs="Times New Roman"/>
          <w:color w:val="000000" w:themeColor="text1"/>
        </w:rPr>
        <w:t>p</w:t>
      </w:r>
      <w:r w:rsidRPr="00277350">
        <w:rPr>
          <w:rFonts w:ascii="Times New Roman" w:hAnsi="Times New Roman" w:cs="Times New Roman"/>
          <w:color w:val="000000" w:themeColor="text1"/>
          <w:vertAlign w:val="subscript"/>
        </w:rPr>
        <w:t>interaction</w:t>
      </w:r>
      <w:proofErr w:type="spellEnd"/>
      <w:r w:rsidRPr="00277350">
        <w:rPr>
          <w:rFonts w:ascii="Times New Roman" w:hAnsi="Times New Roman" w:cs="Times New Roman"/>
          <w:color w:val="000000" w:themeColor="text1"/>
          <w:vertAlign w:val="subscript"/>
        </w:rPr>
        <w:t xml:space="preserve"> </w:t>
      </w:r>
      <w:r w:rsidRPr="00277350">
        <w:rPr>
          <w:rFonts w:ascii="Times New Roman" w:hAnsi="Times New Roman" w:cs="Times New Roman"/>
          <w:color w:val="000000" w:themeColor="text1"/>
        </w:rPr>
        <w:t>&lt;0.01), propyl (</w:t>
      </w:r>
      <w:proofErr w:type="spellStart"/>
      <w:r w:rsidRPr="00277350">
        <w:rPr>
          <w:rFonts w:ascii="Times New Roman" w:hAnsi="Times New Roman" w:cs="Times New Roman"/>
          <w:color w:val="000000" w:themeColor="text1"/>
        </w:rPr>
        <w:t>p</w:t>
      </w:r>
      <w:r w:rsidRPr="00277350">
        <w:rPr>
          <w:rFonts w:ascii="Times New Roman" w:hAnsi="Times New Roman" w:cs="Times New Roman"/>
          <w:color w:val="000000" w:themeColor="text1"/>
          <w:vertAlign w:val="subscript"/>
        </w:rPr>
        <w:t>interaction</w:t>
      </w:r>
      <w:proofErr w:type="spellEnd"/>
      <w:r w:rsidRPr="00277350">
        <w:rPr>
          <w:rFonts w:ascii="Times New Roman" w:hAnsi="Times New Roman" w:cs="Times New Roman"/>
          <w:color w:val="000000" w:themeColor="text1"/>
        </w:rPr>
        <w:t>&lt;0.01).</w:t>
      </w:r>
      <w:r w:rsidRPr="00277350">
        <w:rPr>
          <w:rFonts w:ascii="Times New Roman" w:hAnsi="Times New Roman" w:cs="Times New Roman"/>
          <w:color w:val="ED0000"/>
        </w:rPr>
        <w:t xml:space="preserve"> </w:t>
      </w:r>
      <w:r w:rsidRPr="00277350">
        <w:rPr>
          <w:rFonts w:ascii="Times New Roman" w:hAnsi="Times New Roman" w:cs="Times New Roman"/>
          <w:color w:val="000000" w:themeColor="text1"/>
        </w:rPr>
        <w:t xml:space="preserve">In stratum specific models, we estimated marginal means and reported percent differences. </w:t>
      </w:r>
    </w:p>
    <w:p w14:paraId="26E70818" w14:textId="77777777" w:rsidR="0086036C" w:rsidRPr="00277350" w:rsidRDefault="0086036C" w:rsidP="005951E4">
      <w:pPr>
        <w:spacing w:after="0" w:line="240" w:lineRule="auto"/>
        <w:ind w:firstLine="720"/>
        <w:rPr>
          <w:rFonts w:ascii="Times New Roman" w:hAnsi="Times New Roman" w:cs="Times New Roman"/>
          <w:color w:val="000000" w:themeColor="text1"/>
        </w:rPr>
      </w:pPr>
      <w:r w:rsidRPr="00277350">
        <w:rPr>
          <w:rFonts w:ascii="Times New Roman" w:hAnsi="Times New Roman" w:cs="Times New Roman"/>
          <w:color w:val="000000" w:themeColor="text1"/>
        </w:rPr>
        <w:t xml:space="preserve">For BPA estimates, both females and males exhibited positive differences with reduced food security exposure, although the association appeared to be slightly stronger among females. Specifically, females experiencing low (1.08%; [95% CI: -3.9%, 28.41%]); and very low food security (very low: 21.45%; [95% CI: -1.04%, 49.05%]) had higher BPA concentrations compared with females with high food security. Among males, estimates hovered around the null </w:t>
      </w:r>
      <w:r w:rsidRPr="00277350">
        <w:rPr>
          <w:rFonts w:ascii="Times New Roman" w:hAnsi="Times New Roman" w:cs="Times New Roman"/>
          <w:color w:val="000000" w:themeColor="text1"/>
        </w:rPr>
        <w:lastRenderedPageBreak/>
        <w:t>and were slightly lower among very low males (-5.35%; [95% CI: -21.46%, 14.06%]). compared to males experiencing high food security (Figure 2, Supplemental Table 2).</w:t>
      </w:r>
    </w:p>
    <w:p w14:paraId="082E58EA" w14:textId="77777777" w:rsidR="0086036C" w:rsidRPr="00277350" w:rsidRDefault="0086036C" w:rsidP="005951E4">
      <w:pPr>
        <w:spacing w:after="0" w:line="240" w:lineRule="auto"/>
        <w:ind w:firstLine="720"/>
        <w:rPr>
          <w:rFonts w:ascii="Times New Roman" w:hAnsi="Times New Roman" w:cs="Times New Roman"/>
          <w:color w:val="000000" w:themeColor="text1"/>
        </w:rPr>
      </w:pPr>
      <w:r w:rsidRPr="00277350">
        <w:rPr>
          <w:rFonts w:ascii="Times New Roman" w:hAnsi="Times New Roman" w:cs="Times New Roman"/>
          <w:color w:val="000000" w:themeColor="text1"/>
        </w:rPr>
        <w:t xml:space="preserve">Percent differences for parabens remained mostly negative within stratum of sex, and associations were stronger amongst females. Among females experiencing high food security, ethyl paraben concentrations were lower for marginal (20.04% [95% CI: −38.24%, −3.51%]); low (20.29% [95% CI: −38.25%, −2.89%]) and very low (38.94% [95% CI: −53.86%, −19.21%]) food secure females. </w:t>
      </w:r>
      <w:r w:rsidRPr="00277350">
        <w:rPr>
          <w:rFonts w:ascii="Times New Roman" w:eastAsia="Times New Roman" w:hAnsi="Times New Roman" w:cs="Times New Roman"/>
          <w:color w:val="000000" w:themeColor="text1"/>
        </w:rPr>
        <w:t>Similar trends were observed for methyl paraben (marginal: -14.99%; [95% CI:-33.01%, 7.87%]; low: -17.85%; [95% CI: -37.03%, 7.18%]; very low: -26.10%; [95 CI: -46.97%, 2.98%])</w:t>
      </w:r>
      <w:r w:rsidRPr="00277350">
        <w:rPr>
          <w:rFonts w:ascii="Times New Roman" w:hAnsi="Times New Roman" w:cs="Times New Roman"/>
          <w:color w:val="000000" w:themeColor="text1"/>
        </w:rPr>
        <w:t xml:space="preserve">, and propyl paraben </w:t>
      </w:r>
      <w:r w:rsidRPr="00277350">
        <w:rPr>
          <w:rFonts w:ascii="Times New Roman" w:eastAsia="Times New Roman" w:hAnsi="Times New Roman" w:cs="Times New Roman"/>
          <w:color w:val="000000" w:themeColor="text1"/>
        </w:rPr>
        <w:t>(marginal: (-25.71%; [95% CI:-44.96%, 0.27%%]; low: -22.96%; [95% CI: -46.20%, 10.31%]; very low: -44.82%; [95 CI: -63.63%, 16.28%])</w:t>
      </w:r>
      <w:r w:rsidRPr="00277350">
        <w:rPr>
          <w:rFonts w:ascii="Times New Roman" w:hAnsi="Times New Roman" w:cs="Times New Roman"/>
          <w:color w:val="000000" w:themeColor="text1"/>
        </w:rPr>
        <w:t>. In contrast, among males with some but not all reduced food security categories, higher levels were observed for ethyl (low: 13.79%; [95% CI: -9.33%, 42.78%]), and methyl paraben (low: 8.59%, [95% CI: -19.99%, 47.37%; very low: 6.41% [95% CI: -26.1%, 53.22%]) relative to the reference. (Figure 2, Supplemental Table 2)</w:t>
      </w:r>
    </w:p>
    <w:p w14:paraId="7515B477" w14:textId="77777777" w:rsidR="0086036C" w:rsidRPr="00277350" w:rsidRDefault="0086036C" w:rsidP="0086036C">
      <w:pPr>
        <w:ind w:firstLine="720"/>
        <w:rPr>
          <w:rFonts w:ascii="Times New Roman" w:hAnsi="Times New Roman" w:cs="Times New Roman"/>
          <w:b/>
          <w:bCs/>
          <w:noProof/>
          <w:color w:val="000000" w:themeColor="text1"/>
          <w:sz w:val="28"/>
          <w:szCs w:val="28"/>
        </w:rPr>
      </w:pPr>
    </w:p>
    <w:p w14:paraId="642C2432" w14:textId="1182E95E" w:rsidR="0086036C" w:rsidRPr="00277350" w:rsidRDefault="0086036C" w:rsidP="0086036C">
      <w:pPr>
        <w:rPr>
          <w:rFonts w:ascii="Times New Roman" w:hAnsi="Times New Roman" w:cs="Times New Roman"/>
          <w:color w:val="000000" w:themeColor="text1"/>
        </w:rPr>
      </w:pPr>
      <w:r w:rsidRPr="00277350">
        <w:rPr>
          <w:rFonts w:ascii="Times New Roman" w:hAnsi="Times New Roman" w:cs="Times New Roman"/>
          <w:b/>
          <w:bCs/>
          <w:noProof/>
          <w:color w:val="000000" w:themeColor="text1"/>
          <w:sz w:val="26"/>
          <w:szCs w:val="26"/>
        </w:rPr>
        <w:t xml:space="preserve">Figure 3: Strata-Specific </w:t>
      </w:r>
      <w:r w:rsidRPr="00277350">
        <w:rPr>
          <w:rFonts w:ascii="Times New Roman" w:hAnsi="Times New Roman" w:cs="Times New Roman"/>
          <w:b/>
          <w:bCs/>
          <w:color w:val="000000" w:themeColor="text1"/>
          <w:sz w:val="26"/>
          <w:szCs w:val="26"/>
        </w:rPr>
        <w:t>Adjusted Linear Regression Plot: Self-Reported Food Security Status and Urinary Phenol Metabolites with Race and Ethnicity Interaction</w:t>
      </w:r>
      <w:r w:rsidRPr="00277350">
        <w:rPr>
          <w:rFonts w:ascii="Times New Roman" w:hAnsi="Times New Roman" w:cs="Times New Roman"/>
          <w:b/>
          <w:bCs/>
          <w:color w:val="000000" w:themeColor="text1"/>
          <w:sz w:val="28"/>
          <w:szCs w:val="28"/>
        </w:rPr>
        <w:t xml:space="preserve"> </w:t>
      </w:r>
      <w:r w:rsidRPr="00277350">
        <w:rPr>
          <w:rFonts w:ascii="Times New Roman" w:hAnsi="Times New Roman" w:cs="Times New Roman"/>
          <w:noProof/>
        </w:rPr>
        <w:drawing>
          <wp:inline distT="0" distB="0" distL="0" distR="0" wp14:anchorId="48DD3EDD" wp14:editId="663F6FBF">
            <wp:extent cx="5943600" cy="3749629"/>
            <wp:effectExtent l="0" t="0" r="0" b="0"/>
            <wp:docPr id="921532512" name="Picture 1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32512" name="Picture 12" descr="A screenshot of a graph&#10;&#10;AI-generated content may be incorrect."/>
                    <pic:cNvPicPr/>
                  </pic:nvPicPr>
                  <pic:blipFill rotWithShape="1">
                    <a:blip r:embed="rId13" cstate="print">
                      <a:extLst>
                        <a:ext uri="{28A0092B-C50C-407E-A947-70E740481C1C}">
                          <a14:useLocalDpi xmlns:a14="http://schemas.microsoft.com/office/drawing/2010/main" val="0"/>
                        </a:ext>
                      </a:extLst>
                    </a:blip>
                    <a:srcRect t="12645"/>
                    <a:stretch>
                      <a:fillRect/>
                    </a:stretch>
                  </pic:blipFill>
                  <pic:spPr bwMode="auto">
                    <a:xfrm>
                      <a:off x="0" y="0"/>
                      <a:ext cx="5943600" cy="3749629"/>
                    </a:xfrm>
                    <a:prstGeom prst="rect">
                      <a:avLst/>
                    </a:prstGeom>
                    <a:ln>
                      <a:noFill/>
                    </a:ln>
                    <a:extLst>
                      <a:ext uri="{53640926-AAD7-44D8-BBD7-CCE9431645EC}">
                        <a14:shadowObscured xmlns:a14="http://schemas.microsoft.com/office/drawing/2010/main"/>
                      </a:ext>
                    </a:extLst>
                  </pic:spPr>
                </pic:pic>
              </a:graphicData>
            </a:graphic>
          </wp:inline>
        </w:drawing>
      </w:r>
    </w:p>
    <w:p w14:paraId="0C757958" w14:textId="0AB738C1" w:rsidR="0086036C" w:rsidRPr="00277350" w:rsidRDefault="0086036C" w:rsidP="00927C64">
      <w:pPr>
        <w:pStyle w:val="ListParagraph"/>
        <w:numPr>
          <w:ilvl w:val="0"/>
          <w:numId w:val="5"/>
        </w:numPr>
        <w:spacing w:after="0" w:line="240" w:lineRule="auto"/>
        <w:rPr>
          <w:rFonts w:ascii="Times New Roman" w:hAnsi="Times New Roman" w:cs="Times New Roman"/>
          <w:i/>
          <w:iCs/>
          <w:noProof/>
          <w:color w:val="000000" w:themeColor="text1"/>
        </w:rPr>
      </w:pPr>
      <w:r w:rsidRPr="00277350">
        <w:rPr>
          <w:rFonts w:ascii="Times New Roman" w:hAnsi="Times New Roman" w:cs="Times New Roman"/>
          <w:i/>
          <w:iCs/>
          <w:noProof/>
          <w:color w:val="000000" w:themeColor="text1"/>
        </w:rPr>
        <w:t xml:space="preserve"> Race stratified adjusted percent differences (95% confidence intervals) in urinary phenol metabolite concentrations across food security levels, estmated from multivariable linear regression models adjusted for age, sex, education, survey cycle, </w:t>
      </w:r>
      <w:r w:rsidR="001D5FBA" w:rsidRPr="00277350">
        <w:rPr>
          <w:rFonts w:ascii="Times New Roman" w:hAnsi="Times New Roman" w:cs="Times New Roman"/>
          <w:i/>
          <w:iCs/>
          <w:noProof/>
          <w:color w:val="000000" w:themeColor="text1"/>
        </w:rPr>
        <w:t>poverty-to-income</w:t>
      </w:r>
      <w:r w:rsidRPr="00277350">
        <w:rPr>
          <w:rFonts w:ascii="Times New Roman" w:hAnsi="Times New Roman" w:cs="Times New Roman"/>
          <w:i/>
          <w:iCs/>
          <w:noProof/>
          <w:color w:val="000000" w:themeColor="text1"/>
        </w:rPr>
        <w:t xml:space="preserve"> ratio and creatinine. High Food Secure is the reference group.</w:t>
      </w:r>
    </w:p>
    <w:p w14:paraId="11BCDD05" w14:textId="77777777" w:rsidR="0086036C" w:rsidRPr="00277350" w:rsidRDefault="0086036C" w:rsidP="00927C64">
      <w:pPr>
        <w:pStyle w:val="ListParagraph"/>
        <w:numPr>
          <w:ilvl w:val="0"/>
          <w:numId w:val="5"/>
        </w:numPr>
        <w:spacing w:after="0" w:line="240" w:lineRule="auto"/>
        <w:rPr>
          <w:rFonts w:ascii="Times New Roman" w:hAnsi="Times New Roman" w:cs="Times New Roman"/>
          <w:i/>
          <w:iCs/>
          <w:noProof/>
          <w:color w:val="000000" w:themeColor="text1"/>
        </w:rPr>
      </w:pPr>
      <w:r w:rsidRPr="00277350">
        <w:rPr>
          <w:rFonts w:ascii="Times New Roman" w:hAnsi="Times New Roman" w:cs="Times New Roman"/>
          <w:i/>
          <w:iCs/>
          <w:noProof/>
          <w:color w:val="000000" w:themeColor="text1"/>
        </w:rPr>
        <w:lastRenderedPageBreak/>
        <w:t>P</w:t>
      </w:r>
      <w:r w:rsidRPr="00277350">
        <w:rPr>
          <w:rFonts w:ascii="Times New Roman" w:hAnsi="Times New Roman" w:cs="Times New Roman"/>
          <w:i/>
          <w:iCs/>
          <w:noProof/>
          <w:color w:val="000000" w:themeColor="text1"/>
          <w:vertAlign w:val="subscript"/>
        </w:rPr>
        <w:t>interaction</w:t>
      </w:r>
      <w:r w:rsidRPr="00277350">
        <w:rPr>
          <w:rFonts w:ascii="Times New Roman" w:hAnsi="Times New Roman" w:cs="Times New Roman"/>
          <w:i/>
          <w:iCs/>
          <w:noProof/>
          <w:color w:val="000000" w:themeColor="text1"/>
        </w:rPr>
        <w:t xml:space="preserve"> values are reported from  food security*race and ethnicity interaction models, where food security is modeled as continuous variable. </w:t>
      </w:r>
    </w:p>
    <w:p w14:paraId="1577B733" w14:textId="77777777" w:rsidR="0086036C" w:rsidRPr="00277350" w:rsidRDefault="0086036C" w:rsidP="00927C64">
      <w:pPr>
        <w:pStyle w:val="ListParagraph"/>
        <w:numPr>
          <w:ilvl w:val="0"/>
          <w:numId w:val="5"/>
        </w:numPr>
        <w:spacing w:after="0" w:line="240" w:lineRule="auto"/>
        <w:rPr>
          <w:rFonts w:ascii="Times New Roman" w:hAnsi="Times New Roman" w:cs="Times New Roman"/>
          <w:i/>
          <w:iCs/>
          <w:noProof/>
          <w:color w:val="000000" w:themeColor="text1"/>
        </w:rPr>
      </w:pPr>
      <w:r w:rsidRPr="00277350">
        <w:rPr>
          <w:rFonts w:ascii="Times New Roman" w:hAnsi="Times New Roman" w:cs="Times New Roman"/>
          <w:i/>
          <w:iCs/>
          <w:noProof/>
          <w:color w:val="000000" w:themeColor="text1"/>
        </w:rPr>
        <w:t xml:space="preserve">NH White: Non Hispanic White; NH Black: Non-Hispanic Black </w:t>
      </w:r>
    </w:p>
    <w:p w14:paraId="2CBBE3B7" w14:textId="77777777" w:rsidR="0086036C" w:rsidRPr="00277350" w:rsidRDefault="0086036C" w:rsidP="0086036C">
      <w:pPr>
        <w:rPr>
          <w:rFonts w:ascii="Times New Roman" w:hAnsi="Times New Roman" w:cs="Times New Roman"/>
          <w:b/>
          <w:bCs/>
          <w:color w:val="000000" w:themeColor="text1"/>
          <w:sz w:val="28"/>
          <w:szCs w:val="28"/>
        </w:rPr>
      </w:pPr>
    </w:p>
    <w:p w14:paraId="3F1BA232" w14:textId="77777777" w:rsidR="0086036C" w:rsidRPr="00277350" w:rsidRDefault="0086036C" w:rsidP="0086036C">
      <w:pPr>
        <w:rPr>
          <w:rFonts w:ascii="Times New Roman" w:hAnsi="Times New Roman" w:cs="Times New Roman"/>
          <w:i/>
          <w:iCs/>
          <w:color w:val="000000" w:themeColor="text1"/>
        </w:rPr>
      </w:pPr>
      <w:r w:rsidRPr="00277350">
        <w:rPr>
          <w:rFonts w:ascii="Times New Roman" w:hAnsi="Times New Roman" w:cs="Times New Roman"/>
          <w:i/>
          <w:iCs/>
          <w:color w:val="000000" w:themeColor="text1"/>
        </w:rPr>
        <w:t>Effect Measure Modification by Race/Ethnicity</w:t>
      </w:r>
    </w:p>
    <w:p w14:paraId="44E78BFB" w14:textId="77777777" w:rsidR="005951E4" w:rsidRPr="00277350" w:rsidRDefault="0086036C" w:rsidP="005951E4">
      <w:pPr>
        <w:spacing w:after="0"/>
        <w:ind w:firstLine="720"/>
        <w:rPr>
          <w:rFonts w:ascii="Times New Roman" w:hAnsi="Times New Roman" w:cs="Times New Roman"/>
          <w:color w:val="000000" w:themeColor="text1"/>
        </w:rPr>
      </w:pPr>
      <w:r w:rsidRPr="00277350">
        <w:rPr>
          <w:rFonts w:ascii="Times New Roman" w:hAnsi="Times New Roman" w:cs="Times New Roman"/>
          <w:color w:val="000000" w:themeColor="text1"/>
        </w:rPr>
        <w:t>Finally, we assessed potential effect measure modification by race and ethnicity (Supplemental Tables 3-9). There was evidence of interaction all parabens, ethyl (</w:t>
      </w:r>
      <w:proofErr w:type="spellStart"/>
      <w:r w:rsidRPr="00277350">
        <w:rPr>
          <w:rFonts w:ascii="Times New Roman" w:hAnsi="Times New Roman" w:cs="Times New Roman"/>
          <w:color w:val="000000" w:themeColor="text1"/>
        </w:rPr>
        <w:t>p</w:t>
      </w:r>
      <w:r w:rsidRPr="00277350">
        <w:rPr>
          <w:rFonts w:ascii="Times New Roman" w:hAnsi="Times New Roman" w:cs="Times New Roman"/>
          <w:color w:val="000000" w:themeColor="text1"/>
          <w:vertAlign w:val="subscript"/>
        </w:rPr>
        <w:t>interaction</w:t>
      </w:r>
      <w:proofErr w:type="spellEnd"/>
      <w:r w:rsidRPr="00277350">
        <w:rPr>
          <w:rFonts w:ascii="Times New Roman" w:hAnsi="Times New Roman" w:cs="Times New Roman"/>
          <w:color w:val="000000" w:themeColor="text1"/>
        </w:rPr>
        <w:t>=0.04), methyl (</w:t>
      </w:r>
      <w:proofErr w:type="spellStart"/>
      <w:r w:rsidRPr="00277350">
        <w:rPr>
          <w:rFonts w:ascii="Times New Roman" w:hAnsi="Times New Roman" w:cs="Times New Roman"/>
          <w:color w:val="000000" w:themeColor="text1"/>
        </w:rPr>
        <w:t>p</w:t>
      </w:r>
      <w:r w:rsidRPr="00277350">
        <w:rPr>
          <w:rFonts w:ascii="Times New Roman" w:hAnsi="Times New Roman" w:cs="Times New Roman"/>
          <w:color w:val="000000" w:themeColor="text1"/>
          <w:vertAlign w:val="subscript"/>
        </w:rPr>
        <w:t>interaction</w:t>
      </w:r>
      <w:proofErr w:type="spellEnd"/>
      <w:r w:rsidRPr="00277350">
        <w:rPr>
          <w:rFonts w:ascii="Times New Roman" w:hAnsi="Times New Roman" w:cs="Times New Roman"/>
          <w:color w:val="000000" w:themeColor="text1"/>
        </w:rPr>
        <w:t>&lt;0.01), and propyl (</w:t>
      </w:r>
      <w:proofErr w:type="spellStart"/>
      <w:r w:rsidRPr="00277350">
        <w:rPr>
          <w:rFonts w:ascii="Times New Roman" w:hAnsi="Times New Roman" w:cs="Times New Roman"/>
          <w:color w:val="000000" w:themeColor="text1"/>
        </w:rPr>
        <w:t>p</w:t>
      </w:r>
      <w:r w:rsidRPr="00277350">
        <w:rPr>
          <w:rFonts w:ascii="Times New Roman" w:hAnsi="Times New Roman" w:cs="Times New Roman"/>
          <w:color w:val="000000" w:themeColor="text1"/>
          <w:vertAlign w:val="subscript"/>
        </w:rPr>
        <w:t>interaction</w:t>
      </w:r>
      <w:proofErr w:type="spellEnd"/>
      <w:r w:rsidRPr="00277350">
        <w:rPr>
          <w:rFonts w:ascii="Times New Roman" w:hAnsi="Times New Roman" w:cs="Times New Roman"/>
          <w:color w:val="000000" w:themeColor="text1"/>
          <w:vertAlign w:val="subscript"/>
        </w:rPr>
        <w:t xml:space="preserve"> </w:t>
      </w:r>
      <w:r w:rsidRPr="00277350">
        <w:rPr>
          <w:rFonts w:ascii="Times New Roman" w:hAnsi="Times New Roman" w:cs="Times New Roman"/>
          <w:color w:val="000000" w:themeColor="text1"/>
        </w:rPr>
        <w:t>&lt;0.01). Among non-Hispanic White individuals, reduced food security (marginal, low, and very low) was associated with lower levels of parabens. Non-Hispanic White individuals experiencing very low food secure participants had the largest negative difference (i.e. lowest levels) compared to non-Hispanic White adults with high food security (e.g. ethyl paraben concentrations: very low: -33.81% [95% CI: -49.12%, -13.90%]).</w:t>
      </w:r>
    </w:p>
    <w:p w14:paraId="47FDFFD6" w14:textId="1A5834A0" w:rsidR="0086036C" w:rsidRPr="00277350" w:rsidRDefault="0086036C" w:rsidP="005951E4">
      <w:pPr>
        <w:spacing w:after="0"/>
        <w:ind w:firstLine="720"/>
        <w:rPr>
          <w:rFonts w:ascii="Times New Roman" w:hAnsi="Times New Roman" w:cs="Times New Roman"/>
          <w:color w:val="000000" w:themeColor="text1"/>
        </w:rPr>
      </w:pPr>
      <w:r w:rsidRPr="00277350">
        <w:rPr>
          <w:rFonts w:ascii="Times New Roman" w:hAnsi="Times New Roman" w:cs="Times New Roman"/>
          <w:color w:val="000000" w:themeColor="text1"/>
        </w:rPr>
        <w:t xml:space="preserve">In contrast, </w:t>
      </w:r>
      <w:proofErr w:type="gramStart"/>
      <w:r w:rsidRPr="00277350">
        <w:rPr>
          <w:rFonts w:ascii="Times New Roman" w:hAnsi="Times New Roman" w:cs="Times New Roman"/>
          <w:color w:val="000000" w:themeColor="text1"/>
        </w:rPr>
        <w:t>Mexican-American</w:t>
      </w:r>
      <w:proofErr w:type="gramEnd"/>
      <w:r w:rsidRPr="00277350">
        <w:rPr>
          <w:rFonts w:ascii="Times New Roman" w:hAnsi="Times New Roman" w:cs="Times New Roman"/>
          <w:color w:val="000000" w:themeColor="text1"/>
        </w:rPr>
        <w:t xml:space="preserve"> participants experiencing low or very low food security generally had higher levels of parabens. For instance, relative to </w:t>
      </w:r>
      <w:proofErr w:type="gramStart"/>
      <w:r w:rsidRPr="00277350">
        <w:rPr>
          <w:rFonts w:ascii="Times New Roman" w:hAnsi="Times New Roman" w:cs="Times New Roman"/>
          <w:color w:val="000000" w:themeColor="text1"/>
        </w:rPr>
        <w:t>Mexican-Americans</w:t>
      </w:r>
      <w:proofErr w:type="gramEnd"/>
      <w:r w:rsidRPr="00277350">
        <w:rPr>
          <w:rFonts w:ascii="Times New Roman" w:hAnsi="Times New Roman" w:cs="Times New Roman"/>
          <w:color w:val="000000" w:themeColor="text1"/>
        </w:rPr>
        <w:t xml:space="preserve"> with high food security, methyl parabens estimates were lower among </w:t>
      </w:r>
      <w:proofErr w:type="gramStart"/>
      <w:r w:rsidRPr="00277350">
        <w:rPr>
          <w:rFonts w:ascii="Times New Roman" w:hAnsi="Times New Roman" w:cs="Times New Roman"/>
          <w:color w:val="000000" w:themeColor="text1"/>
        </w:rPr>
        <w:t>Mexican-Americans</w:t>
      </w:r>
      <w:proofErr w:type="gramEnd"/>
      <w:r w:rsidRPr="00277350">
        <w:rPr>
          <w:rFonts w:ascii="Times New Roman" w:hAnsi="Times New Roman" w:cs="Times New Roman"/>
          <w:color w:val="000000" w:themeColor="text1"/>
        </w:rPr>
        <w:t xml:space="preserve"> experiencing low (24.69% [95% CI: -10.20,73.13%]) and lower among those experiencing very low food security (42.53% 95% CI [-2.18, 107.69%]) (Figure 3, Supplemental Table 8). Among non-Hispanic Black individuals’ results were similar to those among non-Hispanic Black adults with low food security generally showing the largest positive percent difference for ethyl (low: 13.88% [95% CI: -15.89%, 54.18%) (Figure 3, Supplemental 7) methyl (low: 11.32% [95% CI: -17.07%, 49.43%]) (Figure 3, Supplemental 8) and propyl (low: 2.65% [95% CI: -15.89%, 54.18%]; very low: 10.44% [95% CI: -25.02%, 62.29%]) (Figure 3, Supplemental 9) parabens. Among other Hispanic and Other-race adults, associations between reduced food security and paraben concentrations appeared to be positive for some, but not all parabens; however, results were mixed overall. </w:t>
      </w:r>
    </w:p>
    <w:p w14:paraId="764C94CC" w14:textId="77777777" w:rsidR="0086036C" w:rsidRPr="00277350" w:rsidRDefault="0086036C" w:rsidP="0086036C">
      <w:pPr>
        <w:ind w:firstLine="720"/>
        <w:rPr>
          <w:rFonts w:ascii="Times New Roman" w:hAnsi="Times New Roman" w:cs="Times New Roman"/>
          <w:color w:val="000000" w:themeColor="text1"/>
        </w:rPr>
      </w:pPr>
    </w:p>
    <w:p w14:paraId="73FC74EB" w14:textId="54C5228A" w:rsidR="00AA3B9E" w:rsidRDefault="00AA3B9E" w:rsidP="00AA3B9E">
      <w:pPr>
        <w:pStyle w:val="NormalWeb"/>
        <w:spacing w:before="0" w:beforeAutospacing="0" w:after="0" w:afterAutospacing="0"/>
        <w:rPr>
          <w:b/>
          <w:bCs/>
          <w:sz w:val="28"/>
          <w:szCs w:val="28"/>
        </w:rPr>
      </w:pPr>
      <w:r>
        <w:rPr>
          <w:b/>
          <w:bCs/>
          <w:sz w:val="28"/>
          <w:szCs w:val="28"/>
        </w:rPr>
        <w:t>Discussion</w:t>
      </w:r>
    </w:p>
    <w:p w14:paraId="6A7ACA80" w14:textId="77777777" w:rsidR="00AA3B9E" w:rsidRDefault="00AA3B9E" w:rsidP="00AA3B9E">
      <w:pPr>
        <w:pStyle w:val="NormalWeb"/>
        <w:spacing w:before="0" w:beforeAutospacing="0" w:after="0" w:afterAutospacing="0"/>
        <w:rPr>
          <w:b/>
          <w:bCs/>
          <w:sz w:val="28"/>
          <w:szCs w:val="28"/>
        </w:rPr>
      </w:pPr>
    </w:p>
    <w:p w14:paraId="320F33E5" w14:textId="546E31A5" w:rsidR="00AA3B9E" w:rsidRPr="008B7713" w:rsidRDefault="00334FCF" w:rsidP="00AA3B9E">
      <w:pPr>
        <w:pStyle w:val="NormalWeb"/>
        <w:spacing w:before="0" w:beforeAutospacing="0" w:after="0" w:afterAutospacing="0"/>
      </w:pPr>
      <w:r>
        <w:rPr>
          <w:i/>
          <w:iCs/>
        </w:rPr>
        <w:t>Strengths</w:t>
      </w:r>
    </w:p>
    <w:p w14:paraId="06D8C56A" w14:textId="4D949E6E" w:rsidR="001A124E" w:rsidRPr="00334FCF" w:rsidRDefault="00FE5552" w:rsidP="00AA3B9E">
      <w:pPr>
        <w:pStyle w:val="NormalWeb"/>
        <w:spacing w:before="0" w:beforeAutospacing="0" w:after="0" w:afterAutospacing="0"/>
      </w:pPr>
      <w:r w:rsidRPr="00FE5552">
        <w:t xml:space="preserve">This study exhibited several strengths. The extensive NHANES dataset spanned an 11-year period and examined six urinary phenol metabolite concentrations. The study population was representative of multiple sociodemographic characteristics, enhancing generalizability. The collection and laboratory analysis of urine samples by the CDC National Center for Environmental Health Laboratory further strengthened exposure assessment, alongside the use of the well-validated 18-item gold standard USDA Food Security Survey Module (FSSM) to categorize household food security. Multivariable linear regression models were used to adjust for relevant covariates, including race/ethnicity, age, sex, poverty-income ratio, cycle year, and creatinine. Additionally, stratified analyses by race/ethnicity and sex allowed us to examine effect modification in the associations between race/ethnicity </w:t>
      </w:r>
      <w:r>
        <w:t>*</w:t>
      </w:r>
      <w:r w:rsidRPr="00FE5552">
        <w:t xml:space="preserve"> household food security status, as </w:t>
      </w:r>
      <w:r w:rsidRPr="00FE5552">
        <w:lastRenderedPageBreak/>
        <w:t xml:space="preserve">well as sex </w:t>
      </w:r>
      <w:r>
        <w:t>*</w:t>
      </w:r>
      <w:r w:rsidRPr="00FE5552">
        <w:t xml:space="preserve"> household food security status, with findings supporting existing literature</w:t>
      </w:r>
      <w:r w:rsidR="008B7713">
        <w:fldChar w:fldCharType="begin"/>
      </w:r>
      <w:r w:rsidR="008B7713">
        <w:instrText xml:space="preserve"> ADDIN ZOTERO_ITEM CSL_CITATION {"citationID":"qGtwq5GD","properties":{"unsorted":false,"formattedCitation":"\\super 6,8,10\\nosupersub{}","plainCitation":"6,8,10","noteIndex":0},"citationItems":[{"id":51,"uris":["http://zotero.org/users/local/N9bAOqPz/items/EGNDPPNJ"],"itemData":{"id":51,"type":"article-journal","abstract":"BACKGROUND: Cognitive impairment and dementia are severe public health issues in aging populations, which can be exacerbated by insufficient or unhealthy dietary intake. Food (in)security status is linked to cognitive function among older adults, but the relationship is complex and can vary by sociodemographic characteristics.\nOBJECTIVE: This article aimed to investigate the association between food insecurity and cognitive function among United States older adults and explore potential variations by race and ethnicity groups.\nMETHODS: We prospectively examined changes in cognitive function and incidence of cognitive impairment alongside the presence of self-reported food insecurity among older adults of different racial and ethnic groups. Data were from the 2012-2018 Health and Retirement Study (HRS) and the 2013 Health Care and Nutrition Study (HCNS), including N = 6,638 United States adults aged 50 years and older. Food insecurity was measured by a self-reported United States Household Food Security Survey Module, and cognitive function was assessed by the modified version of the Telephone Interview for Cognitive Status.\nRESULTS: Results showed that 17% of United States older adults reported food insecurity in the 2013 HCNS. Compared with food secure older adults, those reporting food insecurity experienced worsened cognitive functioning over time (B = -0.63, p &lt; .001), and they were more likely to have onset of cognitive impairment (OR= 1.46, p &lt; .001) in the 6-y observation. Compared with non-Hispanic White older adults, being non-Hispanic Black, non-Hispanic Other, or Hispanic was associated with 2.96, 2.09, or 1.26 odds (p &lt; .001) of cognitive impairment (2012-2018), respectively. Older adults of racial and ethnic minority groups also had higher risks of experiencing the double burden of cognitive impairment alongside food insecurity compared with non-Hispanic White older adults.\nCONCLUSION: Findings underscore racial and ethnic structural disparities in food security and cognitive health in the United States aging population.","container-title":"The Journal of Nutrition","DOI":"10.1016/j.tjnut.2023.11.015","ISSN":"1541-6100","issue":"1","journalAbbreviation":"J Nutr","language":"eng","page":"233-242","PMID":"37984739","PMCID":"PMC10925888","source":"PubMed","title":"Food Insecurity, Race and Ethnicity, and Cognitive Function Among United States Older Adults","volume":"154","author":[{"family":"Wang","given":"Haowei"},{"family":"El-Abbadi","given":"Naglaa"}],"issued":{"date-parts":[["2024",1]]}}},{"id":36,"uris":["http://zotero.org/users/local/N9bAOqPz/items/Y9HCTVLK"],"itemData":{"id":36,"type":"article-journal","abstract":"In recent years, many students have faced economic hardship and experienced food insecurity, even as universities strive to create more equitable pathways to college. There is a need for a more holistic perspective that addresses the complexity of food insecurity amongst college students. To this end, we examined the relationship between the social determinants of health, including college food insecurity (CoFI) and childhood food insecurity (ChFI), and their relationship with well-being measures. The study sample was a convenience sample that included 372 students at a public university who responded to an online survey in fall 2021. Students were asked to report their food security status in the previous 30 days. We used the following analytical strategies: chi-square tests to determine differences between food secure (FS) and food insecure (FI) students; binary logistic regression of CoFI on student demographics and ChFI; and ordinal or binary logistic regression for well-being measures. Black students, off-campus students, first-generation students, in-state students, and humanities/behavioral/social/health sciences majors were more likely to report CoFI. FI students were more likely to have experienced ChFI and to have lower scores on all well-being measures. ChFI was associated with four well-being measures and its effects were mediated by CoFI. College student health initiatives would benefit from accounting for SDOH, including ChFI experiences and its subsequent cumulative disadvantages experienced during college.","container-title":"Nutrients","DOI":"10.3390/nu16091391","ISSN":"2072-6643","issue":"9","journalAbbreviation":"Nutrients","language":"eng","page":"1391","PMID":"38732637","PMCID":"PMC11085391","source":"PubMed","title":"Social Determinants of Health and College Food Insecurity","volume":"16","author":[{"family":"Mobley","given":"Catherine"},{"family":"Luo","given":"Ye"},{"family":"Fernandez","given":"Mariela"},{"family":"Hossfeld","given":"Leslie"}],"issued":{"date-parts":[["2024",5,4]]}}},{"id":91,"uris":["http://zotero.org/users/local/N9bAOqPz/items/S534WIDD"],"itemData":{"id":91,"type":"article-journal","abstract":"INTRODUCTION: Food insecurity is associated with negative nutritional outcomes and is experienced differently by women vs men. We evaluated the effects of gender on food insecurity and dietary intake in the United States.\nMETHODS: Data from the National Health and Nutrition Examination Survey (2007-2016) were analyzed. Survey-weighted linear and logistic regression models were used to evaluate predictors of food security and the effect of food security on dietary consumption and body anthropometrics. Gender was modeled as a covariable and as an effect modifier.\nRESULTS: A total of 30,251 respondents were included. Approximately 15.1% (95% confidence interval [CI]: 14.1%-16.1%) of participants were food insecure. This increased over time from 11.7% in 2007-2008 to 18.2% in 2015-2016. A higher proportion of women experienced food insecurity compared with men (53.3% vs 46.7%, P = 0.02), although this was not significant after adjusting for poverty and other confounders (adjusted odds ratio 1.01; 95% CI: 0.93-1.09; P = 0.81). Among food insecure women, 32.4% (95% CI: 30.0%-34.9%) received emergency food assistance and 75.0% (95% CI: 71.5%-78.2%) received supplemental nutrition assistance benefits. Relative to men, food insecure women were less likely to meet the recommended dietary allowance of most macronutrients and micronutrients. They were also significantly more likely to be obese, have a wider waist circumference, and have higher total body fat percentage (P interaction all &lt;0.001).\nDISCUSSION: Food insecurity represents a substantial public health challenge in the United States that differentially affects women compared with men. Alternative strategies may be required to meet the nutritional requirements for food insecure women.","container-title":"The American Journal of Gastroenterology","DOI":"10.14309/ajg.0000000000001118","ISSN":"1572-0241","issue":"3","journalAbbreviation":"Am J Gastroenterol","language":"eng","page":"584-592","PMID":"33443848","source":"PubMed","title":"Gender Disparities in Food Security, Dietary Intake, and Nutritional Health in the United States","volume":"116","author":[{"family":"Ma","given":"Christopher"},{"family":"Ho","given":"Stephanie K. M."},{"family":"Singh","given":"Siddharth"},{"family":"Choi","given":"May Y."}],"issued":{"date-parts":[["2021",3,1]]}}}],"schema":"https://github.com/citation-style-language/schema/raw/master/csl-citation.json"} </w:instrText>
      </w:r>
      <w:r w:rsidR="008B7713">
        <w:fldChar w:fldCharType="separate"/>
      </w:r>
      <w:r w:rsidR="008B7713" w:rsidRPr="008B7713">
        <w:rPr>
          <w:vertAlign w:val="superscript"/>
        </w:rPr>
        <w:t>6,8,10</w:t>
      </w:r>
      <w:r w:rsidR="008B7713">
        <w:fldChar w:fldCharType="end"/>
      </w:r>
      <w:r w:rsidRPr="00FE5552">
        <w:t>.</w:t>
      </w:r>
    </w:p>
    <w:p w14:paraId="1C736033" w14:textId="77777777" w:rsidR="00334FCF" w:rsidRDefault="00334FCF" w:rsidP="00AA3B9E">
      <w:pPr>
        <w:pStyle w:val="NormalWeb"/>
        <w:spacing w:before="0" w:beforeAutospacing="0" w:after="0" w:afterAutospacing="0"/>
        <w:rPr>
          <w:i/>
          <w:iCs/>
        </w:rPr>
      </w:pPr>
    </w:p>
    <w:p w14:paraId="1A6D563F" w14:textId="77777777" w:rsidR="00334FCF" w:rsidRDefault="00334FCF" w:rsidP="00AA3B9E">
      <w:pPr>
        <w:pStyle w:val="NormalWeb"/>
        <w:spacing w:before="0" w:beforeAutospacing="0" w:after="0" w:afterAutospacing="0"/>
        <w:rPr>
          <w:i/>
          <w:iCs/>
        </w:rPr>
      </w:pPr>
    </w:p>
    <w:p w14:paraId="5EA911E3" w14:textId="4F223C27" w:rsidR="00334FCF" w:rsidRPr="00334FCF" w:rsidRDefault="00334FCF" w:rsidP="00AA3B9E">
      <w:pPr>
        <w:pStyle w:val="NormalWeb"/>
        <w:spacing w:before="0" w:beforeAutospacing="0" w:after="0" w:afterAutospacing="0"/>
        <w:rPr>
          <w:i/>
          <w:iCs/>
        </w:rPr>
      </w:pPr>
      <w:r>
        <w:rPr>
          <w:i/>
          <w:iCs/>
        </w:rPr>
        <w:t>Limitations</w:t>
      </w:r>
    </w:p>
    <w:p w14:paraId="40682CE2" w14:textId="6CDAB323" w:rsidR="00C0603E" w:rsidRPr="00461342" w:rsidRDefault="00461342" w:rsidP="00461342">
      <w:pPr>
        <w:rPr>
          <w:rFonts w:ascii="Times New Roman" w:eastAsia="Times New Roman" w:hAnsi="Times New Roman" w:cs="Times New Roman"/>
          <w:kern w:val="0"/>
          <w14:ligatures w14:val="none"/>
        </w:rPr>
      </w:pPr>
      <w:r w:rsidRPr="00461342">
        <w:rPr>
          <w:rFonts w:ascii="Times New Roman" w:hAnsi="Times New Roman" w:cs="Times New Roman"/>
          <w:color w:val="000000" w:themeColor="text1"/>
        </w:rPr>
        <w:t xml:space="preserve">Several limitations should be considered. Self-reported measures are subject to minimal nondifferential misclassification toward the null and potential bias. The cross-sectional study design </w:t>
      </w:r>
      <w:r w:rsidR="00DE63C1">
        <w:rPr>
          <w:rFonts w:ascii="Times New Roman" w:hAnsi="Times New Roman" w:cs="Times New Roman"/>
          <w:color w:val="000000" w:themeColor="text1"/>
        </w:rPr>
        <w:t>limits the</w:t>
      </w:r>
      <w:r w:rsidRPr="00461342">
        <w:rPr>
          <w:rFonts w:ascii="Times New Roman" w:hAnsi="Times New Roman" w:cs="Times New Roman"/>
          <w:color w:val="000000" w:themeColor="text1"/>
        </w:rPr>
        <w:t xml:space="preserve"> determination of temporality between </w:t>
      </w:r>
      <w:r w:rsidR="00DE63C1">
        <w:rPr>
          <w:rFonts w:ascii="Times New Roman" w:hAnsi="Times New Roman" w:cs="Times New Roman"/>
          <w:color w:val="000000" w:themeColor="text1"/>
        </w:rPr>
        <w:t xml:space="preserve">the </w:t>
      </w:r>
      <w:r w:rsidRPr="00461342">
        <w:rPr>
          <w:rFonts w:ascii="Times New Roman" w:hAnsi="Times New Roman" w:cs="Times New Roman"/>
          <w:color w:val="000000" w:themeColor="text1"/>
        </w:rPr>
        <w:t>exposure and outcome. Future studies should employ longitudinal designs to follow participants over time and assess exposures and outcomes prospectively. Phenol concentrations observed in some individuals may be influenced by sources such as personal care products, making it uncertain whether food packaging represents the primary exposure source. Exposure may also occur through non-dietary pathways, such as inhalation, and further investigation into food systems contributing to packaging and handling is warranted. Finally, the NHANES cycle years used in this study are not recent due to the unavailability of urinary phenol metabolite data in later cycles (approximately 10 years old at present); future research should incorporate more recent data as they become available.</w:t>
      </w:r>
      <w:r w:rsidR="00C0603E" w:rsidRPr="00461342">
        <w:rPr>
          <w:rFonts w:ascii="Times New Roman" w:hAnsi="Times New Roman" w:cs="Times New Roman"/>
        </w:rPr>
        <w:br w:type="page"/>
      </w:r>
    </w:p>
    <w:p w14:paraId="79BBA0A8" w14:textId="104278FF" w:rsidR="000B7464" w:rsidRPr="00277350" w:rsidRDefault="00C0603E" w:rsidP="00C0603E">
      <w:pPr>
        <w:pStyle w:val="NormalWeb"/>
        <w:spacing w:before="0" w:beforeAutospacing="0" w:after="0" w:afterAutospacing="0"/>
        <w:jc w:val="center"/>
        <w:rPr>
          <w:b/>
          <w:bCs/>
        </w:rPr>
      </w:pPr>
      <w:r w:rsidRPr="00277350">
        <w:rPr>
          <w:b/>
          <w:bCs/>
        </w:rPr>
        <w:lastRenderedPageBreak/>
        <w:t>References</w:t>
      </w:r>
    </w:p>
    <w:p w14:paraId="7A04C274" w14:textId="77777777" w:rsidR="00C0603E" w:rsidRPr="00277350" w:rsidRDefault="00C0603E" w:rsidP="00C0603E">
      <w:pPr>
        <w:pStyle w:val="NormalWeb"/>
        <w:spacing w:before="0" w:beforeAutospacing="0" w:after="0" w:afterAutospacing="0"/>
        <w:jc w:val="center"/>
      </w:pPr>
    </w:p>
    <w:p w14:paraId="69134916" w14:textId="77777777" w:rsidR="008B7713" w:rsidRPr="008B7713" w:rsidRDefault="00C0603E" w:rsidP="008B7713">
      <w:pPr>
        <w:pStyle w:val="Bibliography"/>
        <w:rPr>
          <w:rFonts w:ascii="Times New Roman" w:hAnsi="Times New Roman" w:cs="Times New Roman"/>
        </w:rPr>
      </w:pPr>
      <w:r w:rsidRPr="00277350">
        <w:fldChar w:fldCharType="begin"/>
      </w:r>
      <w:r w:rsidRPr="00277350">
        <w:instrText xml:space="preserve"> ADDIN ZOTERO_BIBL {"uncited":[],"omitted":[],"custom":[]} CSL_BIBLIOGRAPHY </w:instrText>
      </w:r>
      <w:r w:rsidRPr="00277350">
        <w:fldChar w:fldCharType="separate"/>
      </w:r>
      <w:r w:rsidR="008B7713" w:rsidRPr="008B7713">
        <w:rPr>
          <w:rFonts w:ascii="Times New Roman" w:hAnsi="Times New Roman" w:cs="Times New Roman"/>
        </w:rPr>
        <w:t>1.</w:t>
      </w:r>
      <w:r w:rsidR="008B7713" w:rsidRPr="008B7713">
        <w:rPr>
          <w:rFonts w:ascii="Times New Roman" w:hAnsi="Times New Roman" w:cs="Times New Roman"/>
        </w:rPr>
        <w:tab/>
        <w:t xml:space="preserve">Rabbitt M, Hales L, Reed-Jones, M. </w:t>
      </w:r>
      <w:r w:rsidR="008B7713" w:rsidRPr="008B7713">
        <w:rPr>
          <w:rFonts w:ascii="Times New Roman" w:hAnsi="Times New Roman" w:cs="Times New Roman"/>
          <w:i/>
          <w:iCs/>
        </w:rPr>
        <w:t>Food Security in the U.S. - Definitions of Food Security</w:t>
      </w:r>
      <w:r w:rsidR="008B7713" w:rsidRPr="008B7713">
        <w:rPr>
          <w:rFonts w:ascii="Times New Roman" w:hAnsi="Times New Roman" w:cs="Times New Roman"/>
        </w:rPr>
        <w:t>. United States Department of Agriculture; 2025. https://www.ers.usda.gov/topics/food-nutrition-assistance/food-security-in-the-us/definitions-of-food-security</w:t>
      </w:r>
    </w:p>
    <w:p w14:paraId="23E7D23F"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2.</w:t>
      </w:r>
      <w:r w:rsidRPr="008B7713">
        <w:rPr>
          <w:rFonts w:ascii="Times New Roman" w:hAnsi="Times New Roman" w:cs="Times New Roman"/>
        </w:rPr>
        <w:tab/>
        <w:t xml:space="preserve">Berkowitz SA, Seligman HK, </w:t>
      </w:r>
      <w:proofErr w:type="spellStart"/>
      <w:r w:rsidRPr="008B7713">
        <w:rPr>
          <w:rFonts w:ascii="Times New Roman" w:hAnsi="Times New Roman" w:cs="Times New Roman"/>
        </w:rPr>
        <w:t>Palakshappa</w:t>
      </w:r>
      <w:proofErr w:type="spellEnd"/>
      <w:r w:rsidRPr="008B7713">
        <w:rPr>
          <w:rFonts w:ascii="Times New Roman" w:hAnsi="Times New Roman" w:cs="Times New Roman"/>
        </w:rPr>
        <w:t xml:space="preserve"> D. Understanding food insecurity risk in the United States: A longitudinal analysis. </w:t>
      </w:r>
      <w:r w:rsidRPr="008B7713">
        <w:rPr>
          <w:rFonts w:ascii="Times New Roman" w:hAnsi="Times New Roman" w:cs="Times New Roman"/>
          <w:i/>
          <w:iCs/>
        </w:rPr>
        <w:t xml:space="preserve">SSM - </w:t>
      </w:r>
      <w:proofErr w:type="spellStart"/>
      <w:r w:rsidRPr="008B7713">
        <w:rPr>
          <w:rFonts w:ascii="Times New Roman" w:hAnsi="Times New Roman" w:cs="Times New Roman"/>
          <w:i/>
          <w:iCs/>
        </w:rPr>
        <w:t>Popul</w:t>
      </w:r>
      <w:proofErr w:type="spellEnd"/>
      <w:r w:rsidRPr="008B7713">
        <w:rPr>
          <w:rFonts w:ascii="Times New Roman" w:hAnsi="Times New Roman" w:cs="Times New Roman"/>
          <w:i/>
          <w:iCs/>
        </w:rPr>
        <w:t xml:space="preserve"> Health</w:t>
      </w:r>
      <w:r w:rsidRPr="008B7713">
        <w:rPr>
          <w:rFonts w:ascii="Times New Roman" w:hAnsi="Times New Roman" w:cs="Times New Roman"/>
        </w:rPr>
        <w:t xml:space="preserve">. </w:t>
      </w:r>
      <w:proofErr w:type="gramStart"/>
      <w:r w:rsidRPr="008B7713">
        <w:rPr>
          <w:rFonts w:ascii="Times New Roman" w:hAnsi="Times New Roman" w:cs="Times New Roman"/>
        </w:rPr>
        <w:t>2024;25:101569</w:t>
      </w:r>
      <w:proofErr w:type="gramEnd"/>
      <w:r w:rsidRPr="008B7713">
        <w:rPr>
          <w:rFonts w:ascii="Times New Roman" w:hAnsi="Times New Roman" w:cs="Times New Roman"/>
        </w:rPr>
        <w:t xml:space="preserve">. </w:t>
      </w:r>
      <w:proofErr w:type="gramStart"/>
      <w:r w:rsidRPr="008B7713">
        <w:rPr>
          <w:rFonts w:ascii="Times New Roman" w:hAnsi="Times New Roman" w:cs="Times New Roman"/>
        </w:rPr>
        <w:t>doi:10.1016/j.ssmph</w:t>
      </w:r>
      <w:proofErr w:type="gramEnd"/>
      <w:r w:rsidRPr="008B7713">
        <w:rPr>
          <w:rFonts w:ascii="Times New Roman" w:hAnsi="Times New Roman" w:cs="Times New Roman"/>
        </w:rPr>
        <w:t>.2023.101569</w:t>
      </w:r>
    </w:p>
    <w:p w14:paraId="0F797B07"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3.</w:t>
      </w:r>
      <w:r w:rsidRPr="008B7713">
        <w:rPr>
          <w:rFonts w:ascii="Times New Roman" w:hAnsi="Times New Roman" w:cs="Times New Roman"/>
        </w:rPr>
        <w:tab/>
        <w:t xml:space="preserve">Vercammen KA, Moran AJ, McClain AC, Thorndike AN, </w:t>
      </w:r>
      <w:proofErr w:type="spellStart"/>
      <w:r w:rsidRPr="008B7713">
        <w:rPr>
          <w:rFonts w:ascii="Times New Roman" w:hAnsi="Times New Roman" w:cs="Times New Roman"/>
        </w:rPr>
        <w:t>Fulay</w:t>
      </w:r>
      <w:proofErr w:type="spellEnd"/>
      <w:r w:rsidRPr="008B7713">
        <w:rPr>
          <w:rFonts w:ascii="Times New Roman" w:hAnsi="Times New Roman" w:cs="Times New Roman"/>
        </w:rPr>
        <w:t xml:space="preserve"> AP, Rimm EB. Food Security and 10-Year Cardiovascular Disease Risk Among U.S. Adults. </w:t>
      </w:r>
      <w:r w:rsidRPr="008B7713">
        <w:rPr>
          <w:rFonts w:ascii="Times New Roman" w:hAnsi="Times New Roman" w:cs="Times New Roman"/>
          <w:i/>
          <w:iCs/>
        </w:rPr>
        <w:t>Am J Prev Med</w:t>
      </w:r>
      <w:r w:rsidRPr="008B7713">
        <w:rPr>
          <w:rFonts w:ascii="Times New Roman" w:hAnsi="Times New Roman" w:cs="Times New Roman"/>
        </w:rPr>
        <w:t xml:space="preserve">. 2019;56(5):689-697. </w:t>
      </w:r>
      <w:proofErr w:type="gramStart"/>
      <w:r w:rsidRPr="008B7713">
        <w:rPr>
          <w:rFonts w:ascii="Times New Roman" w:hAnsi="Times New Roman" w:cs="Times New Roman"/>
        </w:rPr>
        <w:t>doi:10.1016/j.amepre</w:t>
      </w:r>
      <w:proofErr w:type="gramEnd"/>
      <w:r w:rsidRPr="008B7713">
        <w:rPr>
          <w:rFonts w:ascii="Times New Roman" w:hAnsi="Times New Roman" w:cs="Times New Roman"/>
        </w:rPr>
        <w:t>.2018.11.016</w:t>
      </w:r>
    </w:p>
    <w:p w14:paraId="4271819A"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4.</w:t>
      </w:r>
      <w:r w:rsidRPr="008B7713">
        <w:rPr>
          <w:rFonts w:ascii="Times New Roman" w:hAnsi="Times New Roman" w:cs="Times New Roman"/>
        </w:rPr>
        <w:tab/>
        <w:t xml:space="preserve">Maynard M, Andrade L, </w:t>
      </w:r>
      <w:proofErr w:type="spellStart"/>
      <w:r w:rsidRPr="008B7713">
        <w:rPr>
          <w:rFonts w:ascii="Times New Roman" w:hAnsi="Times New Roman" w:cs="Times New Roman"/>
        </w:rPr>
        <w:t>Packull</w:t>
      </w:r>
      <w:proofErr w:type="spellEnd"/>
      <w:r w:rsidRPr="008B7713">
        <w:rPr>
          <w:rFonts w:ascii="Times New Roman" w:hAnsi="Times New Roman" w:cs="Times New Roman"/>
        </w:rPr>
        <w:t xml:space="preserve">-McCormick S, Perlman CM, Leos-Toro C, Kirkpatrick SI. Food Insecurity and Mental Health among Females in High-Income Countries. </w:t>
      </w:r>
      <w:r w:rsidRPr="008B7713">
        <w:rPr>
          <w:rFonts w:ascii="Times New Roman" w:hAnsi="Times New Roman" w:cs="Times New Roman"/>
          <w:i/>
          <w:iCs/>
        </w:rPr>
        <w:t>Int J Environ Res Public Health</w:t>
      </w:r>
      <w:r w:rsidRPr="008B7713">
        <w:rPr>
          <w:rFonts w:ascii="Times New Roman" w:hAnsi="Times New Roman" w:cs="Times New Roman"/>
        </w:rPr>
        <w:t>. 2018;15(7):1424. doi:10.3390/ijerph15071424</w:t>
      </w:r>
    </w:p>
    <w:p w14:paraId="1785C46B"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5.</w:t>
      </w:r>
      <w:r w:rsidRPr="008B7713">
        <w:rPr>
          <w:rFonts w:ascii="Times New Roman" w:hAnsi="Times New Roman" w:cs="Times New Roman"/>
        </w:rPr>
        <w:tab/>
        <w:t xml:space="preserve">Rabbitt M, Reed-Jones, M, Hales L, Burke M. </w:t>
      </w:r>
      <w:r w:rsidRPr="008B7713">
        <w:rPr>
          <w:rFonts w:ascii="Times New Roman" w:hAnsi="Times New Roman" w:cs="Times New Roman"/>
          <w:i/>
          <w:iCs/>
        </w:rPr>
        <w:t>Household Food Security in the United States in 2023</w:t>
      </w:r>
      <w:r w:rsidRPr="008B7713">
        <w:rPr>
          <w:rFonts w:ascii="Times New Roman" w:hAnsi="Times New Roman" w:cs="Times New Roman"/>
        </w:rPr>
        <w:t xml:space="preserve">. United States. Department of Agriculture. Economic Research Service.; 2024. </w:t>
      </w:r>
      <w:proofErr w:type="spellStart"/>
      <w:proofErr w:type="gramStart"/>
      <w:r w:rsidRPr="008B7713">
        <w:rPr>
          <w:rFonts w:ascii="Times New Roman" w:hAnsi="Times New Roman" w:cs="Times New Roman"/>
        </w:rPr>
        <w:t>doi:https</w:t>
      </w:r>
      <w:proofErr w:type="spellEnd"/>
      <w:r w:rsidRPr="008B7713">
        <w:rPr>
          <w:rFonts w:ascii="Times New Roman" w:hAnsi="Times New Roman" w:cs="Times New Roman"/>
        </w:rPr>
        <w:t>://doi.org/10113/8583175</w:t>
      </w:r>
      <w:proofErr w:type="gramEnd"/>
    </w:p>
    <w:p w14:paraId="01CCFDB0"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6.</w:t>
      </w:r>
      <w:r w:rsidRPr="008B7713">
        <w:rPr>
          <w:rFonts w:ascii="Times New Roman" w:hAnsi="Times New Roman" w:cs="Times New Roman"/>
        </w:rPr>
        <w:tab/>
        <w:t xml:space="preserve">Wang H, El-Abbadi N. Food Insecurity, Race and Ethnicity, and Cognitive Function Among United States Older Adults. </w:t>
      </w:r>
      <w:r w:rsidRPr="008B7713">
        <w:rPr>
          <w:rFonts w:ascii="Times New Roman" w:hAnsi="Times New Roman" w:cs="Times New Roman"/>
          <w:i/>
          <w:iCs/>
        </w:rPr>
        <w:t xml:space="preserve">J </w:t>
      </w:r>
      <w:proofErr w:type="spellStart"/>
      <w:r w:rsidRPr="008B7713">
        <w:rPr>
          <w:rFonts w:ascii="Times New Roman" w:hAnsi="Times New Roman" w:cs="Times New Roman"/>
          <w:i/>
          <w:iCs/>
        </w:rPr>
        <w:t>Nutr</w:t>
      </w:r>
      <w:proofErr w:type="spellEnd"/>
      <w:r w:rsidRPr="008B7713">
        <w:rPr>
          <w:rFonts w:ascii="Times New Roman" w:hAnsi="Times New Roman" w:cs="Times New Roman"/>
        </w:rPr>
        <w:t xml:space="preserve">. 2024;154(1):233-242. </w:t>
      </w:r>
      <w:proofErr w:type="gramStart"/>
      <w:r w:rsidRPr="008B7713">
        <w:rPr>
          <w:rFonts w:ascii="Times New Roman" w:hAnsi="Times New Roman" w:cs="Times New Roman"/>
        </w:rPr>
        <w:t>doi:10.1016/j.tjnut</w:t>
      </w:r>
      <w:proofErr w:type="gramEnd"/>
      <w:r w:rsidRPr="008B7713">
        <w:rPr>
          <w:rFonts w:ascii="Times New Roman" w:hAnsi="Times New Roman" w:cs="Times New Roman"/>
        </w:rPr>
        <w:t>.2023.11.015</w:t>
      </w:r>
    </w:p>
    <w:p w14:paraId="302D00FC"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7.</w:t>
      </w:r>
      <w:r w:rsidRPr="008B7713">
        <w:rPr>
          <w:rFonts w:ascii="Times New Roman" w:hAnsi="Times New Roman" w:cs="Times New Roman"/>
        </w:rPr>
        <w:tab/>
        <w:t xml:space="preserve">Odoms-Young A, Brown AGM, Agurs-Collins T, Glanz K. Food Insecurity, Neighborhood Food Environment, and Health Disparities: State of the Science, Research Gaps and Opportunities. </w:t>
      </w:r>
      <w:r w:rsidRPr="008B7713">
        <w:rPr>
          <w:rFonts w:ascii="Times New Roman" w:hAnsi="Times New Roman" w:cs="Times New Roman"/>
          <w:i/>
          <w:iCs/>
        </w:rPr>
        <w:t xml:space="preserve">Am J Clin </w:t>
      </w:r>
      <w:proofErr w:type="spellStart"/>
      <w:r w:rsidRPr="008B7713">
        <w:rPr>
          <w:rFonts w:ascii="Times New Roman" w:hAnsi="Times New Roman" w:cs="Times New Roman"/>
          <w:i/>
          <w:iCs/>
        </w:rPr>
        <w:t>Nutr</w:t>
      </w:r>
      <w:proofErr w:type="spellEnd"/>
      <w:r w:rsidRPr="008B7713">
        <w:rPr>
          <w:rFonts w:ascii="Times New Roman" w:hAnsi="Times New Roman" w:cs="Times New Roman"/>
        </w:rPr>
        <w:t xml:space="preserve">. 2024;119(3):850-861. </w:t>
      </w:r>
      <w:proofErr w:type="gramStart"/>
      <w:r w:rsidRPr="008B7713">
        <w:rPr>
          <w:rFonts w:ascii="Times New Roman" w:hAnsi="Times New Roman" w:cs="Times New Roman"/>
        </w:rPr>
        <w:t>doi:10.1016/j.ajcnut</w:t>
      </w:r>
      <w:proofErr w:type="gramEnd"/>
      <w:r w:rsidRPr="008B7713">
        <w:rPr>
          <w:rFonts w:ascii="Times New Roman" w:hAnsi="Times New Roman" w:cs="Times New Roman"/>
        </w:rPr>
        <w:t>.2023.12.019</w:t>
      </w:r>
    </w:p>
    <w:p w14:paraId="498B984B"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8.</w:t>
      </w:r>
      <w:r w:rsidRPr="008B7713">
        <w:rPr>
          <w:rFonts w:ascii="Times New Roman" w:hAnsi="Times New Roman" w:cs="Times New Roman"/>
        </w:rPr>
        <w:tab/>
        <w:t xml:space="preserve">Mobley C, Luo Y, Fernandez M, Hossfeld L. Social Determinants of Health and College Food Insecurity. </w:t>
      </w:r>
      <w:r w:rsidRPr="008B7713">
        <w:rPr>
          <w:rFonts w:ascii="Times New Roman" w:hAnsi="Times New Roman" w:cs="Times New Roman"/>
          <w:i/>
          <w:iCs/>
        </w:rPr>
        <w:t>Nutrients</w:t>
      </w:r>
      <w:r w:rsidRPr="008B7713">
        <w:rPr>
          <w:rFonts w:ascii="Times New Roman" w:hAnsi="Times New Roman" w:cs="Times New Roman"/>
        </w:rPr>
        <w:t>. 2024;16(9):1391. doi:10.3390/nu16091391</w:t>
      </w:r>
    </w:p>
    <w:p w14:paraId="0B5E5070"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9.</w:t>
      </w:r>
      <w:r w:rsidRPr="008B7713">
        <w:rPr>
          <w:rFonts w:ascii="Times New Roman" w:hAnsi="Times New Roman" w:cs="Times New Roman"/>
        </w:rPr>
        <w:tab/>
        <w:t xml:space="preserve">Cowan-Pyle AE, Bailey RL, Gao J, et al. Dietary Quality and Diet-Related Factors Among Emerging Adults (18-23 y) in the United States Are a Cause for Concern: National Health and Nutrition Examination Survey 2015-2018. </w:t>
      </w:r>
      <w:r w:rsidRPr="008B7713">
        <w:rPr>
          <w:rFonts w:ascii="Times New Roman" w:hAnsi="Times New Roman" w:cs="Times New Roman"/>
          <w:i/>
          <w:iCs/>
        </w:rPr>
        <w:t xml:space="preserve">J </w:t>
      </w:r>
      <w:proofErr w:type="spellStart"/>
      <w:r w:rsidRPr="008B7713">
        <w:rPr>
          <w:rFonts w:ascii="Times New Roman" w:hAnsi="Times New Roman" w:cs="Times New Roman"/>
          <w:i/>
          <w:iCs/>
        </w:rPr>
        <w:t>Nutr</w:t>
      </w:r>
      <w:proofErr w:type="spellEnd"/>
      <w:r w:rsidRPr="008B7713">
        <w:rPr>
          <w:rFonts w:ascii="Times New Roman" w:hAnsi="Times New Roman" w:cs="Times New Roman"/>
        </w:rPr>
        <w:t xml:space="preserve">. 2024;154(8):2524-2533. </w:t>
      </w:r>
      <w:proofErr w:type="gramStart"/>
      <w:r w:rsidRPr="008B7713">
        <w:rPr>
          <w:rFonts w:ascii="Times New Roman" w:hAnsi="Times New Roman" w:cs="Times New Roman"/>
        </w:rPr>
        <w:t>doi:10.1016/j.tjnut</w:t>
      </w:r>
      <w:proofErr w:type="gramEnd"/>
      <w:r w:rsidRPr="008B7713">
        <w:rPr>
          <w:rFonts w:ascii="Times New Roman" w:hAnsi="Times New Roman" w:cs="Times New Roman"/>
        </w:rPr>
        <w:t>.2024.06.015</w:t>
      </w:r>
    </w:p>
    <w:p w14:paraId="3C408E56"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10.</w:t>
      </w:r>
      <w:r w:rsidRPr="008B7713">
        <w:rPr>
          <w:rFonts w:ascii="Times New Roman" w:hAnsi="Times New Roman" w:cs="Times New Roman"/>
        </w:rPr>
        <w:tab/>
        <w:t xml:space="preserve">Ma C, Ho SKM, Singh S, Choi MY. Gender Disparities in Food Security, Dietary Intake, and Nutritional Health in the United States. </w:t>
      </w:r>
      <w:r w:rsidRPr="008B7713">
        <w:rPr>
          <w:rFonts w:ascii="Times New Roman" w:hAnsi="Times New Roman" w:cs="Times New Roman"/>
          <w:i/>
          <w:iCs/>
        </w:rPr>
        <w:t>Am J Gastroenterol</w:t>
      </w:r>
      <w:r w:rsidRPr="008B7713">
        <w:rPr>
          <w:rFonts w:ascii="Times New Roman" w:hAnsi="Times New Roman" w:cs="Times New Roman"/>
        </w:rPr>
        <w:t>. 2021;116(3):584-592. doi:10.14309/ajg.0000000000001118</w:t>
      </w:r>
    </w:p>
    <w:p w14:paraId="13A1552F"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11.</w:t>
      </w:r>
      <w:r w:rsidRPr="008B7713">
        <w:rPr>
          <w:rFonts w:ascii="Times New Roman" w:hAnsi="Times New Roman" w:cs="Times New Roman"/>
        </w:rPr>
        <w:tab/>
        <w:t xml:space="preserve">Yates J, Deeney M, </w:t>
      </w:r>
      <w:proofErr w:type="spellStart"/>
      <w:r w:rsidRPr="008B7713">
        <w:rPr>
          <w:rFonts w:ascii="Times New Roman" w:hAnsi="Times New Roman" w:cs="Times New Roman"/>
        </w:rPr>
        <w:t>Rolker</w:t>
      </w:r>
      <w:proofErr w:type="spellEnd"/>
      <w:r w:rsidRPr="008B7713">
        <w:rPr>
          <w:rFonts w:ascii="Times New Roman" w:hAnsi="Times New Roman" w:cs="Times New Roman"/>
        </w:rPr>
        <w:t xml:space="preserve"> HB, White H, </w:t>
      </w:r>
      <w:proofErr w:type="spellStart"/>
      <w:r w:rsidRPr="008B7713">
        <w:rPr>
          <w:rFonts w:ascii="Times New Roman" w:hAnsi="Times New Roman" w:cs="Times New Roman"/>
        </w:rPr>
        <w:t>Kalamatianou</w:t>
      </w:r>
      <w:proofErr w:type="spellEnd"/>
      <w:r w:rsidRPr="008B7713">
        <w:rPr>
          <w:rFonts w:ascii="Times New Roman" w:hAnsi="Times New Roman" w:cs="Times New Roman"/>
        </w:rPr>
        <w:t xml:space="preserve"> S, Kadiyala S. A systematic scoping review of environmental, food security and health impacts of food system plastics. </w:t>
      </w:r>
      <w:r w:rsidRPr="008B7713">
        <w:rPr>
          <w:rFonts w:ascii="Times New Roman" w:hAnsi="Times New Roman" w:cs="Times New Roman"/>
          <w:i/>
          <w:iCs/>
        </w:rPr>
        <w:t>Nat Food</w:t>
      </w:r>
      <w:r w:rsidRPr="008B7713">
        <w:rPr>
          <w:rFonts w:ascii="Times New Roman" w:hAnsi="Times New Roman" w:cs="Times New Roman"/>
        </w:rPr>
        <w:t>. 2021;2(2):80-87. doi:10.1038/s43016-021-00221-z</w:t>
      </w:r>
    </w:p>
    <w:p w14:paraId="2F4D9AAE"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12.</w:t>
      </w:r>
      <w:r w:rsidRPr="008B7713">
        <w:rPr>
          <w:rFonts w:ascii="Times New Roman" w:hAnsi="Times New Roman" w:cs="Times New Roman"/>
        </w:rPr>
        <w:tab/>
        <w:t xml:space="preserve">Buckley JP, Kim H, Wong E, Rebholz CM. Ultra-processed food consumption and exposure to phthalates and bisphenols in the US National Health and Nutrition Examination Survey, 2013-2014. </w:t>
      </w:r>
      <w:r w:rsidRPr="008B7713">
        <w:rPr>
          <w:rFonts w:ascii="Times New Roman" w:hAnsi="Times New Roman" w:cs="Times New Roman"/>
          <w:i/>
          <w:iCs/>
        </w:rPr>
        <w:t>Environ Int</w:t>
      </w:r>
      <w:r w:rsidRPr="008B7713">
        <w:rPr>
          <w:rFonts w:ascii="Times New Roman" w:hAnsi="Times New Roman" w:cs="Times New Roman"/>
        </w:rPr>
        <w:t xml:space="preserve">. </w:t>
      </w:r>
      <w:proofErr w:type="gramStart"/>
      <w:r w:rsidRPr="008B7713">
        <w:rPr>
          <w:rFonts w:ascii="Times New Roman" w:hAnsi="Times New Roman" w:cs="Times New Roman"/>
        </w:rPr>
        <w:t>2019;131:105057</w:t>
      </w:r>
      <w:proofErr w:type="gramEnd"/>
      <w:r w:rsidRPr="008B7713">
        <w:rPr>
          <w:rFonts w:ascii="Times New Roman" w:hAnsi="Times New Roman" w:cs="Times New Roman"/>
        </w:rPr>
        <w:t xml:space="preserve">. </w:t>
      </w:r>
      <w:proofErr w:type="gramStart"/>
      <w:r w:rsidRPr="008B7713">
        <w:rPr>
          <w:rFonts w:ascii="Times New Roman" w:hAnsi="Times New Roman" w:cs="Times New Roman"/>
        </w:rPr>
        <w:t>doi:10.1016/j.envint</w:t>
      </w:r>
      <w:proofErr w:type="gramEnd"/>
      <w:r w:rsidRPr="008B7713">
        <w:rPr>
          <w:rFonts w:ascii="Times New Roman" w:hAnsi="Times New Roman" w:cs="Times New Roman"/>
        </w:rPr>
        <w:t>.2019.105057</w:t>
      </w:r>
    </w:p>
    <w:p w14:paraId="4F33DE4D"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13.</w:t>
      </w:r>
      <w:r w:rsidRPr="008B7713">
        <w:rPr>
          <w:rFonts w:ascii="Times New Roman" w:hAnsi="Times New Roman" w:cs="Times New Roman"/>
        </w:rPr>
        <w:tab/>
      </w:r>
      <w:proofErr w:type="spellStart"/>
      <w:r w:rsidRPr="008B7713">
        <w:rPr>
          <w:rFonts w:ascii="Times New Roman" w:hAnsi="Times New Roman" w:cs="Times New Roman"/>
        </w:rPr>
        <w:t>Ziso</w:t>
      </w:r>
      <w:proofErr w:type="spellEnd"/>
      <w:r w:rsidRPr="008B7713">
        <w:rPr>
          <w:rFonts w:ascii="Times New Roman" w:hAnsi="Times New Roman" w:cs="Times New Roman"/>
        </w:rPr>
        <w:t xml:space="preserve"> D, Chun OK, Puglisi MJ. Increasing Access to Healthy Foods through Improving Food Environment: A Review of Mixed Methods Intervention Studies with Residents of Low-Income Communities. </w:t>
      </w:r>
      <w:r w:rsidRPr="008B7713">
        <w:rPr>
          <w:rFonts w:ascii="Times New Roman" w:hAnsi="Times New Roman" w:cs="Times New Roman"/>
          <w:i/>
          <w:iCs/>
        </w:rPr>
        <w:t>Nutrients</w:t>
      </w:r>
      <w:r w:rsidRPr="008B7713">
        <w:rPr>
          <w:rFonts w:ascii="Times New Roman" w:hAnsi="Times New Roman" w:cs="Times New Roman"/>
        </w:rPr>
        <w:t>. 2022;14(11):2278. doi:10.3390/nu14112278</w:t>
      </w:r>
    </w:p>
    <w:p w14:paraId="13E408B1"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14.</w:t>
      </w:r>
      <w:r w:rsidRPr="008B7713">
        <w:rPr>
          <w:rFonts w:ascii="Times New Roman" w:hAnsi="Times New Roman" w:cs="Times New Roman"/>
        </w:rPr>
        <w:tab/>
        <w:t xml:space="preserve">Ruggiero E, Di Castelnuovo A, Costanzo S, et al. Dietary Polyphenol Intake in Relation to Ultra-Processed Food Consumption in a Mediterranean Population-Based Cohort: Findings from the Moli-Sani Study. In: </w:t>
      </w:r>
      <w:r w:rsidRPr="008B7713">
        <w:rPr>
          <w:rFonts w:ascii="Times New Roman" w:hAnsi="Times New Roman" w:cs="Times New Roman"/>
          <w:i/>
          <w:iCs/>
        </w:rPr>
        <w:t>The 14th European Nutrition Conference FENS 2023</w:t>
      </w:r>
      <w:r w:rsidRPr="008B7713">
        <w:rPr>
          <w:rFonts w:ascii="Times New Roman" w:hAnsi="Times New Roman" w:cs="Times New Roman"/>
        </w:rPr>
        <w:t>. MDPI; 2024:168. doi:10.3390/proceedings2023091168</w:t>
      </w:r>
    </w:p>
    <w:p w14:paraId="2E2E242D"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15.</w:t>
      </w:r>
      <w:r w:rsidRPr="008B7713">
        <w:rPr>
          <w:rFonts w:ascii="Times New Roman" w:hAnsi="Times New Roman" w:cs="Times New Roman"/>
        </w:rPr>
        <w:tab/>
        <w:t xml:space="preserve">Martínez Steele E, Khandpur N, Da Costa Louzada ML, Monteiro CA. Association between dietary contribution of ultra-processed foods and urinary concentrations of phthalates and bisphenol in a nationally representative sample of the US population aged 6 years and older. Foo LH, ed. </w:t>
      </w:r>
      <w:r w:rsidRPr="008B7713">
        <w:rPr>
          <w:rFonts w:ascii="Times New Roman" w:hAnsi="Times New Roman" w:cs="Times New Roman"/>
          <w:i/>
          <w:iCs/>
        </w:rPr>
        <w:t>PLOS ONE</w:t>
      </w:r>
      <w:r w:rsidRPr="008B7713">
        <w:rPr>
          <w:rFonts w:ascii="Times New Roman" w:hAnsi="Times New Roman" w:cs="Times New Roman"/>
        </w:rPr>
        <w:t>. 2020;15(7</w:t>
      </w:r>
      <w:proofErr w:type="gramStart"/>
      <w:r w:rsidRPr="008B7713">
        <w:rPr>
          <w:rFonts w:ascii="Times New Roman" w:hAnsi="Times New Roman" w:cs="Times New Roman"/>
        </w:rPr>
        <w:t>):e</w:t>
      </w:r>
      <w:proofErr w:type="gramEnd"/>
      <w:r w:rsidRPr="008B7713">
        <w:rPr>
          <w:rFonts w:ascii="Times New Roman" w:hAnsi="Times New Roman" w:cs="Times New Roman"/>
        </w:rPr>
        <w:t xml:space="preserve">0236738. </w:t>
      </w:r>
      <w:proofErr w:type="gramStart"/>
      <w:r w:rsidRPr="008B7713">
        <w:rPr>
          <w:rFonts w:ascii="Times New Roman" w:hAnsi="Times New Roman" w:cs="Times New Roman"/>
        </w:rPr>
        <w:t>doi:10.1371/journal.pone</w:t>
      </w:r>
      <w:proofErr w:type="gramEnd"/>
      <w:r w:rsidRPr="008B7713">
        <w:rPr>
          <w:rFonts w:ascii="Times New Roman" w:hAnsi="Times New Roman" w:cs="Times New Roman"/>
        </w:rPr>
        <w:t>.0236738</w:t>
      </w:r>
    </w:p>
    <w:p w14:paraId="3B2E9CD4"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16.</w:t>
      </w:r>
      <w:r w:rsidRPr="008B7713">
        <w:rPr>
          <w:rFonts w:ascii="Times New Roman" w:hAnsi="Times New Roman" w:cs="Times New Roman"/>
        </w:rPr>
        <w:tab/>
      </w:r>
      <w:r w:rsidRPr="008B7713">
        <w:rPr>
          <w:rFonts w:ascii="Times New Roman" w:hAnsi="Times New Roman" w:cs="Times New Roman"/>
          <w:i/>
          <w:iCs/>
        </w:rPr>
        <w:t>Phenols/Phenoxy Acids</w:t>
      </w:r>
      <w:r w:rsidRPr="008B7713">
        <w:rPr>
          <w:rFonts w:ascii="Times New Roman" w:hAnsi="Times New Roman" w:cs="Times New Roman"/>
        </w:rPr>
        <w:t>. Agency for Toxic Substances and Disease Registry; 2008. https://wwwn.cdc.gov/tsp/substances/ToxChemicalListing.aspx?toxid=40</w:t>
      </w:r>
    </w:p>
    <w:p w14:paraId="064339A0"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17.</w:t>
      </w:r>
      <w:r w:rsidRPr="008B7713">
        <w:rPr>
          <w:rFonts w:ascii="Times New Roman" w:hAnsi="Times New Roman" w:cs="Times New Roman"/>
        </w:rPr>
        <w:tab/>
        <w:t xml:space="preserve">Xu Z, Tian L, Liu L, Goodyer CG, Hales BF, Bayen S. Food Thermal Labels are a Source of Dietary Exposure to Bisphenol S and Other Color Developers. </w:t>
      </w:r>
      <w:r w:rsidRPr="008B7713">
        <w:rPr>
          <w:rFonts w:ascii="Times New Roman" w:hAnsi="Times New Roman" w:cs="Times New Roman"/>
          <w:i/>
          <w:iCs/>
        </w:rPr>
        <w:t>Environ Sci Technol</w:t>
      </w:r>
      <w:r w:rsidRPr="008B7713">
        <w:rPr>
          <w:rFonts w:ascii="Times New Roman" w:hAnsi="Times New Roman" w:cs="Times New Roman"/>
        </w:rPr>
        <w:t xml:space="preserve">. 2023;57(12):4984-4991. </w:t>
      </w:r>
      <w:proofErr w:type="gramStart"/>
      <w:r w:rsidRPr="008B7713">
        <w:rPr>
          <w:rFonts w:ascii="Times New Roman" w:hAnsi="Times New Roman" w:cs="Times New Roman"/>
        </w:rPr>
        <w:t>doi:10.1021/acs.est</w:t>
      </w:r>
      <w:proofErr w:type="gramEnd"/>
      <w:r w:rsidRPr="008B7713">
        <w:rPr>
          <w:rFonts w:ascii="Times New Roman" w:hAnsi="Times New Roman" w:cs="Times New Roman"/>
        </w:rPr>
        <w:t>.2c09390</w:t>
      </w:r>
    </w:p>
    <w:p w14:paraId="5C0662F9"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18.</w:t>
      </w:r>
      <w:r w:rsidRPr="008B7713">
        <w:rPr>
          <w:rFonts w:ascii="Times New Roman" w:hAnsi="Times New Roman" w:cs="Times New Roman"/>
        </w:rPr>
        <w:tab/>
        <w:t xml:space="preserve">Martínez Steele E, Khandpur N, da Costa Louzada ML, Monteiro CA. Association between dietary contribution of ultra-processed foods and urinary concentrations of phthalates and bisphenol in a nationally representative sample of the US population aged 6 years and older. </w:t>
      </w:r>
      <w:proofErr w:type="spellStart"/>
      <w:r w:rsidRPr="008B7713">
        <w:rPr>
          <w:rFonts w:ascii="Times New Roman" w:hAnsi="Times New Roman" w:cs="Times New Roman"/>
          <w:i/>
          <w:iCs/>
        </w:rPr>
        <w:t>PloS</w:t>
      </w:r>
      <w:proofErr w:type="spellEnd"/>
      <w:r w:rsidRPr="008B7713">
        <w:rPr>
          <w:rFonts w:ascii="Times New Roman" w:hAnsi="Times New Roman" w:cs="Times New Roman"/>
          <w:i/>
          <w:iCs/>
        </w:rPr>
        <w:t xml:space="preserve"> One</w:t>
      </w:r>
      <w:r w:rsidRPr="008B7713">
        <w:rPr>
          <w:rFonts w:ascii="Times New Roman" w:hAnsi="Times New Roman" w:cs="Times New Roman"/>
        </w:rPr>
        <w:t>. 2020;15(7</w:t>
      </w:r>
      <w:proofErr w:type="gramStart"/>
      <w:r w:rsidRPr="008B7713">
        <w:rPr>
          <w:rFonts w:ascii="Times New Roman" w:hAnsi="Times New Roman" w:cs="Times New Roman"/>
        </w:rPr>
        <w:t>):e</w:t>
      </w:r>
      <w:proofErr w:type="gramEnd"/>
      <w:r w:rsidRPr="008B7713">
        <w:rPr>
          <w:rFonts w:ascii="Times New Roman" w:hAnsi="Times New Roman" w:cs="Times New Roman"/>
        </w:rPr>
        <w:t xml:space="preserve">0236738. </w:t>
      </w:r>
      <w:proofErr w:type="gramStart"/>
      <w:r w:rsidRPr="008B7713">
        <w:rPr>
          <w:rFonts w:ascii="Times New Roman" w:hAnsi="Times New Roman" w:cs="Times New Roman"/>
        </w:rPr>
        <w:t>doi:10.1371/journal.pone</w:t>
      </w:r>
      <w:proofErr w:type="gramEnd"/>
      <w:r w:rsidRPr="008B7713">
        <w:rPr>
          <w:rFonts w:ascii="Times New Roman" w:hAnsi="Times New Roman" w:cs="Times New Roman"/>
        </w:rPr>
        <w:t>.0236738</w:t>
      </w:r>
    </w:p>
    <w:p w14:paraId="7C0FDEF8"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19.</w:t>
      </w:r>
      <w:r w:rsidRPr="008B7713">
        <w:rPr>
          <w:rFonts w:ascii="Times New Roman" w:hAnsi="Times New Roman" w:cs="Times New Roman"/>
        </w:rPr>
        <w:tab/>
        <w:t xml:space="preserve">Gee GC, Payne-Sturges DC. Environmental health disparities: a framework integrating psychosocial and environmental concepts. </w:t>
      </w:r>
      <w:r w:rsidRPr="008B7713">
        <w:rPr>
          <w:rFonts w:ascii="Times New Roman" w:hAnsi="Times New Roman" w:cs="Times New Roman"/>
          <w:i/>
          <w:iCs/>
        </w:rPr>
        <w:t xml:space="preserve">Environ Health </w:t>
      </w:r>
      <w:proofErr w:type="spellStart"/>
      <w:r w:rsidRPr="008B7713">
        <w:rPr>
          <w:rFonts w:ascii="Times New Roman" w:hAnsi="Times New Roman" w:cs="Times New Roman"/>
          <w:i/>
          <w:iCs/>
        </w:rPr>
        <w:t>Perspect</w:t>
      </w:r>
      <w:proofErr w:type="spellEnd"/>
      <w:r w:rsidRPr="008B7713">
        <w:rPr>
          <w:rFonts w:ascii="Times New Roman" w:hAnsi="Times New Roman" w:cs="Times New Roman"/>
        </w:rPr>
        <w:t>. 2004;112(17):1645-1653. doi:10.1289/ehp.7074</w:t>
      </w:r>
    </w:p>
    <w:p w14:paraId="07E9BB3F"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20.</w:t>
      </w:r>
      <w:r w:rsidRPr="008B7713">
        <w:rPr>
          <w:rFonts w:ascii="Times New Roman" w:hAnsi="Times New Roman" w:cs="Times New Roman"/>
        </w:rPr>
        <w:tab/>
      </w:r>
      <w:r w:rsidRPr="008B7713">
        <w:rPr>
          <w:rFonts w:ascii="Times New Roman" w:hAnsi="Times New Roman" w:cs="Times New Roman"/>
          <w:i/>
          <w:iCs/>
        </w:rPr>
        <w:t>NHANES - About the National Health and Nutrition Examination Survey</w:t>
      </w:r>
      <w:r w:rsidRPr="008B7713">
        <w:rPr>
          <w:rFonts w:ascii="Times New Roman" w:hAnsi="Times New Roman" w:cs="Times New Roman"/>
        </w:rPr>
        <w:t>. 2023. https://www.cdc.gov/nchs/nhanes/about_nhanes.htm</w:t>
      </w:r>
    </w:p>
    <w:p w14:paraId="2CC109A0"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21.</w:t>
      </w:r>
      <w:r w:rsidRPr="008B7713">
        <w:rPr>
          <w:rFonts w:ascii="Times New Roman" w:hAnsi="Times New Roman" w:cs="Times New Roman"/>
        </w:rPr>
        <w:tab/>
        <w:t>National Health and Nutrition Examination Survey, 2015−2018: Sample Design and Estimation Procedures. Published online April 2020. https://www.cdc.gov/nchs/data/series/sr_02/sr02-184-508.pdf</w:t>
      </w:r>
    </w:p>
    <w:p w14:paraId="049AF946"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22.</w:t>
      </w:r>
      <w:r w:rsidRPr="008B7713">
        <w:rPr>
          <w:rFonts w:ascii="Times New Roman" w:hAnsi="Times New Roman" w:cs="Times New Roman"/>
        </w:rPr>
        <w:tab/>
      </w:r>
      <w:r w:rsidRPr="008B7713">
        <w:rPr>
          <w:rFonts w:ascii="Times New Roman" w:hAnsi="Times New Roman" w:cs="Times New Roman"/>
          <w:i/>
          <w:iCs/>
        </w:rPr>
        <w:t>Food Security in the U.S. - Survey Tools</w:t>
      </w:r>
      <w:r w:rsidRPr="008B7713">
        <w:rPr>
          <w:rFonts w:ascii="Times New Roman" w:hAnsi="Times New Roman" w:cs="Times New Roman"/>
        </w:rPr>
        <w:t>. United States Department of Agriculture (USDA); 2026. https://www.ers.usda.gov/topics/food-nutrition-assistance/food-security-in-the-us/survey-tools</w:t>
      </w:r>
    </w:p>
    <w:p w14:paraId="4859A41B"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23.</w:t>
      </w:r>
      <w:r w:rsidRPr="008B7713">
        <w:rPr>
          <w:rFonts w:ascii="Times New Roman" w:hAnsi="Times New Roman" w:cs="Times New Roman"/>
        </w:rPr>
        <w:tab/>
        <w:t>NHANES 2019-2020 Questionnaire Data Overview. Published online National Health and Nutrition Examination. https://wwwn.cdc.gov/nchs/nhanes/continuousnhanes/overviewquex.aspx?BeginYear=2019</w:t>
      </w:r>
    </w:p>
    <w:p w14:paraId="31F98A0F"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24.</w:t>
      </w:r>
      <w:r w:rsidRPr="008B7713">
        <w:rPr>
          <w:rFonts w:ascii="Times New Roman" w:hAnsi="Times New Roman" w:cs="Times New Roman"/>
        </w:rPr>
        <w:tab/>
        <w:t>Metabolites of phthalates and phthalate alternatives. https://wwwn.cdc.gov/nchs/data/nhanes/public/2017/labmethods/PHTHTE-J-MET-508.pdf</w:t>
      </w:r>
    </w:p>
    <w:p w14:paraId="4D322AA7"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25.</w:t>
      </w:r>
      <w:r w:rsidRPr="008B7713">
        <w:rPr>
          <w:rFonts w:ascii="Times New Roman" w:hAnsi="Times New Roman" w:cs="Times New Roman"/>
        </w:rPr>
        <w:tab/>
        <w:t>Environmental Phenols (EPH_E). Published online 2011. https://wwwn.cdc.gov/Nchs/Data/Nhanes/Public/2007/DataFiles/EPH_E.htm</w:t>
      </w:r>
    </w:p>
    <w:p w14:paraId="189B3445"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26.</w:t>
      </w:r>
      <w:r w:rsidRPr="008B7713">
        <w:rPr>
          <w:rFonts w:ascii="Times New Roman" w:hAnsi="Times New Roman" w:cs="Times New Roman"/>
        </w:rPr>
        <w:tab/>
        <w:t xml:space="preserve">James-Todd T, Stahlhut R, Meeker JD, et al. Urinary phthalate metabolite concentrations and diabetes among women in the National Health and Nutrition Examination Survey (NHANES) 2001-2008. </w:t>
      </w:r>
      <w:r w:rsidRPr="008B7713">
        <w:rPr>
          <w:rFonts w:ascii="Times New Roman" w:hAnsi="Times New Roman" w:cs="Times New Roman"/>
          <w:i/>
          <w:iCs/>
        </w:rPr>
        <w:t xml:space="preserve">Environ Health </w:t>
      </w:r>
      <w:proofErr w:type="spellStart"/>
      <w:r w:rsidRPr="008B7713">
        <w:rPr>
          <w:rFonts w:ascii="Times New Roman" w:hAnsi="Times New Roman" w:cs="Times New Roman"/>
          <w:i/>
          <w:iCs/>
        </w:rPr>
        <w:t>Perspect</w:t>
      </w:r>
      <w:proofErr w:type="spellEnd"/>
      <w:r w:rsidRPr="008B7713">
        <w:rPr>
          <w:rFonts w:ascii="Times New Roman" w:hAnsi="Times New Roman" w:cs="Times New Roman"/>
        </w:rPr>
        <w:t>. 2012;120(9):1307-1313. doi:10.1289/ehp.1104717</w:t>
      </w:r>
    </w:p>
    <w:p w14:paraId="1530E840"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27.</w:t>
      </w:r>
      <w:r w:rsidRPr="008B7713">
        <w:rPr>
          <w:rFonts w:ascii="Times New Roman" w:hAnsi="Times New Roman" w:cs="Times New Roman"/>
        </w:rPr>
        <w:tab/>
        <w:t>Personal Care and Consumer Product Chemicals and Metabolites (EPHPP_I). Published online January 2019. https://wwwn.cdc.gov/Nchs/Data/Nhanes/Public/2015/DataFiles/EPHPP_I.htm</w:t>
      </w:r>
    </w:p>
    <w:p w14:paraId="104AA709"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28.</w:t>
      </w:r>
      <w:r w:rsidRPr="008B7713">
        <w:rPr>
          <w:rFonts w:ascii="Times New Roman" w:hAnsi="Times New Roman" w:cs="Times New Roman"/>
        </w:rPr>
        <w:tab/>
        <w:t>Hartle JC, Navas-</w:t>
      </w:r>
      <w:proofErr w:type="spellStart"/>
      <w:r w:rsidRPr="008B7713">
        <w:rPr>
          <w:rFonts w:ascii="Times New Roman" w:hAnsi="Times New Roman" w:cs="Times New Roman"/>
        </w:rPr>
        <w:t>Acien</w:t>
      </w:r>
      <w:proofErr w:type="spellEnd"/>
      <w:r w:rsidRPr="008B7713">
        <w:rPr>
          <w:rFonts w:ascii="Times New Roman" w:hAnsi="Times New Roman" w:cs="Times New Roman"/>
        </w:rPr>
        <w:t xml:space="preserve"> A, Lawrence RS. The consumption of canned food and beverages and urinary Bisphenol A concentrations in NHANES 2003-2008. </w:t>
      </w:r>
      <w:r w:rsidRPr="008B7713">
        <w:rPr>
          <w:rFonts w:ascii="Times New Roman" w:hAnsi="Times New Roman" w:cs="Times New Roman"/>
          <w:i/>
          <w:iCs/>
        </w:rPr>
        <w:t>Environ Res</w:t>
      </w:r>
      <w:r w:rsidRPr="008B7713">
        <w:rPr>
          <w:rFonts w:ascii="Times New Roman" w:hAnsi="Times New Roman" w:cs="Times New Roman"/>
        </w:rPr>
        <w:t xml:space="preserve">. </w:t>
      </w:r>
      <w:proofErr w:type="gramStart"/>
      <w:r w:rsidRPr="008B7713">
        <w:rPr>
          <w:rFonts w:ascii="Times New Roman" w:hAnsi="Times New Roman" w:cs="Times New Roman"/>
        </w:rPr>
        <w:t>2016;150:375</w:t>
      </w:r>
      <w:proofErr w:type="gramEnd"/>
      <w:r w:rsidRPr="008B7713">
        <w:rPr>
          <w:rFonts w:ascii="Times New Roman" w:hAnsi="Times New Roman" w:cs="Times New Roman"/>
        </w:rPr>
        <w:t xml:space="preserve">-382. </w:t>
      </w:r>
      <w:proofErr w:type="gramStart"/>
      <w:r w:rsidRPr="008B7713">
        <w:rPr>
          <w:rFonts w:ascii="Times New Roman" w:hAnsi="Times New Roman" w:cs="Times New Roman"/>
        </w:rPr>
        <w:t>doi:10.1016/j.envres</w:t>
      </w:r>
      <w:proofErr w:type="gramEnd"/>
      <w:r w:rsidRPr="008B7713">
        <w:rPr>
          <w:rFonts w:ascii="Times New Roman" w:hAnsi="Times New Roman" w:cs="Times New Roman"/>
        </w:rPr>
        <w:t>.2016.06.008</w:t>
      </w:r>
    </w:p>
    <w:p w14:paraId="1AF6B833"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29.</w:t>
      </w:r>
      <w:r w:rsidRPr="008B7713">
        <w:rPr>
          <w:rFonts w:ascii="Times New Roman" w:hAnsi="Times New Roman" w:cs="Times New Roman"/>
        </w:rPr>
        <w:tab/>
        <w:t>NHANES Demographics Variable List. https://wwwn.cdc.gov/nchs/nhanes/search/variablelist.aspx?Component=Demographics&amp;Cycle=</w:t>
      </w:r>
    </w:p>
    <w:p w14:paraId="055B5C84" w14:textId="06052B49" w:rsidR="00C0603E" w:rsidRPr="00277350" w:rsidRDefault="00C0603E" w:rsidP="008B7713">
      <w:pPr>
        <w:pStyle w:val="Bibliography"/>
        <w:rPr>
          <w:rFonts w:ascii="Times New Roman" w:hAnsi="Times New Roman" w:cs="Times New Roman"/>
        </w:rPr>
      </w:pPr>
      <w:r w:rsidRPr="00277350">
        <w:rPr>
          <w:rFonts w:ascii="Times New Roman" w:hAnsi="Times New Roman" w:cs="Times New Roman"/>
        </w:rPr>
        <w:fldChar w:fldCharType="end"/>
      </w:r>
    </w:p>
    <w:sectPr w:rsidR="00C0603E" w:rsidRPr="0027735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ickelberry, Marshae" w:date="2026-01-15T19:50:00Z" w:initials="NM">
    <w:p w14:paraId="01EB6662" w14:textId="77777777" w:rsidR="0086036C" w:rsidRDefault="0086036C" w:rsidP="0086036C">
      <w:r>
        <w:rPr>
          <w:rStyle w:val="CommentReference"/>
        </w:rPr>
        <w:annotationRef/>
      </w:r>
      <w:r>
        <w:rPr>
          <w:sz w:val="20"/>
          <w:szCs w:val="20"/>
        </w:rPr>
        <w:t xml:space="preserve">you mentioned BPA first so discuss those results first as it is significant.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EB666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2054814" w16cex:dateUtc="2026-01-16T00: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EB6662" w16cid:durableId="5205481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A3CEA"/>
    <w:multiLevelType w:val="hybridMultilevel"/>
    <w:tmpl w:val="636493AC"/>
    <w:lvl w:ilvl="0" w:tplc="39E6AEE0">
      <w:start w:val="1"/>
      <w:numFmt w:val="lowerLetter"/>
      <w:lvlText w:val="%1."/>
      <w:lvlJc w:val="left"/>
      <w:pPr>
        <w:ind w:left="720" w:hanging="360"/>
      </w:pPr>
      <w:rPr>
        <w:rFonts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3E5553"/>
    <w:multiLevelType w:val="hybridMultilevel"/>
    <w:tmpl w:val="8154FF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637717"/>
    <w:multiLevelType w:val="hybridMultilevel"/>
    <w:tmpl w:val="D576A5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7816185"/>
    <w:multiLevelType w:val="hybridMultilevel"/>
    <w:tmpl w:val="0C5C75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E62CCB"/>
    <w:multiLevelType w:val="hybridMultilevel"/>
    <w:tmpl w:val="52088B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9E340A6"/>
    <w:multiLevelType w:val="hybridMultilevel"/>
    <w:tmpl w:val="DF5C6A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4562380">
    <w:abstractNumId w:val="0"/>
  </w:num>
  <w:num w:numId="2" w16cid:durableId="261888267">
    <w:abstractNumId w:val="2"/>
  </w:num>
  <w:num w:numId="3" w16cid:durableId="135802971">
    <w:abstractNumId w:val="1"/>
  </w:num>
  <w:num w:numId="4" w16cid:durableId="339965455">
    <w:abstractNumId w:val="5"/>
  </w:num>
  <w:num w:numId="5" w16cid:durableId="902060502">
    <w:abstractNumId w:val="4"/>
  </w:num>
  <w:num w:numId="6" w16cid:durableId="2133553037">
    <w:abstractNumId w:val="3"/>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kelberry, Marshae">
    <w15:presenceInfo w15:providerId="AD" w15:userId="S::mnickelberry@g.harvard.edu::0384a47c-4158-47fc-9cd1-eb73687c719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37B"/>
    <w:rsid w:val="00001343"/>
    <w:rsid w:val="00001D7A"/>
    <w:rsid w:val="00005A43"/>
    <w:rsid w:val="000225B6"/>
    <w:rsid w:val="00032A41"/>
    <w:rsid w:val="000341DD"/>
    <w:rsid w:val="00043DA3"/>
    <w:rsid w:val="00045F19"/>
    <w:rsid w:val="00054728"/>
    <w:rsid w:val="000749AE"/>
    <w:rsid w:val="00076D73"/>
    <w:rsid w:val="0009625C"/>
    <w:rsid w:val="000A1DF0"/>
    <w:rsid w:val="000A4A14"/>
    <w:rsid w:val="000A6676"/>
    <w:rsid w:val="000B09E5"/>
    <w:rsid w:val="000B7464"/>
    <w:rsid w:val="000C4B0C"/>
    <w:rsid w:val="000D6F0B"/>
    <w:rsid w:val="000E7187"/>
    <w:rsid w:val="001070EE"/>
    <w:rsid w:val="00112384"/>
    <w:rsid w:val="00155940"/>
    <w:rsid w:val="00161776"/>
    <w:rsid w:val="00191AFF"/>
    <w:rsid w:val="001A124E"/>
    <w:rsid w:val="001A377C"/>
    <w:rsid w:val="001A5D88"/>
    <w:rsid w:val="001D5FBA"/>
    <w:rsid w:val="001D7C4B"/>
    <w:rsid w:val="001E1669"/>
    <w:rsid w:val="001F1E85"/>
    <w:rsid w:val="00200246"/>
    <w:rsid w:val="00230877"/>
    <w:rsid w:val="002472DD"/>
    <w:rsid w:val="00247AB3"/>
    <w:rsid w:val="00263A77"/>
    <w:rsid w:val="002648A6"/>
    <w:rsid w:val="00277350"/>
    <w:rsid w:val="00280E8F"/>
    <w:rsid w:val="00285E07"/>
    <w:rsid w:val="002915E5"/>
    <w:rsid w:val="002A63E3"/>
    <w:rsid w:val="002C0551"/>
    <w:rsid w:val="002E0372"/>
    <w:rsid w:val="002E0446"/>
    <w:rsid w:val="002E22BF"/>
    <w:rsid w:val="002F6CA9"/>
    <w:rsid w:val="003018AA"/>
    <w:rsid w:val="00303A7A"/>
    <w:rsid w:val="0031401C"/>
    <w:rsid w:val="0033188F"/>
    <w:rsid w:val="003328C5"/>
    <w:rsid w:val="00334FCF"/>
    <w:rsid w:val="00335EE6"/>
    <w:rsid w:val="00337DFB"/>
    <w:rsid w:val="00340FE6"/>
    <w:rsid w:val="00342810"/>
    <w:rsid w:val="0034498D"/>
    <w:rsid w:val="00352220"/>
    <w:rsid w:val="003565C2"/>
    <w:rsid w:val="00361061"/>
    <w:rsid w:val="003924AE"/>
    <w:rsid w:val="003A503A"/>
    <w:rsid w:val="003B10A7"/>
    <w:rsid w:val="003B1988"/>
    <w:rsid w:val="003B444A"/>
    <w:rsid w:val="003B6DAD"/>
    <w:rsid w:val="003D060B"/>
    <w:rsid w:val="003D09EF"/>
    <w:rsid w:val="003D6105"/>
    <w:rsid w:val="003D6ED2"/>
    <w:rsid w:val="003E68D3"/>
    <w:rsid w:val="00401866"/>
    <w:rsid w:val="00402BD6"/>
    <w:rsid w:val="004130C3"/>
    <w:rsid w:val="00420CAA"/>
    <w:rsid w:val="00434E01"/>
    <w:rsid w:val="0044526E"/>
    <w:rsid w:val="00461342"/>
    <w:rsid w:val="004710DD"/>
    <w:rsid w:val="00476499"/>
    <w:rsid w:val="00476F3A"/>
    <w:rsid w:val="00484F2E"/>
    <w:rsid w:val="004974CF"/>
    <w:rsid w:val="004A0E96"/>
    <w:rsid w:val="004A15B9"/>
    <w:rsid w:val="004B3E5E"/>
    <w:rsid w:val="004B44CA"/>
    <w:rsid w:val="004B5416"/>
    <w:rsid w:val="004B62F0"/>
    <w:rsid w:val="004C6A3F"/>
    <w:rsid w:val="004D01B5"/>
    <w:rsid w:val="004D4177"/>
    <w:rsid w:val="004F67F9"/>
    <w:rsid w:val="00506440"/>
    <w:rsid w:val="00540331"/>
    <w:rsid w:val="005453EB"/>
    <w:rsid w:val="00545CAE"/>
    <w:rsid w:val="00551A7A"/>
    <w:rsid w:val="00553744"/>
    <w:rsid w:val="00557A4B"/>
    <w:rsid w:val="005704C4"/>
    <w:rsid w:val="005775F3"/>
    <w:rsid w:val="00580499"/>
    <w:rsid w:val="00580697"/>
    <w:rsid w:val="00580FE7"/>
    <w:rsid w:val="005951E4"/>
    <w:rsid w:val="00597784"/>
    <w:rsid w:val="005A7C8C"/>
    <w:rsid w:val="005B17AD"/>
    <w:rsid w:val="005B3884"/>
    <w:rsid w:val="005B442D"/>
    <w:rsid w:val="005C6FB8"/>
    <w:rsid w:val="005D1FCC"/>
    <w:rsid w:val="005D76C2"/>
    <w:rsid w:val="005E0C72"/>
    <w:rsid w:val="005E4878"/>
    <w:rsid w:val="005E55AF"/>
    <w:rsid w:val="005F08E9"/>
    <w:rsid w:val="005F4B8C"/>
    <w:rsid w:val="00616893"/>
    <w:rsid w:val="00620F58"/>
    <w:rsid w:val="006244A3"/>
    <w:rsid w:val="00625F58"/>
    <w:rsid w:val="00633002"/>
    <w:rsid w:val="00634D02"/>
    <w:rsid w:val="0063626E"/>
    <w:rsid w:val="006473C3"/>
    <w:rsid w:val="006537BF"/>
    <w:rsid w:val="00657ED1"/>
    <w:rsid w:val="006647FC"/>
    <w:rsid w:val="00681F56"/>
    <w:rsid w:val="0068216F"/>
    <w:rsid w:val="006911D6"/>
    <w:rsid w:val="006B7CCA"/>
    <w:rsid w:val="006E63BF"/>
    <w:rsid w:val="006F2BD4"/>
    <w:rsid w:val="006F2DEC"/>
    <w:rsid w:val="007049FD"/>
    <w:rsid w:val="00706254"/>
    <w:rsid w:val="0070631D"/>
    <w:rsid w:val="00710957"/>
    <w:rsid w:val="0071569B"/>
    <w:rsid w:val="007347C2"/>
    <w:rsid w:val="00736062"/>
    <w:rsid w:val="0074381C"/>
    <w:rsid w:val="00746DC7"/>
    <w:rsid w:val="00747532"/>
    <w:rsid w:val="0075306E"/>
    <w:rsid w:val="00760D0F"/>
    <w:rsid w:val="007862A4"/>
    <w:rsid w:val="00797B15"/>
    <w:rsid w:val="007A2013"/>
    <w:rsid w:val="007A6776"/>
    <w:rsid w:val="007C4A12"/>
    <w:rsid w:val="007C6351"/>
    <w:rsid w:val="007D770F"/>
    <w:rsid w:val="007E4793"/>
    <w:rsid w:val="00810A96"/>
    <w:rsid w:val="00816858"/>
    <w:rsid w:val="008204C5"/>
    <w:rsid w:val="00833064"/>
    <w:rsid w:val="008372A9"/>
    <w:rsid w:val="00842992"/>
    <w:rsid w:val="00843150"/>
    <w:rsid w:val="00852499"/>
    <w:rsid w:val="00856BF2"/>
    <w:rsid w:val="0086036C"/>
    <w:rsid w:val="008731CE"/>
    <w:rsid w:val="0087386A"/>
    <w:rsid w:val="00875E2D"/>
    <w:rsid w:val="00880253"/>
    <w:rsid w:val="00880AC8"/>
    <w:rsid w:val="008873D3"/>
    <w:rsid w:val="008A3493"/>
    <w:rsid w:val="008B2F78"/>
    <w:rsid w:val="008B7713"/>
    <w:rsid w:val="008C4875"/>
    <w:rsid w:val="008C5206"/>
    <w:rsid w:val="008D2777"/>
    <w:rsid w:val="008F59B4"/>
    <w:rsid w:val="008F68A7"/>
    <w:rsid w:val="008F75D3"/>
    <w:rsid w:val="00926741"/>
    <w:rsid w:val="00927C64"/>
    <w:rsid w:val="00931C39"/>
    <w:rsid w:val="00932135"/>
    <w:rsid w:val="0093307D"/>
    <w:rsid w:val="0093728E"/>
    <w:rsid w:val="0096184C"/>
    <w:rsid w:val="00966159"/>
    <w:rsid w:val="00977C85"/>
    <w:rsid w:val="00992001"/>
    <w:rsid w:val="009A63FB"/>
    <w:rsid w:val="009A6CE1"/>
    <w:rsid w:val="009B53E2"/>
    <w:rsid w:val="009F0D94"/>
    <w:rsid w:val="009F3EE2"/>
    <w:rsid w:val="009F4A91"/>
    <w:rsid w:val="00A10AEA"/>
    <w:rsid w:val="00A13F7F"/>
    <w:rsid w:val="00A27074"/>
    <w:rsid w:val="00A303BA"/>
    <w:rsid w:val="00A35A31"/>
    <w:rsid w:val="00A40315"/>
    <w:rsid w:val="00A445B1"/>
    <w:rsid w:val="00A44A68"/>
    <w:rsid w:val="00A45FA2"/>
    <w:rsid w:val="00A522FA"/>
    <w:rsid w:val="00A5449D"/>
    <w:rsid w:val="00A554CA"/>
    <w:rsid w:val="00A56288"/>
    <w:rsid w:val="00A56DD0"/>
    <w:rsid w:val="00A648CB"/>
    <w:rsid w:val="00A73232"/>
    <w:rsid w:val="00A85E66"/>
    <w:rsid w:val="00A919E9"/>
    <w:rsid w:val="00A9531A"/>
    <w:rsid w:val="00A96837"/>
    <w:rsid w:val="00AA3B9E"/>
    <w:rsid w:val="00AA4041"/>
    <w:rsid w:val="00AA54C7"/>
    <w:rsid w:val="00AC3D53"/>
    <w:rsid w:val="00AC7012"/>
    <w:rsid w:val="00AD2F5C"/>
    <w:rsid w:val="00AD3A8F"/>
    <w:rsid w:val="00AE320D"/>
    <w:rsid w:val="00AF0545"/>
    <w:rsid w:val="00B038D8"/>
    <w:rsid w:val="00B0762C"/>
    <w:rsid w:val="00B157CC"/>
    <w:rsid w:val="00B2402A"/>
    <w:rsid w:val="00B30247"/>
    <w:rsid w:val="00B462B1"/>
    <w:rsid w:val="00B51CE2"/>
    <w:rsid w:val="00B52047"/>
    <w:rsid w:val="00B5540B"/>
    <w:rsid w:val="00B575A1"/>
    <w:rsid w:val="00B64D69"/>
    <w:rsid w:val="00B6793B"/>
    <w:rsid w:val="00B75550"/>
    <w:rsid w:val="00B77E3A"/>
    <w:rsid w:val="00B80C18"/>
    <w:rsid w:val="00B836E0"/>
    <w:rsid w:val="00B87A5F"/>
    <w:rsid w:val="00BA40BD"/>
    <w:rsid w:val="00BC118E"/>
    <w:rsid w:val="00BC1D61"/>
    <w:rsid w:val="00BC6F36"/>
    <w:rsid w:val="00BD129C"/>
    <w:rsid w:val="00BE530C"/>
    <w:rsid w:val="00BE65DE"/>
    <w:rsid w:val="00C04778"/>
    <w:rsid w:val="00C0603E"/>
    <w:rsid w:val="00C060F9"/>
    <w:rsid w:val="00C254EB"/>
    <w:rsid w:val="00C2692B"/>
    <w:rsid w:val="00C362E5"/>
    <w:rsid w:val="00C42B8F"/>
    <w:rsid w:val="00C504BA"/>
    <w:rsid w:val="00C5109B"/>
    <w:rsid w:val="00C5206E"/>
    <w:rsid w:val="00C53034"/>
    <w:rsid w:val="00C638F2"/>
    <w:rsid w:val="00C64215"/>
    <w:rsid w:val="00C645AA"/>
    <w:rsid w:val="00C66279"/>
    <w:rsid w:val="00C7082E"/>
    <w:rsid w:val="00C723CF"/>
    <w:rsid w:val="00C756E2"/>
    <w:rsid w:val="00C760B5"/>
    <w:rsid w:val="00C854B7"/>
    <w:rsid w:val="00C87654"/>
    <w:rsid w:val="00C9798C"/>
    <w:rsid w:val="00CA02A8"/>
    <w:rsid w:val="00CB1C47"/>
    <w:rsid w:val="00CB7D32"/>
    <w:rsid w:val="00CC4512"/>
    <w:rsid w:val="00CE1027"/>
    <w:rsid w:val="00CE222E"/>
    <w:rsid w:val="00CE23C0"/>
    <w:rsid w:val="00CE2ED7"/>
    <w:rsid w:val="00CF00EB"/>
    <w:rsid w:val="00D0301C"/>
    <w:rsid w:val="00D11D2F"/>
    <w:rsid w:val="00D11DD0"/>
    <w:rsid w:val="00D40919"/>
    <w:rsid w:val="00D41F63"/>
    <w:rsid w:val="00D46AFA"/>
    <w:rsid w:val="00D56237"/>
    <w:rsid w:val="00D714BD"/>
    <w:rsid w:val="00D93D00"/>
    <w:rsid w:val="00D94F98"/>
    <w:rsid w:val="00DA7011"/>
    <w:rsid w:val="00DA73BC"/>
    <w:rsid w:val="00DB3EAB"/>
    <w:rsid w:val="00DB5AAE"/>
    <w:rsid w:val="00DC210B"/>
    <w:rsid w:val="00DD7858"/>
    <w:rsid w:val="00DE4DF2"/>
    <w:rsid w:val="00DE5B65"/>
    <w:rsid w:val="00DE60D5"/>
    <w:rsid w:val="00DE63C1"/>
    <w:rsid w:val="00DE737B"/>
    <w:rsid w:val="00DE759E"/>
    <w:rsid w:val="00DF02D5"/>
    <w:rsid w:val="00DF27E1"/>
    <w:rsid w:val="00DF2F6F"/>
    <w:rsid w:val="00DF5CEE"/>
    <w:rsid w:val="00E0668E"/>
    <w:rsid w:val="00E373F8"/>
    <w:rsid w:val="00E4150D"/>
    <w:rsid w:val="00E424F9"/>
    <w:rsid w:val="00E44135"/>
    <w:rsid w:val="00E766CB"/>
    <w:rsid w:val="00E861AF"/>
    <w:rsid w:val="00E87350"/>
    <w:rsid w:val="00E934B8"/>
    <w:rsid w:val="00E963E2"/>
    <w:rsid w:val="00EA4427"/>
    <w:rsid w:val="00EA635A"/>
    <w:rsid w:val="00EB1669"/>
    <w:rsid w:val="00EB1DF5"/>
    <w:rsid w:val="00EB4CCE"/>
    <w:rsid w:val="00EB5863"/>
    <w:rsid w:val="00EB7513"/>
    <w:rsid w:val="00EC6CA7"/>
    <w:rsid w:val="00ED3448"/>
    <w:rsid w:val="00ED3C87"/>
    <w:rsid w:val="00EE0A37"/>
    <w:rsid w:val="00F041C4"/>
    <w:rsid w:val="00F117F7"/>
    <w:rsid w:val="00F15130"/>
    <w:rsid w:val="00F27F7F"/>
    <w:rsid w:val="00F37E35"/>
    <w:rsid w:val="00F37F29"/>
    <w:rsid w:val="00F4099D"/>
    <w:rsid w:val="00F425F1"/>
    <w:rsid w:val="00F51B85"/>
    <w:rsid w:val="00F651D2"/>
    <w:rsid w:val="00F67CB8"/>
    <w:rsid w:val="00F7121E"/>
    <w:rsid w:val="00F73FCB"/>
    <w:rsid w:val="00F80F9E"/>
    <w:rsid w:val="00F811A9"/>
    <w:rsid w:val="00F827CD"/>
    <w:rsid w:val="00F85D19"/>
    <w:rsid w:val="00F9022F"/>
    <w:rsid w:val="00F923BA"/>
    <w:rsid w:val="00F95B7A"/>
    <w:rsid w:val="00F9615E"/>
    <w:rsid w:val="00F97717"/>
    <w:rsid w:val="00FA6396"/>
    <w:rsid w:val="00FB69CA"/>
    <w:rsid w:val="00FC0616"/>
    <w:rsid w:val="00FC4BC5"/>
    <w:rsid w:val="00FD222E"/>
    <w:rsid w:val="00FD28A5"/>
    <w:rsid w:val="00FD6C39"/>
    <w:rsid w:val="00FE04DD"/>
    <w:rsid w:val="00FE5552"/>
    <w:rsid w:val="00FF64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DF204"/>
  <w15:chartTrackingRefBased/>
  <w15:docId w15:val="{38DD43C7-0950-9F44-AF90-EB34AAFE6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6CA7"/>
  </w:style>
  <w:style w:type="paragraph" w:styleId="Heading1">
    <w:name w:val="heading 1"/>
    <w:basedOn w:val="Normal"/>
    <w:next w:val="Normal"/>
    <w:link w:val="Heading1Char"/>
    <w:uiPriority w:val="9"/>
    <w:qFormat/>
    <w:rsid w:val="00DE73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73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73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73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73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73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73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73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3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3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73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E73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73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73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73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3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3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37B"/>
    <w:rPr>
      <w:rFonts w:eastAsiaTheme="majorEastAsia" w:cstheme="majorBidi"/>
      <w:color w:val="272727" w:themeColor="text1" w:themeTint="D8"/>
    </w:rPr>
  </w:style>
  <w:style w:type="paragraph" w:styleId="Title">
    <w:name w:val="Title"/>
    <w:basedOn w:val="Normal"/>
    <w:next w:val="Normal"/>
    <w:link w:val="TitleChar"/>
    <w:uiPriority w:val="10"/>
    <w:qFormat/>
    <w:rsid w:val="00DE73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3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3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3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737B"/>
    <w:pPr>
      <w:spacing w:before="160"/>
      <w:jc w:val="center"/>
    </w:pPr>
    <w:rPr>
      <w:i/>
      <w:iCs/>
      <w:color w:val="404040" w:themeColor="text1" w:themeTint="BF"/>
    </w:rPr>
  </w:style>
  <w:style w:type="character" w:customStyle="1" w:styleId="QuoteChar">
    <w:name w:val="Quote Char"/>
    <w:basedOn w:val="DefaultParagraphFont"/>
    <w:link w:val="Quote"/>
    <w:uiPriority w:val="29"/>
    <w:rsid w:val="00DE737B"/>
    <w:rPr>
      <w:i/>
      <w:iCs/>
      <w:color w:val="404040" w:themeColor="text1" w:themeTint="BF"/>
    </w:rPr>
  </w:style>
  <w:style w:type="paragraph" w:styleId="ListParagraph">
    <w:name w:val="List Paragraph"/>
    <w:basedOn w:val="Normal"/>
    <w:uiPriority w:val="34"/>
    <w:qFormat/>
    <w:rsid w:val="00DE737B"/>
    <w:pPr>
      <w:ind w:left="720"/>
      <w:contextualSpacing/>
    </w:pPr>
  </w:style>
  <w:style w:type="character" w:styleId="IntenseEmphasis">
    <w:name w:val="Intense Emphasis"/>
    <w:basedOn w:val="DefaultParagraphFont"/>
    <w:uiPriority w:val="21"/>
    <w:qFormat/>
    <w:rsid w:val="00DE737B"/>
    <w:rPr>
      <w:i/>
      <w:iCs/>
      <w:color w:val="0F4761" w:themeColor="accent1" w:themeShade="BF"/>
    </w:rPr>
  </w:style>
  <w:style w:type="paragraph" w:styleId="IntenseQuote">
    <w:name w:val="Intense Quote"/>
    <w:basedOn w:val="Normal"/>
    <w:next w:val="Normal"/>
    <w:link w:val="IntenseQuoteChar"/>
    <w:uiPriority w:val="30"/>
    <w:qFormat/>
    <w:rsid w:val="00DE73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737B"/>
    <w:rPr>
      <w:i/>
      <w:iCs/>
      <w:color w:val="0F4761" w:themeColor="accent1" w:themeShade="BF"/>
    </w:rPr>
  </w:style>
  <w:style w:type="character" w:styleId="IntenseReference">
    <w:name w:val="Intense Reference"/>
    <w:basedOn w:val="DefaultParagraphFont"/>
    <w:uiPriority w:val="32"/>
    <w:qFormat/>
    <w:rsid w:val="00DE737B"/>
    <w:rPr>
      <w:b/>
      <w:bCs/>
      <w:smallCaps/>
      <w:color w:val="0F4761" w:themeColor="accent1" w:themeShade="BF"/>
      <w:spacing w:val="5"/>
    </w:rPr>
  </w:style>
  <w:style w:type="paragraph" w:styleId="NormalWeb">
    <w:name w:val="Normal (Web)"/>
    <w:basedOn w:val="Normal"/>
    <w:uiPriority w:val="99"/>
    <w:unhideWhenUsed/>
    <w:rsid w:val="008873D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Revision">
    <w:name w:val="Revision"/>
    <w:hidden/>
    <w:uiPriority w:val="99"/>
    <w:semiHidden/>
    <w:rsid w:val="00810A96"/>
    <w:pPr>
      <w:spacing w:after="0" w:line="240" w:lineRule="auto"/>
    </w:pPr>
  </w:style>
  <w:style w:type="character" w:styleId="CommentReference">
    <w:name w:val="annotation reference"/>
    <w:basedOn w:val="DefaultParagraphFont"/>
    <w:uiPriority w:val="99"/>
    <w:semiHidden/>
    <w:unhideWhenUsed/>
    <w:rsid w:val="00810A96"/>
    <w:rPr>
      <w:sz w:val="16"/>
      <w:szCs w:val="16"/>
    </w:rPr>
  </w:style>
  <w:style w:type="paragraph" w:styleId="CommentText">
    <w:name w:val="annotation text"/>
    <w:basedOn w:val="Normal"/>
    <w:link w:val="CommentTextChar"/>
    <w:uiPriority w:val="99"/>
    <w:unhideWhenUsed/>
    <w:rsid w:val="00810A96"/>
    <w:pPr>
      <w:spacing w:line="240" w:lineRule="auto"/>
    </w:pPr>
    <w:rPr>
      <w:sz w:val="20"/>
      <w:szCs w:val="20"/>
    </w:rPr>
  </w:style>
  <w:style w:type="character" w:customStyle="1" w:styleId="CommentTextChar">
    <w:name w:val="Comment Text Char"/>
    <w:basedOn w:val="DefaultParagraphFont"/>
    <w:link w:val="CommentText"/>
    <w:uiPriority w:val="99"/>
    <w:rsid w:val="00810A96"/>
    <w:rPr>
      <w:sz w:val="20"/>
      <w:szCs w:val="20"/>
    </w:rPr>
  </w:style>
  <w:style w:type="paragraph" w:styleId="CommentSubject">
    <w:name w:val="annotation subject"/>
    <w:basedOn w:val="CommentText"/>
    <w:next w:val="CommentText"/>
    <w:link w:val="CommentSubjectChar"/>
    <w:uiPriority w:val="99"/>
    <w:semiHidden/>
    <w:unhideWhenUsed/>
    <w:rsid w:val="00810A96"/>
    <w:rPr>
      <w:b/>
      <w:bCs/>
    </w:rPr>
  </w:style>
  <w:style w:type="character" w:customStyle="1" w:styleId="CommentSubjectChar">
    <w:name w:val="Comment Subject Char"/>
    <w:basedOn w:val="CommentTextChar"/>
    <w:link w:val="CommentSubject"/>
    <w:uiPriority w:val="99"/>
    <w:semiHidden/>
    <w:rsid w:val="00810A96"/>
    <w:rPr>
      <w:b/>
      <w:bCs/>
      <w:sz w:val="20"/>
      <w:szCs w:val="20"/>
    </w:rPr>
  </w:style>
  <w:style w:type="character" w:styleId="Hyperlink">
    <w:name w:val="Hyperlink"/>
    <w:basedOn w:val="DefaultParagraphFont"/>
    <w:uiPriority w:val="99"/>
    <w:unhideWhenUsed/>
    <w:rsid w:val="00E963E2"/>
    <w:rPr>
      <w:color w:val="467886" w:themeColor="hyperlink"/>
      <w:u w:val="single"/>
    </w:rPr>
  </w:style>
  <w:style w:type="character" w:styleId="UnresolvedMention">
    <w:name w:val="Unresolved Mention"/>
    <w:basedOn w:val="DefaultParagraphFont"/>
    <w:uiPriority w:val="99"/>
    <w:semiHidden/>
    <w:unhideWhenUsed/>
    <w:rsid w:val="00E963E2"/>
    <w:rPr>
      <w:color w:val="605E5C"/>
      <w:shd w:val="clear" w:color="auto" w:fill="E1DFDD"/>
    </w:rPr>
  </w:style>
  <w:style w:type="table" w:styleId="TableGrid">
    <w:name w:val="Table Grid"/>
    <w:basedOn w:val="TableNormal"/>
    <w:uiPriority w:val="39"/>
    <w:rsid w:val="008603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6036C"/>
    <w:rPr>
      <w:color w:val="666666"/>
    </w:rPr>
  </w:style>
  <w:style w:type="paragraph" w:styleId="Header">
    <w:name w:val="header"/>
    <w:basedOn w:val="Normal"/>
    <w:link w:val="HeaderChar"/>
    <w:uiPriority w:val="99"/>
    <w:unhideWhenUsed/>
    <w:rsid w:val="008603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036C"/>
  </w:style>
  <w:style w:type="paragraph" w:styleId="Footer">
    <w:name w:val="footer"/>
    <w:basedOn w:val="Normal"/>
    <w:link w:val="FooterChar"/>
    <w:uiPriority w:val="99"/>
    <w:unhideWhenUsed/>
    <w:rsid w:val="008603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036C"/>
  </w:style>
  <w:style w:type="paragraph" w:styleId="Index1">
    <w:name w:val="index 1"/>
    <w:basedOn w:val="Normal"/>
    <w:next w:val="Normal"/>
    <w:autoRedefine/>
    <w:uiPriority w:val="99"/>
    <w:unhideWhenUsed/>
    <w:rsid w:val="0086036C"/>
    <w:pPr>
      <w:spacing w:after="0" w:line="240" w:lineRule="auto"/>
      <w:ind w:left="240" w:hanging="240"/>
    </w:pPr>
    <w:rPr>
      <w:sz w:val="20"/>
      <w:szCs w:val="20"/>
    </w:rPr>
  </w:style>
  <w:style w:type="paragraph" w:styleId="Index2">
    <w:name w:val="index 2"/>
    <w:basedOn w:val="Normal"/>
    <w:next w:val="Normal"/>
    <w:autoRedefine/>
    <w:uiPriority w:val="99"/>
    <w:unhideWhenUsed/>
    <w:rsid w:val="0086036C"/>
    <w:pPr>
      <w:spacing w:after="0" w:line="240" w:lineRule="auto"/>
      <w:ind w:left="480" w:hanging="240"/>
    </w:pPr>
    <w:rPr>
      <w:sz w:val="20"/>
      <w:szCs w:val="20"/>
    </w:rPr>
  </w:style>
  <w:style w:type="paragraph" w:styleId="Index3">
    <w:name w:val="index 3"/>
    <w:basedOn w:val="Normal"/>
    <w:next w:val="Normal"/>
    <w:autoRedefine/>
    <w:uiPriority w:val="99"/>
    <w:unhideWhenUsed/>
    <w:rsid w:val="0086036C"/>
    <w:pPr>
      <w:spacing w:after="0" w:line="240" w:lineRule="auto"/>
      <w:ind w:left="720" w:hanging="240"/>
    </w:pPr>
    <w:rPr>
      <w:sz w:val="20"/>
      <w:szCs w:val="20"/>
    </w:rPr>
  </w:style>
  <w:style w:type="paragraph" w:styleId="Index4">
    <w:name w:val="index 4"/>
    <w:basedOn w:val="Normal"/>
    <w:next w:val="Normal"/>
    <w:autoRedefine/>
    <w:uiPriority w:val="99"/>
    <w:unhideWhenUsed/>
    <w:rsid w:val="0086036C"/>
    <w:pPr>
      <w:spacing w:after="0" w:line="240" w:lineRule="auto"/>
      <w:ind w:left="960" w:hanging="240"/>
    </w:pPr>
    <w:rPr>
      <w:sz w:val="20"/>
      <w:szCs w:val="20"/>
    </w:rPr>
  </w:style>
  <w:style w:type="paragraph" w:styleId="Index5">
    <w:name w:val="index 5"/>
    <w:basedOn w:val="Normal"/>
    <w:next w:val="Normal"/>
    <w:autoRedefine/>
    <w:uiPriority w:val="99"/>
    <w:unhideWhenUsed/>
    <w:rsid w:val="0086036C"/>
    <w:pPr>
      <w:spacing w:after="0" w:line="240" w:lineRule="auto"/>
      <w:ind w:left="1200" w:hanging="240"/>
    </w:pPr>
    <w:rPr>
      <w:sz w:val="20"/>
      <w:szCs w:val="20"/>
    </w:rPr>
  </w:style>
  <w:style w:type="paragraph" w:styleId="Index6">
    <w:name w:val="index 6"/>
    <w:basedOn w:val="Normal"/>
    <w:next w:val="Normal"/>
    <w:autoRedefine/>
    <w:uiPriority w:val="99"/>
    <w:unhideWhenUsed/>
    <w:rsid w:val="0086036C"/>
    <w:pPr>
      <w:spacing w:after="0" w:line="240" w:lineRule="auto"/>
      <w:ind w:left="1440" w:hanging="240"/>
    </w:pPr>
    <w:rPr>
      <w:sz w:val="20"/>
      <w:szCs w:val="20"/>
    </w:rPr>
  </w:style>
  <w:style w:type="paragraph" w:styleId="Index7">
    <w:name w:val="index 7"/>
    <w:basedOn w:val="Normal"/>
    <w:next w:val="Normal"/>
    <w:autoRedefine/>
    <w:uiPriority w:val="99"/>
    <w:unhideWhenUsed/>
    <w:rsid w:val="0086036C"/>
    <w:pPr>
      <w:spacing w:after="0" w:line="240" w:lineRule="auto"/>
      <w:ind w:left="1680" w:hanging="240"/>
    </w:pPr>
    <w:rPr>
      <w:sz w:val="20"/>
      <w:szCs w:val="20"/>
    </w:rPr>
  </w:style>
  <w:style w:type="paragraph" w:styleId="Index8">
    <w:name w:val="index 8"/>
    <w:basedOn w:val="Normal"/>
    <w:next w:val="Normal"/>
    <w:autoRedefine/>
    <w:uiPriority w:val="99"/>
    <w:unhideWhenUsed/>
    <w:rsid w:val="0086036C"/>
    <w:pPr>
      <w:spacing w:after="0" w:line="240" w:lineRule="auto"/>
      <w:ind w:left="1920" w:hanging="240"/>
    </w:pPr>
    <w:rPr>
      <w:sz w:val="20"/>
      <w:szCs w:val="20"/>
    </w:rPr>
  </w:style>
  <w:style w:type="paragraph" w:styleId="Index9">
    <w:name w:val="index 9"/>
    <w:basedOn w:val="Normal"/>
    <w:next w:val="Normal"/>
    <w:autoRedefine/>
    <w:uiPriority w:val="99"/>
    <w:unhideWhenUsed/>
    <w:rsid w:val="0086036C"/>
    <w:pPr>
      <w:spacing w:after="0" w:line="240" w:lineRule="auto"/>
      <w:ind w:left="2160" w:hanging="240"/>
    </w:pPr>
    <w:rPr>
      <w:sz w:val="20"/>
      <w:szCs w:val="20"/>
    </w:rPr>
  </w:style>
  <w:style w:type="paragraph" w:styleId="IndexHeading">
    <w:name w:val="index heading"/>
    <w:basedOn w:val="Normal"/>
    <w:next w:val="Index1"/>
    <w:uiPriority w:val="99"/>
    <w:unhideWhenUsed/>
    <w:rsid w:val="0086036C"/>
    <w:pPr>
      <w:spacing w:before="120" w:after="120" w:line="240" w:lineRule="auto"/>
    </w:pPr>
    <w:rPr>
      <w:b/>
      <w:bCs/>
      <w:i/>
      <w:iCs/>
      <w:sz w:val="20"/>
      <w:szCs w:val="20"/>
    </w:rPr>
  </w:style>
  <w:style w:type="character" w:styleId="FollowedHyperlink">
    <w:name w:val="FollowedHyperlink"/>
    <w:basedOn w:val="DefaultParagraphFont"/>
    <w:uiPriority w:val="99"/>
    <w:semiHidden/>
    <w:unhideWhenUsed/>
    <w:rsid w:val="0086036C"/>
    <w:rPr>
      <w:color w:val="96607D"/>
      <w:u w:val="single"/>
    </w:rPr>
  </w:style>
  <w:style w:type="paragraph" w:customStyle="1" w:styleId="msonormal0">
    <w:name w:val="msonormal"/>
    <w:basedOn w:val="Normal"/>
    <w:rsid w:val="0086036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65">
    <w:name w:val="xl65"/>
    <w:basedOn w:val="Normal"/>
    <w:rsid w:val="0086036C"/>
    <w:pPr>
      <w:spacing w:before="100" w:beforeAutospacing="1" w:after="100" w:afterAutospacing="1" w:line="240" w:lineRule="auto"/>
      <w:jc w:val="center"/>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6036C"/>
    <w:rPr>
      <w:b/>
      <w:bCs/>
    </w:rPr>
  </w:style>
  <w:style w:type="paragraph" w:styleId="Bibliography">
    <w:name w:val="Bibliography"/>
    <w:basedOn w:val="Normal"/>
    <w:next w:val="Normal"/>
    <w:uiPriority w:val="37"/>
    <w:unhideWhenUsed/>
    <w:rsid w:val="00C0603E"/>
    <w:pPr>
      <w:tabs>
        <w:tab w:val="left" w:pos="380"/>
      </w:tabs>
      <w:spacing w:after="24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6515345">
      <w:bodyDiv w:val="1"/>
      <w:marLeft w:val="0"/>
      <w:marRight w:val="0"/>
      <w:marTop w:val="0"/>
      <w:marBottom w:val="0"/>
      <w:divBdr>
        <w:top w:val="none" w:sz="0" w:space="0" w:color="auto"/>
        <w:left w:val="none" w:sz="0" w:space="0" w:color="auto"/>
        <w:bottom w:val="none" w:sz="0" w:space="0" w:color="auto"/>
        <w:right w:val="none" w:sz="0" w:space="0" w:color="auto"/>
      </w:divBdr>
      <w:divsChild>
        <w:div w:id="281573605">
          <w:marLeft w:val="547"/>
          <w:marRight w:val="0"/>
          <w:marTop w:val="0"/>
          <w:marBottom w:val="0"/>
          <w:divBdr>
            <w:top w:val="none" w:sz="0" w:space="0" w:color="auto"/>
            <w:left w:val="none" w:sz="0" w:space="0" w:color="auto"/>
            <w:bottom w:val="none" w:sz="0" w:space="0" w:color="auto"/>
            <w:right w:val="none" w:sz="0" w:space="0" w:color="auto"/>
          </w:divBdr>
        </w:div>
      </w:divsChild>
    </w:div>
    <w:div w:id="784350734">
      <w:bodyDiv w:val="1"/>
      <w:marLeft w:val="0"/>
      <w:marRight w:val="0"/>
      <w:marTop w:val="0"/>
      <w:marBottom w:val="0"/>
      <w:divBdr>
        <w:top w:val="none" w:sz="0" w:space="0" w:color="auto"/>
        <w:left w:val="none" w:sz="0" w:space="0" w:color="auto"/>
        <w:bottom w:val="none" w:sz="0" w:space="0" w:color="auto"/>
        <w:right w:val="none" w:sz="0" w:space="0" w:color="auto"/>
      </w:divBdr>
    </w:div>
    <w:div w:id="1090543132">
      <w:bodyDiv w:val="1"/>
      <w:marLeft w:val="0"/>
      <w:marRight w:val="0"/>
      <w:marTop w:val="0"/>
      <w:marBottom w:val="0"/>
      <w:divBdr>
        <w:top w:val="none" w:sz="0" w:space="0" w:color="auto"/>
        <w:left w:val="none" w:sz="0" w:space="0" w:color="auto"/>
        <w:bottom w:val="none" w:sz="0" w:space="0" w:color="auto"/>
        <w:right w:val="none" w:sz="0" w:space="0" w:color="auto"/>
      </w:divBdr>
    </w:div>
    <w:div w:id="1968244086">
      <w:bodyDiv w:val="1"/>
      <w:marLeft w:val="0"/>
      <w:marRight w:val="0"/>
      <w:marTop w:val="0"/>
      <w:marBottom w:val="0"/>
      <w:divBdr>
        <w:top w:val="none" w:sz="0" w:space="0" w:color="auto"/>
        <w:left w:val="none" w:sz="0" w:space="0" w:color="auto"/>
        <w:bottom w:val="none" w:sz="0" w:space="0" w:color="auto"/>
        <w:right w:val="none" w:sz="0" w:space="0" w:color="auto"/>
      </w:divBdr>
      <w:divsChild>
        <w:div w:id="922375520">
          <w:marLeft w:val="547"/>
          <w:marRight w:val="0"/>
          <w:marTop w:val="0"/>
          <w:marBottom w:val="0"/>
          <w:divBdr>
            <w:top w:val="none" w:sz="0" w:space="0" w:color="auto"/>
            <w:left w:val="none" w:sz="0" w:space="0" w:color="auto"/>
            <w:bottom w:val="none" w:sz="0" w:space="0" w:color="auto"/>
            <w:right w:val="none" w:sz="0" w:space="0" w:color="auto"/>
          </w:divBdr>
        </w:div>
      </w:divsChild>
    </w:div>
    <w:div w:id="2049527904">
      <w:bodyDiv w:val="1"/>
      <w:marLeft w:val="0"/>
      <w:marRight w:val="0"/>
      <w:marTop w:val="0"/>
      <w:marBottom w:val="0"/>
      <w:divBdr>
        <w:top w:val="none" w:sz="0" w:space="0" w:color="auto"/>
        <w:left w:val="none" w:sz="0" w:space="0" w:color="auto"/>
        <w:bottom w:val="none" w:sz="0" w:space="0" w:color="auto"/>
        <w:right w:val="none" w:sz="0" w:space="0" w:color="auto"/>
      </w:divBdr>
    </w:div>
    <w:div w:id="2051492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image" Target="media/image2.png"/><Relationship Id="rId12"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16/09/relationships/commentsIds" Target="commentsIds.xml"/><Relationship Id="rId5" Type="http://schemas.openxmlformats.org/officeDocument/2006/relationships/webSettings" Target="web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0FB21D-0ECD-C74F-8F8E-CF2F3FE6DC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20227</Words>
  <Characters>115296</Characters>
  <Application>Microsoft Office Word</Application>
  <DocSecurity>0</DocSecurity>
  <Lines>960</Lines>
  <Paragraphs>270</Paragraphs>
  <ScaleCrop>false</ScaleCrop>
  <Company/>
  <LinksUpToDate>false</LinksUpToDate>
  <CharactersWithSpaces>135253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Ayishat Abimbola Yussuf</dc:creator>
  <cp:keywords/>
  <dc:description/>
  <cp:lastModifiedBy>Ayishat Abimbola Yussuf</cp:lastModifiedBy>
  <cp:revision>2</cp:revision>
  <dcterms:created xsi:type="dcterms:W3CDTF">2026-02-03T15:49:00Z</dcterms:created>
  <dcterms:modified xsi:type="dcterms:W3CDTF">2026-02-03T15:49:00Z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zotero-version="8.0.1"&gt;&lt;session id="ALZv7y7d"/&gt;&lt;style id="http://www.zotero.org/styles/american-medical-association" hasBibliography="1" bibliographyStyleHasBeenSet="1"/&gt;&lt;prefs&gt;&lt;pref name="fieldType" value="Field"/&gt;&lt;pref name="autom</vt:lpwstr>
  </property>
  <property fmtid="{D5CDD505-2E9C-101B-9397-08002B2CF9AE}" pid="3" name="ZOTERO_PREF_2">
    <vt:lpwstr>aticJournalAbbreviations" value="true"/&gt;&lt;/prefs&gt;&lt;/data&gt;</vt:lpwstr>
  </property>
</Properties>
</file>