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659A3" w14:textId="77777777" w:rsidR="006B5114" w:rsidRDefault="006B5114" w:rsidP="006B5114">
      <w:pPr>
        <w:ind w:firstLine="720"/>
        <w:rPr>
          <w:rFonts w:ascii="Times New Roman" w:hAnsi="Times New Roman" w:cs="Times New Roman"/>
          <w:i/>
          <w:iCs/>
          <w:color w:val="000000" w:themeColor="text1"/>
          <w:sz w:val="28"/>
          <w:szCs w:val="28"/>
        </w:rPr>
      </w:pPr>
    </w:p>
    <w:p w14:paraId="0BF9AB7E" w14:textId="77777777" w:rsidR="006B5114" w:rsidRDefault="006B5114" w:rsidP="006B5114">
      <w:pPr>
        <w:pStyle w:val="ListParagraph"/>
        <w:numPr>
          <w:ilvl w:val="0"/>
          <w:numId w:val="1"/>
        </w:numPr>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 xml:space="preserve">Why is this important? </w:t>
      </w:r>
    </w:p>
    <w:p w14:paraId="0434BC32" w14:textId="77777777" w:rsidR="006B5114" w:rsidRPr="00857C3B" w:rsidRDefault="006B5114" w:rsidP="006B5114">
      <w:pPr>
        <w:pStyle w:val="ListParagraph"/>
        <w:numPr>
          <w:ilvl w:val="1"/>
          <w:numId w:val="1"/>
        </w:numPr>
        <w:rPr>
          <w:rFonts w:ascii="Times New Roman" w:hAnsi="Times New Roman" w:cs="Times New Roman"/>
          <w:i/>
          <w:iCs/>
          <w:color w:val="000000" w:themeColor="text1"/>
          <w:sz w:val="28"/>
          <w:szCs w:val="28"/>
        </w:rPr>
      </w:pPr>
      <w:r w:rsidRPr="00ED3C12">
        <w:rPr>
          <w:rFonts w:ascii="Georgia" w:hAnsi="Georgia"/>
          <w:b/>
          <w:bCs/>
          <w:color w:val="1F1F1F"/>
        </w:rPr>
        <w:t xml:space="preserve">Health impacts of phenols established in literature: (all form </w:t>
      </w:r>
      <w:proofErr w:type="spellStart"/>
      <w:r w:rsidRPr="00ED3C12">
        <w:rPr>
          <w:rFonts w:ascii="Georgia" w:hAnsi="Georgia"/>
          <w:b/>
          <w:bCs/>
          <w:color w:val="1F1F1F"/>
        </w:rPr>
        <w:t>Hee</w:t>
      </w:r>
      <w:proofErr w:type="spellEnd"/>
      <w:r w:rsidRPr="00ED3C12">
        <w:rPr>
          <w:rFonts w:ascii="Georgia" w:hAnsi="Georgia"/>
          <w:b/>
          <w:bCs/>
          <w:color w:val="1F1F1F"/>
        </w:rPr>
        <w:t xml:space="preserve">-Kim)  </w:t>
      </w:r>
      <w:r>
        <w:rPr>
          <w:rFonts w:ascii="Georgia" w:hAnsi="Georgia"/>
          <w:color w:val="1F1F1F"/>
        </w:rPr>
        <w:t>BPA is a class of manufactured chemicals with structural similarities to the hormone 17ß-estradiol (</w:t>
      </w:r>
      <w:bookmarkStart w:id="0" w:name="bbib69"/>
      <w:r>
        <w:fldChar w:fldCharType="begin"/>
      </w:r>
      <w:r>
        <w:instrText>HYPERLINK "https://www.sciencedirect.com/science/article/pii/S0045653520303428?via%3Dihub" \l "bib69"</w:instrText>
      </w:r>
      <w:r>
        <w:fldChar w:fldCharType="separate"/>
      </w:r>
      <w:r>
        <w:rPr>
          <w:rStyle w:val="anchor-text"/>
          <w:rFonts w:ascii="Georgia" w:hAnsi="Georgia"/>
          <w:color w:val="0000FF"/>
        </w:rPr>
        <w:t>Zimmers et al., 2014</w:t>
      </w:r>
      <w:r>
        <w:fldChar w:fldCharType="end"/>
      </w:r>
      <w:bookmarkEnd w:id="0"/>
      <w:r>
        <w:rPr>
          <w:rFonts w:ascii="Georgia" w:hAnsi="Georgia"/>
          <w:color w:val="1F1F1F"/>
        </w:rPr>
        <w:t>) which may cause damage to the pituitary-thyroid axis, immune system problems, adverse reproductive and</w:t>
      </w:r>
      <w:r>
        <w:rPr>
          <w:rStyle w:val="apple-converted-space"/>
          <w:rFonts w:ascii="Georgia" w:hAnsi="Georgia"/>
          <w:color w:val="1F1F1F"/>
        </w:rPr>
        <w:t> </w:t>
      </w:r>
      <w:hyperlink r:id="rId5" w:tooltip="Learn more about developmental effects from ScienceDirect's AI-generated Topic Pages" w:history="1">
        <w:r>
          <w:rPr>
            <w:rStyle w:val="Hyperlink"/>
            <w:rFonts w:ascii="Georgia" w:hAnsi="Georgia"/>
            <w:color w:val="1F1F1F"/>
          </w:rPr>
          <w:t>developmental effects</w:t>
        </w:r>
      </w:hyperlink>
      <w:r>
        <w:rPr>
          <w:rFonts w:ascii="Georgia" w:hAnsi="Georgia"/>
          <w:color w:val="1F1F1F"/>
        </w:rPr>
        <w:t>, changes in thyroid hormone levels, and increased risk of</w:t>
      </w:r>
      <w:r>
        <w:rPr>
          <w:rStyle w:val="apple-converted-space"/>
          <w:rFonts w:ascii="Georgia" w:hAnsi="Georgia"/>
          <w:color w:val="1F1F1F"/>
        </w:rPr>
        <w:t> </w:t>
      </w:r>
      <w:hyperlink r:id="rId6" w:tooltip="Learn more about type 2 diabetes from ScienceDirect's AI-generated Topic Pages" w:history="1">
        <w:r>
          <w:rPr>
            <w:rStyle w:val="Hyperlink"/>
            <w:rFonts w:ascii="Georgia" w:hAnsi="Georgia"/>
            <w:color w:val="1F1F1F"/>
          </w:rPr>
          <w:t>type 2 diabetes</w:t>
        </w:r>
      </w:hyperlink>
      <w:r>
        <w:rPr>
          <w:rFonts w:ascii="Georgia" w:hAnsi="Georgia"/>
          <w:color w:val="1F1F1F"/>
        </w:rPr>
        <w:t>, infertility, impaired neuropsychological development, low birth weights, and adverse birth outcomes (</w:t>
      </w:r>
      <w:bookmarkStart w:id="1" w:name="bbib39"/>
      <w:r>
        <w:fldChar w:fldCharType="begin"/>
      </w:r>
      <w:r>
        <w:instrText>HYPERLINK "https://www.sciencedirect.com/science/article/pii/S0045653520303428?via%3Dihub" \l "bib39"</w:instrText>
      </w:r>
      <w:r>
        <w:fldChar w:fldCharType="separate"/>
      </w:r>
      <w:r>
        <w:rPr>
          <w:rStyle w:val="anchor-text"/>
          <w:rFonts w:ascii="Georgia" w:hAnsi="Georgia"/>
          <w:color w:val="0000FF"/>
        </w:rPr>
        <w:t>Lee et al., 2014</w:t>
      </w:r>
      <w:r>
        <w:fldChar w:fldCharType="end"/>
      </w:r>
      <w:bookmarkEnd w:id="1"/>
      <w:r>
        <w:rPr>
          <w:rFonts w:ascii="Georgia" w:hAnsi="Georgia"/>
          <w:color w:val="1F1F1F"/>
        </w:rPr>
        <w:t>;</w:t>
      </w:r>
      <w:r>
        <w:rPr>
          <w:rStyle w:val="apple-converted-space"/>
          <w:rFonts w:ascii="Georgia" w:hAnsi="Georgia"/>
          <w:color w:val="1F1F1F"/>
        </w:rPr>
        <w:t> </w:t>
      </w:r>
      <w:bookmarkStart w:id="2" w:name="bbib31"/>
      <w:r>
        <w:fldChar w:fldCharType="begin"/>
      </w:r>
      <w:r>
        <w:instrText>HYPERLINK "https://www.sciencedirect.com/science/article/pii/S0045653520303428?via%3Dihub" \l "bib31"</w:instrText>
      </w:r>
      <w:r>
        <w:fldChar w:fldCharType="separate"/>
      </w:r>
      <w:r>
        <w:rPr>
          <w:rStyle w:val="anchor-text"/>
          <w:rFonts w:ascii="Georgia" w:hAnsi="Georgia"/>
          <w:color w:val="0000FF"/>
        </w:rPr>
        <w:t>Huo et al., 2015</w:t>
      </w:r>
      <w:r>
        <w:fldChar w:fldCharType="end"/>
      </w:r>
      <w:bookmarkEnd w:id="2"/>
      <w:r>
        <w:rPr>
          <w:rFonts w:ascii="Georgia" w:hAnsi="Georgia"/>
          <w:color w:val="1F1F1F"/>
        </w:rPr>
        <w:t>;</w:t>
      </w:r>
      <w:r>
        <w:rPr>
          <w:rStyle w:val="apple-converted-space"/>
          <w:rFonts w:ascii="Georgia" w:hAnsi="Georgia"/>
          <w:color w:val="1F1F1F"/>
        </w:rPr>
        <w:t> </w:t>
      </w:r>
      <w:bookmarkStart w:id="3" w:name="bbib2"/>
      <w:proofErr w:type="spellStart"/>
      <w:r>
        <w:fldChar w:fldCharType="begin"/>
      </w:r>
      <w:r>
        <w:instrText>HYPERLINK "https://www.sciencedirect.com/science/article/pii/S0045653520303428?via%3Dihub" \l "bib2"</w:instrText>
      </w:r>
      <w:r>
        <w:fldChar w:fldCharType="separate"/>
      </w:r>
      <w:r>
        <w:rPr>
          <w:rStyle w:val="anchor-text"/>
          <w:rFonts w:ascii="Georgia" w:hAnsi="Georgia"/>
          <w:color w:val="0000FF"/>
        </w:rPr>
        <w:t>Andrianou</w:t>
      </w:r>
      <w:proofErr w:type="spellEnd"/>
      <w:r>
        <w:rPr>
          <w:rStyle w:val="anchor-text"/>
          <w:rFonts w:ascii="Georgia" w:hAnsi="Georgia"/>
          <w:color w:val="0000FF"/>
        </w:rPr>
        <w:t xml:space="preserve"> et al., 2016</w:t>
      </w:r>
      <w:r>
        <w:fldChar w:fldCharType="end"/>
      </w:r>
      <w:bookmarkEnd w:id="3"/>
      <w:r>
        <w:rPr>
          <w:rFonts w:ascii="Georgia" w:hAnsi="Georgia"/>
          <w:color w:val="1F1F1F"/>
        </w:rPr>
        <w:t>;</w:t>
      </w:r>
      <w:r>
        <w:rPr>
          <w:rStyle w:val="apple-converted-space"/>
          <w:rFonts w:ascii="Georgia" w:hAnsi="Georgia"/>
          <w:color w:val="1F1F1F"/>
        </w:rPr>
        <w:t> </w:t>
      </w:r>
      <w:bookmarkStart w:id="4" w:name="bbib57"/>
      <w:r>
        <w:fldChar w:fldCharType="begin"/>
      </w:r>
      <w:r>
        <w:instrText>HYPERLINK "https://www.sciencedirect.com/science/article/pii/S0045653520303428?via%3Dihub" \l "bib57"</w:instrText>
      </w:r>
      <w:r>
        <w:fldChar w:fldCharType="separate"/>
      </w:r>
      <w:r>
        <w:rPr>
          <w:rStyle w:val="anchor-text"/>
          <w:rFonts w:ascii="Georgia" w:hAnsi="Georgia"/>
          <w:color w:val="0000FF"/>
        </w:rPr>
        <w:t>Song et al., 2016</w:t>
      </w:r>
      <w:r>
        <w:fldChar w:fldCharType="end"/>
      </w:r>
      <w:bookmarkEnd w:id="4"/>
      <w:r>
        <w:rPr>
          <w:rFonts w:ascii="Georgia" w:hAnsi="Georgia"/>
          <w:color w:val="1F1F1F"/>
        </w:rPr>
        <w:t>;</w:t>
      </w:r>
      <w:r>
        <w:rPr>
          <w:rStyle w:val="apple-converted-space"/>
          <w:rFonts w:ascii="Georgia" w:hAnsi="Georgia"/>
          <w:color w:val="1F1F1F"/>
        </w:rPr>
        <w:t> </w:t>
      </w:r>
      <w:bookmarkStart w:id="5" w:name="bbib70"/>
      <w:r>
        <w:fldChar w:fldCharType="begin"/>
      </w:r>
      <w:r>
        <w:instrText>HYPERLINK "https://www.sciencedirect.com/science/article/pii/S0045653520303428?via%3Dihub" \l "bib70"</w:instrText>
      </w:r>
      <w:r>
        <w:fldChar w:fldCharType="separate"/>
      </w:r>
      <w:r>
        <w:rPr>
          <w:rStyle w:val="anchor-text"/>
          <w:rFonts w:ascii="Georgia" w:hAnsi="Georgia"/>
          <w:color w:val="0000FF"/>
        </w:rPr>
        <w:t>Ziv-Gal and Flaws, 2016</w:t>
      </w:r>
      <w:r>
        <w:fldChar w:fldCharType="end"/>
      </w:r>
      <w:bookmarkEnd w:id="5"/>
      <w:r>
        <w:rPr>
          <w:rFonts w:ascii="Georgia" w:hAnsi="Georgia"/>
          <w:color w:val="1F1F1F"/>
        </w:rPr>
        <w:t>). Moreover, strong</w:t>
      </w:r>
      <w:r>
        <w:rPr>
          <w:rStyle w:val="apple-converted-space"/>
          <w:rFonts w:ascii="Georgia" w:hAnsi="Georgia"/>
          <w:color w:val="1F1F1F"/>
        </w:rPr>
        <w:t> </w:t>
      </w:r>
      <w:hyperlink r:id="rId7" w:tooltip="Learn more about endocrine activities from ScienceDirect's AI-generated Topic Pages" w:history="1">
        <w:r>
          <w:rPr>
            <w:rStyle w:val="Hyperlink"/>
            <w:rFonts w:ascii="Georgia" w:hAnsi="Georgia"/>
            <w:color w:val="1F1F1F"/>
          </w:rPr>
          <w:t>endocrine activities</w:t>
        </w:r>
      </w:hyperlink>
      <w:r>
        <w:rPr>
          <w:rStyle w:val="apple-converted-space"/>
          <w:rFonts w:ascii="Georgia" w:hAnsi="Georgia"/>
          <w:color w:val="1F1F1F"/>
        </w:rPr>
        <w:t> </w:t>
      </w:r>
      <w:r>
        <w:rPr>
          <w:rFonts w:ascii="Georgia" w:hAnsi="Georgia"/>
          <w:color w:val="1F1F1F"/>
        </w:rPr>
        <w:t>of BPA substitutes, such as bisphenol S, bisphenol F, and bisphenol B, have been substantiated in the literature (</w:t>
      </w:r>
      <w:bookmarkStart w:id="6" w:name="bbib71"/>
      <w:r>
        <w:fldChar w:fldCharType="begin"/>
      </w:r>
      <w:r>
        <w:instrText>HYPERLINK "https://www.sciencedirect.com/science/article/pii/S0045653520303428?via%3Dihub" \l "bib71"</w:instrText>
      </w:r>
      <w:r>
        <w:fldChar w:fldCharType="separate"/>
      </w:r>
      <w:r>
        <w:rPr>
          <w:rStyle w:val="anchor-text"/>
          <w:rFonts w:ascii="Georgia" w:hAnsi="Georgia"/>
          <w:color w:val="0000FF"/>
        </w:rPr>
        <w:t>Rochester and Bolden, 2015</w:t>
      </w:r>
      <w:r>
        <w:fldChar w:fldCharType="end"/>
      </w:r>
      <w:bookmarkEnd w:id="6"/>
      <w:r>
        <w:rPr>
          <w:rFonts w:ascii="Georgia" w:hAnsi="Georgia"/>
          <w:color w:val="1F1F1F"/>
        </w:rPr>
        <w:t>;</w:t>
      </w:r>
      <w:r>
        <w:rPr>
          <w:rStyle w:val="apple-converted-space"/>
          <w:rFonts w:ascii="Georgia" w:hAnsi="Georgia"/>
          <w:color w:val="1F1F1F"/>
        </w:rPr>
        <w:t> </w:t>
      </w:r>
      <w:bookmarkStart w:id="7" w:name="bbib72"/>
      <w:r>
        <w:fldChar w:fldCharType="begin"/>
      </w:r>
      <w:r>
        <w:instrText>HYPERLINK "https://www.sciencedirect.com/science/article/pii/S0045653520303428?via%3Dihub" \l "bib72"</w:instrText>
      </w:r>
      <w:r>
        <w:fldChar w:fldCharType="separate"/>
      </w:r>
      <w:r>
        <w:rPr>
          <w:rStyle w:val="anchor-text"/>
          <w:rFonts w:ascii="Georgia" w:hAnsi="Georgia"/>
          <w:color w:val="0000FF"/>
        </w:rPr>
        <w:t>Serra et al., 2019</w:t>
      </w:r>
      <w:r>
        <w:fldChar w:fldCharType="end"/>
      </w:r>
      <w:bookmarkEnd w:id="7"/>
      <w:r>
        <w:rPr>
          <w:rFonts w:ascii="Georgia" w:hAnsi="Georgia"/>
          <w:color w:val="1F1F1F"/>
        </w:rPr>
        <w:t>). Animal and human studies have reported that parabens and triclosan are associated with endocrine disruption, especially changes in thyroid hormones, and interference with ion channels (</w:t>
      </w:r>
      <w:bookmarkStart w:id="8" w:name="bbib8"/>
      <w:r>
        <w:fldChar w:fldCharType="begin"/>
      </w:r>
      <w:r>
        <w:instrText>HYPERLINK "https://www.sciencedirect.com/science/article/pii/S0045653520303428?via%3Dihub" \l "bib8"</w:instrText>
      </w:r>
      <w:r>
        <w:fldChar w:fldCharType="separate"/>
      </w:r>
      <w:r>
        <w:rPr>
          <w:rStyle w:val="anchor-text"/>
          <w:rFonts w:ascii="Georgia" w:hAnsi="Georgia"/>
          <w:color w:val="0000FF"/>
        </w:rPr>
        <w:t>Boberg et al., 2010</w:t>
      </w:r>
      <w:r>
        <w:fldChar w:fldCharType="end"/>
      </w:r>
      <w:bookmarkEnd w:id="8"/>
      <w:r>
        <w:rPr>
          <w:rFonts w:ascii="Georgia" w:hAnsi="Georgia"/>
          <w:color w:val="1F1F1F"/>
        </w:rPr>
        <w:t>;</w:t>
      </w:r>
      <w:r>
        <w:rPr>
          <w:rStyle w:val="apple-converted-space"/>
          <w:rFonts w:ascii="Georgia" w:hAnsi="Georgia"/>
          <w:color w:val="1F1F1F"/>
        </w:rPr>
        <w:t> </w:t>
      </w:r>
      <w:bookmarkStart w:id="9" w:name="bbib35"/>
      <w:r>
        <w:fldChar w:fldCharType="begin"/>
      </w:r>
      <w:r>
        <w:instrText>HYPERLINK "https://www.sciencedirect.com/science/article/pii/S0045653520303428?via%3Dihub" \l "bib35"</w:instrText>
      </w:r>
      <w:r>
        <w:fldChar w:fldCharType="separate"/>
      </w:r>
      <w:r>
        <w:rPr>
          <w:rStyle w:val="anchor-text"/>
          <w:rFonts w:ascii="Georgia" w:hAnsi="Georgia"/>
          <w:color w:val="0000FF"/>
        </w:rPr>
        <w:t>Koeppe et al., 2013</w:t>
      </w:r>
      <w:r>
        <w:fldChar w:fldCharType="end"/>
      </w:r>
      <w:bookmarkEnd w:id="9"/>
      <w:r>
        <w:rPr>
          <w:rFonts w:ascii="Georgia" w:hAnsi="Georgia"/>
          <w:color w:val="1F1F1F"/>
        </w:rPr>
        <w:t>;</w:t>
      </w:r>
      <w:r>
        <w:rPr>
          <w:rStyle w:val="apple-converted-space"/>
          <w:rFonts w:ascii="Georgia" w:hAnsi="Georgia"/>
          <w:color w:val="1F1F1F"/>
        </w:rPr>
        <w:t> </w:t>
      </w:r>
      <w:bookmarkStart w:id="10" w:name="bbib25"/>
      <w:proofErr w:type="spellStart"/>
      <w:r>
        <w:fldChar w:fldCharType="begin"/>
      </w:r>
      <w:r>
        <w:instrText>HYPERLINK "https://www.sciencedirect.com/science/article/pii/S0045653520303428?via%3Dihub" \l "bib25"</w:instrText>
      </w:r>
      <w:r>
        <w:fldChar w:fldCharType="separate"/>
      </w:r>
      <w:r>
        <w:rPr>
          <w:rStyle w:val="anchor-text"/>
          <w:rFonts w:ascii="Georgia" w:hAnsi="Georgia"/>
          <w:color w:val="0000FF"/>
        </w:rPr>
        <w:t>Giulivo</w:t>
      </w:r>
      <w:proofErr w:type="spellEnd"/>
      <w:r>
        <w:rPr>
          <w:rStyle w:val="anchor-text"/>
          <w:rFonts w:ascii="Georgia" w:hAnsi="Georgia"/>
          <w:color w:val="0000FF"/>
        </w:rPr>
        <w:t xml:space="preserve"> et al., 2016</w:t>
      </w:r>
      <w:r>
        <w:fldChar w:fldCharType="end"/>
      </w:r>
      <w:bookmarkEnd w:id="10"/>
      <w:r>
        <w:rPr>
          <w:rFonts w:ascii="Georgia" w:hAnsi="Georgia"/>
          <w:color w:val="1F1F1F"/>
        </w:rPr>
        <w:t>;</w:t>
      </w:r>
      <w:r>
        <w:rPr>
          <w:rStyle w:val="apple-converted-space"/>
          <w:rFonts w:ascii="Georgia" w:hAnsi="Georgia"/>
          <w:color w:val="1F1F1F"/>
        </w:rPr>
        <w:t> </w:t>
      </w:r>
      <w:bookmarkStart w:id="11" w:name="bbib68"/>
      <w:r>
        <w:fldChar w:fldCharType="begin"/>
      </w:r>
      <w:r>
        <w:instrText>HYPERLINK "https://www.sciencedirect.com/science/article/pii/S0045653520303428?via%3Dihub" \l "bib68"</w:instrText>
      </w:r>
      <w:r>
        <w:fldChar w:fldCharType="separate"/>
      </w:r>
      <w:r>
        <w:rPr>
          <w:rStyle w:val="anchor-text"/>
          <w:rFonts w:ascii="Georgia" w:hAnsi="Georgia"/>
          <w:color w:val="0000FF"/>
        </w:rPr>
        <w:t>Yueh and Tukey, 2016</w:t>
      </w:r>
      <w:r>
        <w:fldChar w:fldCharType="end"/>
      </w:r>
      <w:bookmarkEnd w:id="11"/>
      <w:r>
        <w:rPr>
          <w:rFonts w:ascii="Georgia" w:hAnsi="Georgia"/>
          <w:color w:val="1F1F1F"/>
        </w:rPr>
        <w:t>;</w:t>
      </w:r>
      <w:r>
        <w:rPr>
          <w:rStyle w:val="apple-converted-space"/>
          <w:rFonts w:ascii="Georgia" w:hAnsi="Georgia"/>
          <w:color w:val="1F1F1F"/>
        </w:rPr>
        <w:t> </w:t>
      </w:r>
      <w:bookmarkStart w:id="12" w:name="bbib61"/>
      <w:r>
        <w:fldChar w:fldCharType="begin"/>
      </w:r>
      <w:r>
        <w:instrText>HYPERLINK "https://www.sciencedirect.com/science/article/pii/S0045653520303428?via%3Dihub" \l "bib61"</w:instrText>
      </w:r>
      <w:r>
        <w:fldChar w:fldCharType="separate"/>
      </w:r>
      <w:r>
        <w:rPr>
          <w:rStyle w:val="anchor-text"/>
          <w:rFonts w:ascii="Georgia" w:hAnsi="Georgia"/>
          <w:color w:val="0000FF"/>
        </w:rPr>
        <w:t>Weatherly and Gosse, 2017</w:t>
      </w:r>
      <w:r>
        <w:fldChar w:fldCharType="end"/>
      </w:r>
      <w:bookmarkEnd w:id="12"/>
      <w:r>
        <w:rPr>
          <w:rFonts w:ascii="Georgia" w:hAnsi="Georgia"/>
          <w:color w:val="1F1F1F"/>
        </w:rPr>
        <w:t>).</w:t>
      </w:r>
    </w:p>
    <w:p w14:paraId="76247F36" w14:textId="77777777" w:rsidR="006B5114" w:rsidRPr="00857C3B" w:rsidRDefault="006B5114" w:rsidP="006B5114">
      <w:pPr>
        <w:pStyle w:val="ListParagraph"/>
        <w:numPr>
          <w:ilvl w:val="1"/>
          <w:numId w:val="1"/>
        </w:numPr>
        <w:rPr>
          <w:rFonts w:ascii="Times New Roman" w:hAnsi="Times New Roman" w:cs="Times New Roman"/>
          <w:i/>
          <w:iCs/>
          <w:color w:val="000000" w:themeColor="text1"/>
          <w:sz w:val="28"/>
          <w:szCs w:val="28"/>
        </w:rPr>
      </w:pPr>
      <w:r>
        <w:rPr>
          <w:rFonts w:ascii="Georgia" w:hAnsi="Georgia"/>
          <w:b/>
          <w:bCs/>
          <w:color w:val="1F1F1F"/>
        </w:rPr>
        <w:t xml:space="preserve">Sources: </w:t>
      </w:r>
    </w:p>
    <w:p w14:paraId="71312B88" w14:textId="77777777" w:rsidR="006B5114" w:rsidRPr="00044FE9" w:rsidRDefault="006B5114" w:rsidP="006B5114">
      <w:pPr>
        <w:pStyle w:val="ListParagraph"/>
        <w:numPr>
          <w:ilvl w:val="2"/>
          <w:numId w:val="1"/>
        </w:numPr>
        <w:rPr>
          <w:rFonts w:ascii="Georgia" w:hAnsi="Georgia"/>
          <w:color w:val="1F1F1F"/>
          <w:sz w:val="22"/>
          <w:szCs w:val="22"/>
        </w:rPr>
      </w:pPr>
      <w:r w:rsidRPr="00044FE9">
        <w:rPr>
          <w:rFonts w:ascii="Georgia" w:hAnsi="Georgia"/>
          <w:color w:val="1F1F1F"/>
          <w:sz w:val="22"/>
          <w:szCs w:val="22"/>
        </w:rPr>
        <w:t>BPA (2,2-bis(4-</w:t>
      </w:r>
      <w:proofErr w:type="gramStart"/>
      <w:r w:rsidRPr="00044FE9">
        <w:rPr>
          <w:rFonts w:ascii="Georgia" w:hAnsi="Georgia"/>
          <w:color w:val="1F1F1F"/>
          <w:sz w:val="22"/>
          <w:szCs w:val="22"/>
        </w:rPr>
        <w:t>hydroxyphenyl)propane</w:t>
      </w:r>
      <w:proofErr w:type="gramEnd"/>
      <w:r w:rsidRPr="00044FE9">
        <w:rPr>
          <w:rFonts w:ascii="Georgia" w:hAnsi="Georgia"/>
          <w:color w:val="1F1F1F"/>
          <w:sz w:val="22"/>
          <w:szCs w:val="22"/>
        </w:rPr>
        <w:t>) is a high production volume chemical used in polycarbonate plastics and epoxy resins, which are used in e.g. CDs and DVDs, tooth fillings, cash receipts, plastic bottles, inner coatings of cans, and relining of water pipes. Food is the main source of exposure in humans because BPA can migrate from cans coated with epoxy as well as other plastics in contact with food or beverages (</w:t>
      </w:r>
      <w:proofErr w:type="spellStart"/>
      <w:r w:rsidRPr="00044FE9">
        <w:rPr>
          <w:rFonts w:ascii="Georgia" w:hAnsi="Georgia"/>
          <w:color w:val="1F1F1F"/>
          <w:sz w:val="22"/>
          <w:szCs w:val="22"/>
        </w:rPr>
        <w:t>Geens</w:t>
      </w:r>
      <w:proofErr w:type="spellEnd"/>
      <w:r w:rsidRPr="00044FE9">
        <w:rPr>
          <w:rFonts w:ascii="Georgia" w:hAnsi="Georgia"/>
          <w:color w:val="1F1F1F"/>
          <w:sz w:val="22"/>
          <w:szCs w:val="22"/>
        </w:rPr>
        <w:t xml:space="preserve"> et al., 2012). In addition, BPA has been detected in indoor dust which may contribute to the exposure (</w:t>
      </w:r>
      <w:proofErr w:type="spellStart"/>
      <w:r w:rsidRPr="00044FE9">
        <w:rPr>
          <w:rFonts w:ascii="Georgia" w:hAnsi="Georgia"/>
          <w:color w:val="1F1F1F"/>
          <w:sz w:val="22"/>
          <w:szCs w:val="22"/>
        </w:rPr>
        <w:t>Geens</w:t>
      </w:r>
      <w:proofErr w:type="spellEnd"/>
      <w:r w:rsidRPr="00044FE9">
        <w:rPr>
          <w:rFonts w:ascii="Georgia" w:hAnsi="Georgia"/>
          <w:color w:val="1F1F1F"/>
          <w:sz w:val="22"/>
          <w:szCs w:val="22"/>
        </w:rPr>
        <w:t xml:space="preserve"> et al., 2009; Loganathan and Kannan, 2011). After ingestion, BPA is readily absorbed, </w:t>
      </w:r>
      <w:proofErr w:type="spellStart"/>
      <w:r w:rsidRPr="00044FE9">
        <w:rPr>
          <w:rFonts w:ascii="Georgia" w:hAnsi="Georgia"/>
          <w:color w:val="1F1F1F"/>
          <w:sz w:val="22"/>
          <w:szCs w:val="22"/>
        </w:rPr>
        <w:t>glucuronidated</w:t>
      </w:r>
      <w:proofErr w:type="spellEnd"/>
      <w:r w:rsidRPr="00044FE9">
        <w:rPr>
          <w:rFonts w:ascii="Georgia" w:hAnsi="Georgia"/>
          <w:color w:val="1F1F1F"/>
          <w:sz w:val="22"/>
          <w:szCs w:val="22"/>
        </w:rPr>
        <w:t xml:space="preserve"> or </w:t>
      </w:r>
      <w:proofErr w:type="spellStart"/>
      <w:r w:rsidRPr="00044FE9">
        <w:rPr>
          <w:rFonts w:ascii="Georgia" w:hAnsi="Georgia"/>
          <w:color w:val="1F1F1F"/>
          <w:sz w:val="22"/>
          <w:szCs w:val="22"/>
        </w:rPr>
        <w:t>sulfatated</w:t>
      </w:r>
      <w:proofErr w:type="spellEnd"/>
      <w:r w:rsidRPr="00044FE9">
        <w:rPr>
          <w:rFonts w:ascii="Georgia" w:hAnsi="Georgia"/>
          <w:color w:val="1F1F1F"/>
          <w:sz w:val="22"/>
          <w:szCs w:val="22"/>
        </w:rPr>
        <w:t xml:space="preserve"> and subsequently excreted in urine with an elimination half-life of less than 6 h (</w:t>
      </w:r>
      <w:proofErr w:type="spellStart"/>
      <w:r w:rsidRPr="00044FE9">
        <w:rPr>
          <w:rFonts w:ascii="Georgia" w:hAnsi="Georgia"/>
          <w:color w:val="1F1F1F"/>
          <w:sz w:val="22"/>
          <w:szCs w:val="22"/>
        </w:rPr>
        <w:t>Völkel</w:t>
      </w:r>
      <w:proofErr w:type="spellEnd"/>
      <w:r w:rsidRPr="00044FE9">
        <w:rPr>
          <w:rFonts w:ascii="Georgia" w:hAnsi="Georgia"/>
          <w:color w:val="1F1F1F"/>
          <w:sz w:val="22"/>
          <w:szCs w:val="22"/>
        </w:rPr>
        <w:t xml:space="preserve"> et al., 2002). The levels of BPA in spot-urine samples reasonably reflect the ongoing average exposure on a population/group level (Christensen et al., 2012; Ye et al.,2011). The dietary BPA exposure may depend more on the food packaging than the food item per se, and especially canned foods are known to contain high </w:t>
      </w:r>
      <w:proofErr w:type="spellStart"/>
      <w:r w:rsidRPr="00044FE9">
        <w:rPr>
          <w:rFonts w:ascii="Georgia" w:hAnsi="Georgia"/>
          <w:color w:val="1F1F1F"/>
          <w:sz w:val="22"/>
          <w:szCs w:val="22"/>
        </w:rPr>
        <w:t>levelsof</w:t>
      </w:r>
      <w:proofErr w:type="spellEnd"/>
      <w:r w:rsidRPr="00044FE9">
        <w:rPr>
          <w:rFonts w:ascii="Georgia" w:hAnsi="Georgia"/>
          <w:color w:val="1F1F1F"/>
          <w:sz w:val="22"/>
          <w:szCs w:val="22"/>
        </w:rPr>
        <w:t xml:space="preserve"> BPA (Cao et al., 2011; Schecter et al., 2010).</w:t>
      </w:r>
    </w:p>
    <w:p w14:paraId="065FF66C" w14:textId="77777777" w:rsidR="006B5114" w:rsidRPr="00857C3B" w:rsidRDefault="006B5114" w:rsidP="006B5114">
      <w:pPr>
        <w:pStyle w:val="ListParagraph"/>
        <w:ind w:left="2520"/>
        <w:rPr>
          <w:rFonts w:ascii="Times New Roman" w:hAnsi="Times New Roman" w:cs="Times New Roman"/>
          <w:i/>
          <w:iCs/>
          <w:color w:val="000000" w:themeColor="text1"/>
          <w:sz w:val="28"/>
          <w:szCs w:val="28"/>
        </w:rPr>
      </w:pPr>
    </w:p>
    <w:p w14:paraId="2A7D4402" w14:textId="77777777" w:rsidR="006B5114" w:rsidRPr="00857C3B" w:rsidRDefault="006B5114" w:rsidP="006B5114">
      <w:pPr>
        <w:pStyle w:val="ListParagraph"/>
        <w:numPr>
          <w:ilvl w:val="2"/>
          <w:numId w:val="1"/>
        </w:numPr>
        <w:rPr>
          <w:rFonts w:ascii="Times New Roman" w:hAnsi="Times New Roman" w:cs="Times New Roman"/>
          <w:i/>
          <w:iCs/>
          <w:color w:val="000000" w:themeColor="text1"/>
        </w:rPr>
      </w:pPr>
      <w:r w:rsidRPr="00857C3B">
        <w:rPr>
          <w:rFonts w:ascii="Times New Roman" w:hAnsi="Times New Roman" w:cs="Times New Roman"/>
          <w:color w:val="000000" w:themeColor="text1"/>
        </w:rPr>
        <w:t xml:space="preserve">Parabens are used as antimicrobial preservatives in personal care products, cosmetics and pharmaceuticals. The maximum level of parabens in cosmetics is restricted by the European Cosmetic Directive </w:t>
      </w:r>
      <w:r w:rsidRPr="00857C3B">
        <w:rPr>
          <w:rFonts w:ascii="Times New Roman" w:hAnsi="Times New Roman" w:cs="Times New Roman"/>
          <w:color w:val="000000" w:themeColor="text1"/>
        </w:rPr>
        <w:lastRenderedPageBreak/>
        <w:t>to 0.4% for one ester and 0.8% for a mixture of esters (EC, 2009). Methylparaben (</w:t>
      </w:r>
      <w:proofErr w:type="spellStart"/>
      <w:r w:rsidRPr="00857C3B">
        <w:rPr>
          <w:rFonts w:ascii="Times New Roman" w:hAnsi="Times New Roman" w:cs="Times New Roman"/>
          <w:color w:val="000000" w:themeColor="text1"/>
        </w:rPr>
        <w:t>MetP</w:t>
      </w:r>
      <w:proofErr w:type="spellEnd"/>
      <w:r w:rsidRPr="00857C3B">
        <w:rPr>
          <w:rFonts w:ascii="Times New Roman" w:hAnsi="Times New Roman" w:cs="Times New Roman"/>
          <w:color w:val="000000" w:themeColor="text1"/>
        </w:rPr>
        <w:t xml:space="preserve">), </w:t>
      </w:r>
      <w:proofErr w:type="spellStart"/>
      <w:r w:rsidRPr="00857C3B">
        <w:rPr>
          <w:rFonts w:ascii="Times New Roman" w:hAnsi="Times New Roman" w:cs="Times New Roman"/>
          <w:color w:val="000000" w:themeColor="text1"/>
        </w:rPr>
        <w:t>ethylparaben</w:t>
      </w:r>
      <w:proofErr w:type="spellEnd"/>
      <w:r w:rsidRPr="00857C3B">
        <w:rPr>
          <w:rFonts w:ascii="Times New Roman" w:hAnsi="Times New Roman" w:cs="Times New Roman"/>
          <w:color w:val="000000" w:themeColor="text1"/>
        </w:rPr>
        <w:t xml:space="preserve"> (</w:t>
      </w:r>
      <w:proofErr w:type="spellStart"/>
      <w:r w:rsidRPr="00857C3B">
        <w:rPr>
          <w:rFonts w:ascii="Times New Roman" w:hAnsi="Times New Roman" w:cs="Times New Roman"/>
          <w:color w:val="000000" w:themeColor="text1"/>
        </w:rPr>
        <w:t>EthP</w:t>
      </w:r>
      <w:proofErr w:type="spellEnd"/>
      <w:r w:rsidRPr="00857C3B">
        <w:rPr>
          <w:rFonts w:ascii="Times New Roman" w:hAnsi="Times New Roman" w:cs="Times New Roman"/>
          <w:color w:val="000000" w:themeColor="text1"/>
        </w:rPr>
        <w:t>) and propylparaben (</w:t>
      </w:r>
      <w:proofErr w:type="spellStart"/>
      <w:r w:rsidRPr="00857C3B">
        <w:rPr>
          <w:rFonts w:ascii="Times New Roman" w:hAnsi="Times New Roman" w:cs="Times New Roman"/>
          <w:color w:val="000000" w:themeColor="text1"/>
        </w:rPr>
        <w:t>ProP</w:t>
      </w:r>
      <w:proofErr w:type="spellEnd"/>
      <w:r w:rsidRPr="00857C3B">
        <w:rPr>
          <w:rFonts w:ascii="Times New Roman" w:hAnsi="Times New Roman" w:cs="Times New Roman"/>
          <w:color w:val="000000" w:themeColor="text1"/>
        </w:rPr>
        <w:t>) are also permitted as food preservatives in confectionary and dried meat (EC, 1995). Parabens are readily absorbed orally and to a lesser extent dermally.</w:t>
      </w:r>
      <w:r w:rsidRPr="00857C3B">
        <w:rPr>
          <w:sz w:val="22"/>
          <w:szCs w:val="22"/>
        </w:rPr>
        <w:t xml:space="preserve"> </w:t>
      </w:r>
      <w:r w:rsidRPr="00857C3B">
        <w:rPr>
          <w:rFonts w:ascii="Times New Roman" w:hAnsi="Times New Roman" w:cs="Times New Roman"/>
          <w:color w:val="000000" w:themeColor="text1"/>
        </w:rPr>
        <w:t>Parabens are used as antimicrobial preservatives in personal care products, cosmetics and pharmaceuticals. The maximum level of parabens in cosmetics is restricted by the European Cosmetic Directive to 0.4% for one ester and 0.8% for a mixture of esters (EC, 2009). Methylparaben (</w:t>
      </w:r>
      <w:proofErr w:type="spellStart"/>
      <w:r w:rsidRPr="00857C3B">
        <w:rPr>
          <w:rFonts w:ascii="Times New Roman" w:hAnsi="Times New Roman" w:cs="Times New Roman"/>
          <w:color w:val="000000" w:themeColor="text1"/>
        </w:rPr>
        <w:t>MetP</w:t>
      </w:r>
      <w:proofErr w:type="spellEnd"/>
      <w:r w:rsidRPr="00857C3B">
        <w:rPr>
          <w:rFonts w:ascii="Times New Roman" w:hAnsi="Times New Roman" w:cs="Times New Roman"/>
          <w:color w:val="000000" w:themeColor="text1"/>
        </w:rPr>
        <w:t xml:space="preserve">), </w:t>
      </w:r>
      <w:proofErr w:type="spellStart"/>
      <w:r w:rsidRPr="00857C3B">
        <w:rPr>
          <w:rFonts w:ascii="Times New Roman" w:hAnsi="Times New Roman" w:cs="Times New Roman"/>
          <w:color w:val="000000" w:themeColor="text1"/>
        </w:rPr>
        <w:t>ethylparaben</w:t>
      </w:r>
      <w:proofErr w:type="spellEnd"/>
      <w:r w:rsidRPr="00857C3B">
        <w:rPr>
          <w:rFonts w:ascii="Times New Roman" w:hAnsi="Times New Roman" w:cs="Times New Roman"/>
          <w:color w:val="000000" w:themeColor="text1"/>
        </w:rPr>
        <w:t xml:space="preserve"> (</w:t>
      </w:r>
      <w:proofErr w:type="spellStart"/>
      <w:r w:rsidRPr="00857C3B">
        <w:rPr>
          <w:rFonts w:ascii="Times New Roman" w:hAnsi="Times New Roman" w:cs="Times New Roman"/>
          <w:color w:val="000000" w:themeColor="text1"/>
        </w:rPr>
        <w:t>EthP</w:t>
      </w:r>
      <w:proofErr w:type="spellEnd"/>
      <w:r w:rsidRPr="00857C3B">
        <w:rPr>
          <w:rFonts w:ascii="Times New Roman" w:hAnsi="Times New Roman" w:cs="Times New Roman"/>
          <w:color w:val="000000" w:themeColor="text1"/>
        </w:rPr>
        <w:t>) and propylparaben (</w:t>
      </w:r>
      <w:proofErr w:type="spellStart"/>
      <w:r w:rsidRPr="00857C3B">
        <w:rPr>
          <w:rFonts w:ascii="Times New Roman" w:hAnsi="Times New Roman" w:cs="Times New Roman"/>
          <w:color w:val="000000" w:themeColor="text1"/>
        </w:rPr>
        <w:t>ProP</w:t>
      </w:r>
      <w:proofErr w:type="spellEnd"/>
      <w:r w:rsidRPr="00857C3B">
        <w:rPr>
          <w:rFonts w:ascii="Times New Roman" w:hAnsi="Times New Roman" w:cs="Times New Roman"/>
          <w:color w:val="000000" w:themeColor="text1"/>
        </w:rPr>
        <w:t>) are also permitted as food preservatives in confectionary and dried meat (EC, 1995). Parabens are readily absorbed orally and to a lesser extent dermally.</w:t>
      </w:r>
    </w:p>
    <w:p w14:paraId="22A6D21A" w14:textId="77777777" w:rsidR="006B5114" w:rsidRDefault="006B5114" w:rsidP="006B5114">
      <w:pPr>
        <w:pStyle w:val="ListParagraph"/>
        <w:numPr>
          <w:ilvl w:val="2"/>
          <w:numId w:val="1"/>
        </w:numPr>
        <w:rPr>
          <w:rFonts w:ascii="Georgia" w:hAnsi="Georgia"/>
          <w:color w:val="1F1F1F"/>
        </w:rPr>
      </w:pPr>
      <w:r w:rsidRPr="00857C3B">
        <w:rPr>
          <w:rFonts w:ascii="Georgia" w:hAnsi="Georgia"/>
          <w:color w:val="1F1F1F"/>
        </w:rPr>
        <w:t>Triclosan: TCS (5-chloro-2-(2,4-</w:t>
      </w:r>
      <w:proofErr w:type="gramStart"/>
      <w:r w:rsidRPr="00857C3B">
        <w:rPr>
          <w:rFonts w:ascii="Georgia" w:hAnsi="Georgia"/>
          <w:color w:val="1F1F1F"/>
        </w:rPr>
        <w:t>dichlorophenoxy)phenol</w:t>
      </w:r>
      <w:proofErr w:type="gramEnd"/>
      <w:r w:rsidRPr="00857C3B">
        <w:rPr>
          <w:rFonts w:ascii="Georgia" w:hAnsi="Georgia"/>
          <w:color w:val="1F1F1F"/>
        </w:rPr>
        <w:t xml:space="preserve">) is used as an anti-microbial agent in personal care products such as deodorants, toothpastes, mouth washes and shower gels, </w:t>
      </w:r>
      <w:proofErr w:type="gramStart"/>
      <w:r w:rsidRPr="00857C3B">
        <w:rPr>
          <w:rFonts w:ascii="Georgia" w:hAnsi="Georgia"/>
          <w:color w:val="1F1F1F"/>
        </w:rPr>
        <w:t>and also</w:t>
      </w:r>
      <w:proofErr w:type="gramEnd"/>
      <w:r w:rsidRPr="00857C3B">
        <w:rPr>
          <w:rFonts w:ascii="Georgia" w:hAnsi="Georgia"/>
          <w:color w:val="1F1F1F"/>
        </w:rPr>
        <w:t xml:space="preserve"> in consumer products</w:t>
      </w:r>
      <w:r>
        <w:rPr>
          <w:rFonts w:ascii="Georgia" w:hAnsi="Georgia"/>
          <w:color w:val="1F1F1F"/>
        </w:rPr>
        <w:t xml:space="preserve"> </w:t>
      </w:r>
      <w:r w:rsidRPr="00857C3B">
        <w:rPr>
          <w:rFonts w:ascii="Georgia" w:hAnsi="Georgia"/>
          <w:color w:val="1F1F1F"/>
        </w:rPr>
        <w:t>such as cleaning products, plastics and toys (</w:t>
      </w:r>
      <w:proofErr w:type="spellStart"/>
      <w:r w:rsidRPr="00857C3B">
        <w:rPr>
          <w:rFonts w:ascii="Georgia" w:hAnsi="Georgia"/>
          <w:color w:val="1F1F1F"/>
        </w:rPr>
        <w:t>Bedoux</w:t>
      </w:r>
      <w:proofErr w:type="spellEnd"/>
      <w:r w:rsidRPr="00857C3B">
        <w:rPr>
          <w:rFonts w:ascii="Georgia" w:hAnsi="Georgia"/>
          <w:color w:val="1F1F1F"/>
        </w:rPr>
        <w:t xml:space="preserve"> et al., 2012). TCS</w:t>
      </w:r>
      <w:r>
        <w:rPr>
          <w:rFonts w:ascii="Georgia" w:hAnsi="Georgia"/>
          <w:color w:val="1F1F1F"/>
        </w:rPr>
        <w:t xml:space="preserve"> </w:t>
      </w:r>
      <w:r w:rsidRPr="00857C3B">
        <w:rPr>
          <w:rFonts w:ascii="Georgia" w:hAnsi="Georgia"/>
          <w:color w:val="1F1F1F"/>
        </w:rPr>
        <w:t>is approved by the European Cosmetic Directive for use in cosmetic</w:t>
      </w:r>
      <w:r>
        <w:rPr>
          <w:rFonts w:ascii="Georgia" w:hAnsi="Georgia"/>
          <w:color w:val="1F1F1F"/>
        </w:rPr>
        <w:t xml:space="preserve"> </w:t>
      </w:r>
      <w:r w:rsidRPr="00857C3B">
        <w:rPr>
          <w:rFonts w:ascii="Georgia" w:hAnsi="Georgia"/>
          <w:color w:val="1F1F1F"/>
        </w:rPr>
        <w:t>products in concentrations up to 0.3% (EC, 2009</w:t>
      </w:r>
      <w:proofErr w:type="gramStart"/>
      <w:r w:rsidRPr="00857C3B">
        <w:rPr>
          <w:rFonts w:ascii="Georgia" w:hAnsi="Georgia"/>
          <w:color w:val="1F1F1F"/>
        </w:rPr>
        <w:t>), but</w:t>
      </w:r>
      <w:proofErr w:type="gramEnd"/>
      <w:r w:rsidRPr="00857C3B">
        <w:rPr>
          <w:rFonts w:ascii="Georgia" w:hAnsi="Georgia"/>
          <w:color w:val="1F1F1F"/>
        </w:rPr>
        <w:t xml:space="preserve"> is no longer permitted for use in food contact materials (EC, 2010). TCS is readily</w:t>
      </w:r>
      <w:r>
        <w:rPr>
          <w:rFonts w:ascii="Georgia" w:hAnsi="Georgia"/>
          <w:color w:val="1F1F1F"/>
        </w:rPr>
        <w:t xml:space="preserve"> </w:t>
      </w:r>
      <w:r w:rsidRPr="00857C3B">
        <w:rPr>
          <w:rFonts w:ascii="Georgia" w:hAnsi="Georgia"/>
          <w:color w:val="1F1F1F"/>
        </w:rPr>
        <w:t>absorbed by the gastrointestinal tract, whereas the uptake via the oral</w:t>
      </w:r>
      <w:r>
        <w:rPr>
          <w:rFonts w:ascii="Georgia" w:hAnsi="Georgia"/>
          <w:color w:val="1F1F1F"/>
        </w:rPr>
        <w:t xml:space="preserve"> </w:t>
      </w:r>
      <w:r w:rsidRPr="00857C3B">
        <w:rPr>
          <w:rFonts w:ascii="Georgia" w:hAnsi="Georgia"/>
          <w:color w:val="1F1F1F"/>
        </w:rPr>
        <w:t>cavity and skin is lower (SCCP, 2009).</w:t>
      </w:r>
    </w:p>
    <w:p w14:paraId="74D6ECF5" w14:textId="77777777" w:rsidR="006B5114" w:rsidRPr="00857C3B" w:rsidRDefault="006B5114" w:rsidP="006B5114">
      <w:pPr>
        <w:pStyle w:val="ListParagraph"/>
        <w:numPr>
          <w:ilvl w:val="2"/>
          <w:numId w:val="1"/>
        </w:numPr>
        <w:rPr>
          <w:rFonts w:ascii="Georgia" w:hAnsi="Georgia"/>
          <w:color w:val="1F1F1F"/>
        </w:rPr>
      </w:pPr>
    </w:p>
    <w:p w14:paraId="744D7813" w14:textId="77777777" w:rsidR="006B5114" w:rsidRDefault="006B5114" w:rsidP="006B5114">
      <w:pPr>
        <w:ind w:firstLine="720"/>
        <w:rPr>
          <w:rFonts w:ascii="Times New Roman" w:hAnsi="Times New Roman" w:cs="Times New Roman"/>
          <w:i/>
          <w:iCs/>
          <w:color w:val="000000" w:themeColor="text1"/>
          <w:sz w:val="28"/>
          <w:szCs w:val="28"/>
        </w:rPr>
      </w:pPr>
    </w:p>
    <w:p w14:paraId="5B046185" w14:textId="77777777" w:rsidR="006B5114" w:rsidRDefault="006B5114" w:rsidP="006B5114">
      <w:pPr>
        <w:ind w:firstLine="720"/>
        <w:rPr>
          <w:rFonts w:ascii="Times New Roman" w:hAnsi="Times New Roman" w:cs="Times New Roman"/>
          <w:i/>
          <w:iCs/>
          <w:color w:val="000000" w:themeColor="text1"/>
          <w:sz w:val="28"/>
          <w:szCs w:val="28"/>
        </w:rPr>
      </w:pPr>
    </w:p>
    <w:p w14:paraId="521E0574" w14:textId="77777777" w:rsidR="006B5114" w:rsidRDefault="006B5114" w:rsidP="006B5114">
      <w:pPr>
        <w:ind w:firstLine="720"/>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 xml:space="preserve">Comparison of findings to the literature </w:t>
      </w:r>
    </w:p>
    <w:p w14:paraId="64C420AF" w14:textId="77777777" w:rsidR="006B5114" w:rsidRDefault="006B5114" w:rsidP="006B5114">
      <w:pPr>
        <w:ind w:firstLine="720"/>
        <w:rPr>
          <w:rFonts w:ascii="Times New Roman" w:hAnsi="Times New Roman" w:cs="Times New Roman"/>
          <w:i/>
          <w:iCs/>
          <w:color w:val="000000" w:themeColor="text1"/>
          <w:sz w:val="28"/>
          <w:szCs w:val="28"/>
        </w:rPr>
      </w:pPr>
    </w:p>
    <w:p w14:paraId="5326C8D8" w14:textId="77777777" w:rsidR="006B5114" w:rsidRPr="00B8252F" w:rsidRDefault="006B5114" w:rsidP="006B5114">
      <w:pPr>
        <w:pStyle w:val="ListParagraph"/>
        <w:numPr>
          <w:ilvl w:val="0"/>
          <w:numId w:val="1"/>
        </w:numPr>
        <w:spacing w:line="240" w:lineRule="auto"/>
        <w:rPr>
          <w:rFonts w:ascii="Times New Roman" w:hAnsi="Times New Roman" w:cs="Times New Roman"/>
          <w:i/>
          <w:iCs/>
          <w:color w:val="000000" w:themeColor="text1"/>
        </w:rPr>
      </w:pPr>
      <w:r>
        <w:rPr>
          <w:rFonts w:ascii="Times New Roman" w:hAnsi="Times New Roman" w:cs="Times New Roman"/>
          <w:color w:val="000000" w:themeColor="text1"/>
          <w:sz w:val="28"/>
          <w:szCs w:val="28"/>
        </w:rPr>
        <w:t xml:space="preserve">While our findings were not statistically significant, the BPA findings are consistent with additional NHANEs </w:t>
      </w:r>
      <w:proofErr w:type="spellStart"/>
      <w:r>
        <w:rPr>
          <w:rFonts w:ascii="Times New Roman" w:hAnsi="Times New Roman" w:cs="Times New Roman"/>
          <w:color w:val="000000" w:themeColor="text1"/>
          <w:sz w:val="28"/>
          <w:szCs w:val="28"/>
        </w:rPr>
        <w:t>studiesthat</w:t>
      </w:r>
      <w:proofErr w:type="spellEnd"/>
      <w:r>
        <w:rPr>
          <w:rFonts w:ascii="Times New Roman" w:hAnsi="Times New Roman" w:cs="Times New Roman"/>
          <w:color w:val="000000" w:themeColor="text1"/>
          <w:sz w:val="28"/>
          <w:szCs w:val="28"/>
        </w:rPr>
        <w:t xml:space="preserve"> found higher levels of BPA among </w:t>
      </w:r>
      <w:proofErr w:type="spellStart"/>
      <w:r>
        <w:rPr>
          <w:rFonts w:ascii="Times New Roman" w:hAnsi="Times New Roman" w:cs="Times New Roman"/>
          <w:color w:val="000000" w:themeColor="text1"/>
          <w:sz w:val="28"/>
          <w:szCs w:val="28"/>
        </w:rPr>
        <w:t>indivdiuals</w:t>
      </w:r>
      <w:proofErr w:type="spellEnd"/>
      <w:r>
        <w:rPr>
          <w:rFonts w:ascii="Times New Roman" w:hAnsi="Times New Roman" w:cs="Times New Roman"/>
          <w:color w:val="000000" w:themeColor="text1"/>
          <w:sz w:val="28"/>
          <w:szCs w:val="28"/>
        </w:rPr>
        <w:t xml:space="preserve"> with very low food security. </w:t>
      </w:r>
      <w:r w:rsidRPr="00747FFE">
        <w:rPr>
          <w:rFonts w:ascii="Cambria" w:hAnsi="Cambria"/>
          <w:color w:val="1B1B1B"/>
          <w:shd w:val="clear" w:color="auto" w:fill="FFFFFF"/>
        </w:rPr>
        <w:t>while BPA concentrations were higher in individuals who reported low food security (</w:t>
      </w:r>
      <w:hyperlink r:id="rId8" w:anchor="R48" w:history="1">
        <w:r w:rsidRPr="00747FFE">
          <w:rPr>
            <w:rStyle w:val="Hyperlink"/>
            <w:rFonts w:ascii="Cambria" w:hAnsi="Cambria"/>
            <w:color w:val="54278F"/>
          </w:rPr>
          <w:t xml:space="preserve">Nelson et </w:t>
        </w:r>
        <w:r w:rsidRPr="00747FFE">
          <w:rPr>
            <w:rStyle w:val="Hyperlink"/>
            <w:rFonts w:ascii="Cambria" w:hAnsi="Cambria"/>
            <w:color w:val="54278F"/>
          </w:rPr>
          <w:t>a</w:t>
        </w:r>
        <w:r w:rsidRPr="00747FFE">
          <w:rPr>
            <w:rStyle w:val="Hyperlink"/>
            <w:rFonts w:ascii="Cambria" w:hAnsi="Cambria"/>
            <w:color w:val="54278F"/>
          </w:rPr>
          <w:t>l. 2012</w:t>
        </w:r>
      </w:hyperlink>
      <w:r>
        <w:rPr>
          <w:sz w:val="22"/>
          <w:szCs w:val="22"/>
        </w:rPr>
        <w:t>)</w:t>
      </w:r>
    </w:p>
    <w:p w14:paraId="11F3D632" w14:textId="77777777" w:rsidR="006B5114" w:rsidRPr="00B8252F" w:rsidRDefault="006B5114" w:rsidP="006B5114">
      <w:pPr>
        <w:pStyle w:val="ListParagraph"/>
        <w:numPr>
          <w:ilvl w:val="0"/>
          <w:numId w:val="1"/>
        </w:numPr>
        <w:spacing w:line="240" w:lineRule="auto"/>
        <w:rPr>
          <w:rFonts w:ascii="Times New Roman" w:hAnsi="Times New Roman" w:cs="Times New Roman"/>
          <w:i/>
          <w:iCs/>
          <w:color w:val="000000" w:themeColor="text1"/>
        </w:rPr>
      </w:pPr>
    </w:p>
    <w:p w14:paraId="526CF9D4" w14:textId="77777777" w:rsidR="006B5114" w:rsidRDefault="006B5114" w:rsidP="006B5114">
      <w:pPr>
        <w:pStyle w:val="ListParagraph"/>
        <w:numPr>
          <w:ilvl w:val="0"/>
          <w:numId w:val="1"/>
        </w:numPr>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 xml:space="preserve">One thing to consider in comparison: are LODs the same and thus how do measurements/differences in present study compare in magnitude? </w:t>
      </w:r>
    </w:p>
    <w:p w14:paraId="39B926AA" w14:textId="77777777" w:rsidR="006B5114" w:rsidRPr="00747FFE" w:rsidRDefault="006B5114" w:rsidP="006B5114">
      <w:pPr>
        <w:pStyle w:val="ListParagraph"/>
        <w:numPr>
          <w:ilvl w:val="0"/>
          <w:numId w:val="1"/>
        </w:numPr>
        <w:spacing w:line="240" w:lineRule="auto"/>
        <w:rPr>
          <w:rFonts w:ascii="Times New Roman" w:hAnsi="Times New Roman" w:cs="Times New Roman"/>
          <w:i/>
          <w:iCs/>
          <w:color w:val="000000" w:themeColor="text1"/>
        </w:rPr>
      </w:pPr>
      <w:r w:rsidRPr="00747FFE">
        <w:rPr>
          <w:rStyle w:val="apple-converted-space"/>
          <w:rFonts w:ascii="Cambria" w:hAnsi="Cambria"/>
          <w:color w:val="1B1B1B"/>
          <w:shd w:val="clear" w:color="auto" w:fill="FFFFFF"/>
        </w:rPr>
        <w:t xml:space="preserve"> (point here and below from Kim Ngyuen) </w:t>
      </w:r>
      <w:r w:rsidRPr="00747FFE">
        <w:rPr>
          <w:rFonts w:ascii="Cambria" w:hAnsi="Cambria"/>
          <w:color w:val="1B1B1B"/>
          <w:shd w:val="clear" w:color="auto" w:fill="FFFFFF"/>
        </w:rPr>
        <w:t xml:space="preserve">For instance, one analysis compared geometric mean concentrations of 228 chemical biomarkers between six groups </w:t>
      </w:r>
      <w:r w:rsidRPr="00747FFE">
        <w:rPr>
          <w:rFonts w:ascii="Cambria" w:hAnsi="Cambria"/>
          <w:color w:val="1B1B1B"/>
          <w:shd w:val="clear" w:color="auto" w:fill="FFFFFF"/>
        </w:rPr>
        <w:lastRenderedPageBreak/>
        <w:t>stratified by income and race in NHANES and identified 37 chemicals as likely contributing to environmental justice (</w:t>
      </w:r>
      <w:hyperlink r:id="rId9" w:anchor="R5" w:history="1">
        <w:r w:rsidRPr="00747FFE">
          <w:rPr>
            <w:rStyle w:val="Hyperlink"/>
            <w:rFonts w:ascii="Cambria" w:hAnsi="Cambria"/>
            <w:color w:val="54278F"/>
          </w:rPr>
          <w:t>Belova et al. 2013</w:t>
        </w:r>
      </w:hyperlink>
      <w:r w:rsidRPr="00747FFE">
        <w:rPr>
          <w:rFonts w:ascii="Cambria" w:hAnsi="Cambria"/>
          <w:color w:val="1B1B1B"/>
          <w:shd w:val="clear" w:color="auto" w:fill="FFFFFF"/>
        </w:rPr>
        <w:t>). Some of these chemicals, including cotinine, lead, 2,4- and 2,5-dichlorophenol, methyl paraben, and propyl paraben, were associated with the highest disparities across race/ethnic group in the present study. We also compared chemical exposures disparities across racial/ethnic groups with and without adjustment for income and found that cotinine, PCB 194, methyl mercury, and chemicals used in personal care products such as benzophenone-3, the parabens, and triclosan show disparities across both race and socioeconomic status. However, for most of the studied chemicals, differences in chemical exposures were not driven by socioeconomic status but were instead primarily associated with race/ethnicity. Furthermore, a study of racial and social disparities in exposure to BPA and PFAS examined differences in biomarker concentrations in NHANES study participants (</w:t>
      </w:r>
      <w:hyperlink r:id="rId10" w:anchor="R48" w:history="1">
        <w:r w:rsidRPr="00747FFE">
          <w:rPr>
            <w:rStyle w:val="Hyperlink"/>
            <w:rFonts w:ascii="Cambria" w:hAnsi="Cambria"/>
            <w:color w:val="54278F"/>
          </w:rPr>
          <w:t>Nelson et al. 2012</w:t>
        </w:r>
      </w:hyperlink>
      <w:r w:rsidRPr="00747FFE">
        <w:rPr>
          <w:rFonts w:ascii="Cambria" w:hAnsi="Cambria"/>
          <w:color w:val="1B1B1B"/>
          <w:shd w:val="clear" w:color="auto" w:fill="FFFFFF"/>
        </w:rPr>
        <w:t xml:space="preserve">). The concentrations of the four PFAS chemicals examined, PFOA, PFOS, PFNA, and </w:t>
      </w:r>
      <w:proofErr w:type="spellStart"/>
      <w:r w:rsidRPr="00747FFE">
        <w:rPr>
          <w:rFonts w:ascii="Cambria" w:hAnsi="Cambria"/>
          <w:color w:val="1B1B1B"/>
          <w:shd w:val="clear" w:color="auto" w:fill="FFFFFF"/>
        </w:rPr>
        <w:t>PFHxS</w:t>
      </w:r>
      <w:proofErr w:type="spellEnd"/>
      <w:r w:rsidRPr="00747FFE">
        <w:rPr>
          <w:rFonts w:ascii="Cambria" w:hAnsi="Cambria"/>
          <w:color w:val="1B1B1B"/>
          <w:shd w:val="clear" w:color="auto" w:fill="FFFFFF"/>
        </w:rPr>
        <w:t xml:space="preserve">, were inversely associated with household income, </w:t>
      </w:r>
    </w:p>
    <w:p w14:paraId="0F0D09C6" w14:textId="77777777" w:rsidR="006B5114" w:rsidRPr="00747FFE" w:rsidRDefault="006B5114" w:rsidP="006B5114">
      <w:pPr>
        <w:pStyle w:val="ListParagraph"/>
        <w:numPr>
          <w:ilvl w:val="0"/>
          <w:numId w:val="1"/>
        </w:numPr>
        <w:spacing w:line="240" w:lineRule="auto"/>
        <w:rPr>
          <w:rFonts w:ascii="Times New Roman" w:hAnsi="Times New Roman" w:cs="Times New Roman"/>
          <w:color w:val="000000" w:themeColor="text1"/>
        </w:rPr>
      </w:pPr>
      <w:r w:rsidRPr="00747FFE">
        <w:rPr>
          <w:rFonts w:ascii="Times New Roman" w:hAnsi="Times New Roman" w:cs="Times New Roman"/>
          <w:color w:val="000000" w:themeColor="text1"/>
        </w:rPr>
        <w:t xml:space="preserve">Differences in concentrations of methyl and propyl paraben biomarkers were among the highest observed in this study, particularly for the youngest non-Hispanic Black women. These differences were observed to remain consistently higher across the NHANES cycles in Mexican Americans, Other Hispanics, and non-Hispanic Blacks. These chemicals have been used as preservatives in personal care products, pharmaceuticals, and food additives, and have been found to promote cell growth through multiple mechanisms, including </w:t>
      </w:r>
      <w:proofErr w:type="spellStart"/>
      <w:r w:rsidRPr="00747FFE">
        <w:rPr>
          <w:rFonts w:ascii="Times New Roman" w:hAnsi="Times New Roman" w:cs="Times New Roman"/>
          <w:color w:val="000000" w:themeColor="text1"/>
        </w:rPr>
        <w:t>estrogenicity</w:t>
      </w:r>
      <w:proofErr w:type="spellEnd"/>
      <w:r w:rsidRPr="00747FFE">
        <w:rPr>
          <w:rFonts w:ascii="Times New Roman" w:hAnsi="Times New Roman" w:cs="Times New Roman"/>
          <w:color w:val="000000" w:themeColor="text1"/>
        </w:rPr>
        <w:t xml:space="preserve"> (</w:t>
      </w:r>
      <w:hyperlink r:id="rId11" w:anchor="R21" w:history="1">
        <w:r w:rsidRPr="00747FFE">
          <w:rPr>
            <w:rStyle w:val="Hyperlink"/>
            <w:rFonts w:ascii="Times New Roman" w:hAnsi="Times New Roman" w:cs="Times New Roman"/>
          </w:rPr>
          <w:t>Gonzalez et al. 2018</w:t>
        </w:r>
      </w:hyperlink>
      <w:r w:rsidRPr="00747FFE">
        <w:rPr>
          <w:rFonts w:ascii="Times New Roman" w:hAnsi="Times New Roman" w:cs="Times New Roman"/>
          <w:color w:val="000000" w:themeColor="text1"/>
        </w:rPr>
        <w:t>, </w:t>
      </w:r>
      <w:hyperlink r:id="rId12" w:anchor="R22" w:history="1">
        <w:r w:rsidRPr="00747FFE">
          <w:rPr>
            <w:rStyle w:val="Hyperlink"/>
            <w:rFonts w:ascii="Times New Roman" w:hAnsi="Times New Roman" w:cs="Times New Roman"/>
          </w:rPr>
          <w:t>2019</w:t>
        </w:r>
      </w:hyperlink>
      <w:r w:rsidRPr="00747FFE">
        <w:rPr>
          <w:rFonts w:ascii="Times New Roman" w:hAnsi="Times New Roman" w:cs="Times New Roman"/>
          <w:color w:val="000000" w:themeColor="text1"/>
        </w:rPr>
        <w:t>; </w:t>
      </w:r>
      <w:hyperlink r:id="rId13" w:anchor="R50" w:history="1">
        <w:r w:rsidRPr="00747FFE">
          <w:rPr>
            <w:rStyle w:val="Hyperlink"/>
            <w:rFonts w:ascii="Times New Roman" w:hAnsi="Times New Roman" w:cs="Times New Roman"/>
          </w:rPr>
          <w:t>Okubo et al. 2001</w:t>
        </w:r>
      </w:hyperlink>
      <w:r w:rsidRPr="00747FFE">
        <w:rPr>
          <w:rFonts w:ascii="Times New Roman" w:hAnsi="Times New Roman" w:cs="Times New Roman"/>
          <w:color w:val="000000" w:themeColor="text1"/>
        </w:rPr>
        <w:t>) and epidermal growth factor receptor signaling (</w:t>
      </w:r>
      <w:hyperlink r:id="rId14" w:anchor="R51" w:history="1">
        <w:r w:rsidRPr="00747FFE">
          <w:rPr>
            <w:rStyle w:val="Hyperlink"/>
            <w:rFonts w:ascii="Times New Roman" w:hAnsi="Times New Roman" w:cs="Times New Roman"/>
          </w:rPr>
          <w:t>Pan et al. 2016</w:t>
        </w:r>
      </w:hyperlink>
      <w:r w:rsidRPr="00747FFE">
        <w:rPr>
          <w:rFonts w:ascii="Times New Roman" w:hAnsi="Times New Roman" w:cs="Times New Roman"/>
          <w:color w:val="000000" w:themeColor="text1"/>
        </w:rPr>
        <w:t>).</w:t>
      </w:r>
    </w:p>
    <w:p w14:paraId="023CA562" w14:textId="77777777" w:rsidR="006B5114" w:rsidRDefault="006B5114" w:rsidP="006B5114">
      <w:pPr>
        <w:pStyle w:val="ListParagraph"/>
        <w:numPr>
          <w:ilvl w:val="1"/>
          <w:numId w:val="1"/>
        </w:numPr>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 xml:space="preserve">Possible mechanisms: </w:t>
      </w:r>
    </w:p>
    <w:p w14:paraId="6BA159C5" w14:textId="77777777" w:rsidR="006B5114" w:rsidRPr="00ED3C12" w:rsidRDefault="006B5114" w:rsidP="006B5114">
      <w:pPr>
        <w:pStyle w:val="ListParagraph"/>
        <w:numPr>
          <w:ilvl w:val="2"/>
          <w:numId w:val="1"/>
        </w:numPr>
        <w:rPr>
          <w:rFonts w:ascii="Times New Roman" w:hAnsi="Times New Roman" w:cs="Times New Roman"/>
          <w:i/>
          <w:iCs/>
          <w:color w:val="000000" w:themeColor="text1"/>
          <w:sz w:val="28"/>
          <w:szCs w:val="28"/>
        </w:rPr>
      </w:pPr>
      <w:proofErr w:type="spellStart"/>
      <w:r>
        <w:rPr>
          <w:rFonts w:ascii="Georgia" w:hAnsi="Georgia"/>
          <w:color w:val="1F1F1F"/>
        </w:rPr>
        <w:t>Hee</w:t>
      </w:r>
      <w:proofErr w:type="spellEnd"/>
      <w:r>
        <w:rPr>
          <w:rFonts w:ascii="Georgia" w:hAnsi="Georgia"/>
          <w:color w:val="1F1F1F"/>
        </w:rPr>
        <w:t xml:space="preserve"> KIM: This can be explained by the differences in dietary culture, such as a preference for boiling food and the storage of unpackaged fish in ceramic rather than plastic containers (</w:t>
      </w:r>
      <w:bookmarkStart w:id="13" w:name="bbib17"/>
      <w:r>
        <w:fldChar w:fldCharType="begin"/>
      </w:r>
      <w:r>
        <w:instrText>HYPERLINK "https://www.sciencedirect.com/science/article/pii/S0045653520303428?via%3Dihub" \l "bib17"</w:instrText>
      </w:r>
      <w:r>
        <w:fldChar w:fldCharType="separate"/>
      </w:r>
      <w:r>
        <w:rPr>
          <w:rStyle w:val="anchor-text"/>
          <w:rFonts w:ascii="Georgia" w:hAnsi="Georgia"/>
          <w:color w:val="0000FF"/>
        </w:rPr>
        <w:t>Dong et al., 2017</w:t>
      </w:r>
      <w:r>
        <w:fldChar w:fldCharType="end"/>
      </w:r>
      <w:bookmarkEnd w:id="13"/>
      <w:r>
        <w:rPr>
          <w:rFonts w:ascii="Georgia" w:hAnsi="Georgia"/>
          <w:color w:val="1F1F1F"/>
        </w:rPr>
        <w:t>). Our study is the first to reveal that the consumption of cup noodles was strongly associated with EP as it is used as an</w:t>
      </w:r>
      <w:r>
        <w:rPr>
          <w:rStyle w:val="apple-converted-space"/>
          <w:rFonts w:ascii="Georgia" w:hAnsi="Georgia"/>
          <w:color w:val="1F1F1F"/>
        </w:rPr>
        <w:t> </w:t>
      </w:r>
      <w:proofErr w:type="spellStart"/>
      <w:r>
        <w:rPr>
          <w:rFonts w:ascii="Georgia" w:hAnsi="Georgia"/>
          <w:color w:val="1F1F1F"/>
        </w:rPr>
        <w:fldChar w:fldCharType="begin"/>
      </w:r>
      <w:r>
        <w:rPr>
          <w:rFonts w:ascii="Georgia" w:hAnsi="Georgia"/>
          <w:color w:val="1F1F1F"/>
        </w:rPr>
        <w:instrText>HYPERLINK "https://www.sciencedirect.com/topics/pharmacology-toxicology-and-pharmaceutical-science/antifungal-agent" \o "Learn more about antifungal from ScienceDirect's AI-generated Topic Pages"</w:instrText>
      </w:r>
      <w:r>
        <w:rPr>
          <w:rFonts w:ascii="Georgia" w:hAnsi="Georgia"/>
          <w:color w:val="1F1F1F"/>
        </w:rPr>
      </w:r>
      <w:r>
        <w:rPr>
          <w:rFonts w:ascii="Georgia" w:hAnsi="Georgia"/>
          <w:color w:val="1F1F1F"/>
        </w:rPr>
        <w:fldChar w:fldCharType="separate"/>
      </w:r>
      <w:r>
        <w:rPr>
          <w:rStyle w:val="Hyperlink"/>
          <w:rFonts w:ascii="Georgia" w:hAnsi="Georgia"/>
          <w:color w:val="1F1F1F"/>
        </w:rPr>
        <w:t>antifungal</w:t>
      </w:r>
      <w:r>
        <w:rPr>
          <w:rFonts w:ascii="Georgia" w:hAnsi="Georgia"/>
          <w:color w:val="1F1F1F"/>
        </w:rPr>
        <w:fldChar w:fldCharType="end"/>
      </w:r>
      <w:r>
        <w:rPr>
          <w:rFonts w:ascii="Georgia" w:hAnsi="Georgia"/>
          <w:color w:val="1F1F1F"/>
        </w:rPr>
        <w:t>preservative</w:t>
      </w:r>
      <w:proofErr w:type="spellEnd"/>
      <w:r>
        <w:rPr>
          <w:rFonts w:ascii="Georgia" w:hAnsi="Georgia"/>
          <w:color w:val="1F1F1F"/>
        </w:rPr>
        <w:t xml:space="preserve"> in instant foods, including cup noodles.</w:t>
      </w:r>
      <w:r>
        <w:rPr>
          <w:rStyle w:val="apple-converted-space"/>
          <w:rFonts w:ascii="Georgia" w:hAnsi="Georgia"/>
          <w:color w:val="1F1F1F"/>
        </w:rPr>
        <w:t> </w:t>
      </w:r>
    </w:p>
    <w:p w14:paraId="501508DD" w14:textId="77777777" w:rsidR="00915CF3" w:rsidRDefault="00915CF3"/>
    <w:sectPr w:rsidR="00915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680"/>
    <w:multiLevelType w:val="hybridMultilevel"/>
    <w:tmpl w:val="90DCCBE2"/>
    <w:lvl w:ilvl="0" w:tplc="09D47BD8">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25615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114"/>
    <w:rsid w:val="00074B11"/>
    <w:rsid w:val="00252A39"/>
    <w:rsid w:val="006B5114"/>
    <w:rsid w:val="00915CF3"/>
    <w:rsid w:val="00E233C1"/>
    <w:rsid w:val="00E87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ACCE4"/>
  <w15:chartTrackingRefBased/>
  <w15:docId w15:val="{4194DF27-EF8A-2B41-99E4-B320BABD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114"/>
    <w:rPr>
      <w:rFonts w:asciiTheme="minorHAnsi" w:hAnsiTheme="minorHAnsi" w:cstheme="minorBidi"/>
    </w:rPr>
  </w:style>
  <w:style w:type="paragraph" w:styleId="Heading1">
    <w:name w:val="heading 1"/>
    <w:basedOn w:val="Normal"/>
    <w:next w:val="Normal"/>
    <w:link w:val="Heading1Char"/>
    <w:uiPriority w:val="9"/>
    <w:qFormat/>
    <w:rsid w:val="006B5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1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1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51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51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51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51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51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5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1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5114"/>
    <w:pPr>
      <w:spacing w:before="160"/>
      <w:jc w:val="center"/>
    </w:pPr>
    <w:rPr>
      <w:i/>
      <w:iCs/>
      <w:color w:val="404040" w:themeColor="text1" w:themeTint="BF"/>
    </w:rPr>
  </w:style>
  <w:style w:type="character" w:customStyle="1" w:styleId="QuoteChar">
    <w:name w:val="Quote Char"/>
    <w:basedOn w:val="DefaultParagraphFont"/>
    <w:link w:val="Quote"/>
    <w:uiPriority w:val="29"/>
    <w:rsid w:val="006B5114"/>
    <w:rPr>
      <w:i/>
      <w:iCs/>
      <w:color w:val="404040" w:themeColor="text1" w:themeTint="BF"/>
    </w:rPr>
  </w:style>
  <w:style w:type="paragraph" w:styleId="ListParagraph">
    <w:name w:val="List Paragraph"/>
    <w:basedOn w:val="Normal"/>
    <w:uiPriority w:val="34"/>
    <w:qFormat/>
    <w:rsid w:val="006B5114"/>
    <w:pPr>
      <w:ind w:left="720"/>
      <w:contextualSpacing/>
    </w:pPr>
  </w:style>
  <w:style w:type="character" w:styleId="IntenseEmphasis">
    <w:name w:val="Intense Emphasis"/>
    <w:basedOn w:val="DefaultParagraphFont"/>
    <w:uiPriority w:val="21"/>
    <w:qFormat/>
    <w:rsid w:val="006B5114"/>
    <w:rPr>
      <w:i/>
      <w:iCs/>
      <w:color w:val="0F4761" w:themeColor="accent1" w:themeShade="BF"/>
    </w:rPr>
  </w:style>
  <w:style w:type="paragraph" w:styleId="IntenseQuote">
    <w:name w:val="Intense Quote"/>
    <w:basedOn w:val="Normal"/>
    <w:next w:val="Normal"/>
    <w:link w:val="IntenseQuoteChar"/>
    <w:uiPriority w:val="30"/>
    <w:qFormat/>
    <w:rsid w:val="006B5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114"/>
    <w:rPr>
      <w:i/>
      <w:iCs/>
      <w:color w:val="0F4761" w:themeColor="accent1" w:themeShade="BF"/>
    </w:rPr>
  </w:style>
  <w:style w:type="character" w:styleId="IntenseReference">
    <w:name w:val="Intense Reference"/>
    <w:basedOn w:val="DefaultParagraphFont"/>
    <w:uiPriority w:val="32"/>
    <w:qFormat/>
    <w:rsid w:val="006B5114"/>
    <w:rPr>
      <w:b/>
      <w:bCs/>
      <w:smallCaps/>
      <w:color w:val="0F4761" w:themeColor="accent1" w:themeShade="BF"/>
      <w:spacing w:val="5"/>
    </w:rPr>
  </w:style>
  <w:style w:type="character" w:styleId="Hyperlink">
    <w:name w:val="Hyperlink"/>
    <w:basedOn w:val="DefaultParagraphFont"/>
    <w:uiPriority w:val="99"/>
    <w:unhideWhenUsed/>
    <w:rsid w:val="006B5114"/>
    <w:rPr>
      <w:color w:val="467886" w:themeColor="hyperlink"/>
      <w:u w:val="single"/>
    </w:rPr>
  </w:style>
  <w:style w:type="character" w:customStyle="1" w:styleId="anchor-text">
    <w:name w:val="anchor-text"/>
    <w:basedOn w:val="DefaultParagraphFont"/>
    <w:rsid w:val="006B5114"/>
  </w:style>
  <w:style w:type="character" w:customStyle="1" w:styleId="apple-converted-space">
    <w:name w:val="apple-converted-space"/>
    <w:basedOn w:val="DefaultParagraphFont"/>
    <w:rsid w:val="006B5114"/>
  </w:style>
  <w:style w:type="character" w:styleId="FollowedHyperlink">
    <w:name w:val="FollowedHyperlink"/>
    <w:basedOn w:val="DefaultParagraphFont"/>
    <w:uiPriority w:val="99"/>
    <w:semiHidden/>
    <w:unhideWhenUsed/>
    <w:rsid w:val="006B51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7137529/" TargetMode="External"/><Relationship Id="rId13" Type="http://schemas.openxmlformats.org/officeDocument/2006/relationships/hyperlink" Target="https://pmc.ncbi.nlm.nih.gov/articles/PMC7137529/" TargetMode="External"/><Relationship Id="rId3" Type="http://schemas.openxmlformats.org/officeDocument/2006/relationships/settings" Target="settings.xml"/><Relationship Id="rId7" Type="http://schemas.openxmlformats.org/officeDocument/2006/relationships/hyperlink" Target="https://www.sciencedirect.com/topics/pharmacology-toxicology-and-pharmaceutical-science/endocrine-activity" TargetMode="External"/><Relationship Id="rId12" Type="http://schemas.openxmlformats.org/officeDocument/2006/relationships/hyperlink" Target="https://pmc.ncbi.nlm.nih.gov/articles/PMC713752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topics/pharmacology-toxicology-and-pharmaceutical-science/non-insulin-dependent-diabetes-mellitus" TargetMode="External"/><Relationship Id="rId11" Type="http://schemas.openxmlformats.org/officeDocument/2006/relationships/hyperlink" Target="https://pmc.ncbi.nlm.nih.gov/articles/PMC7137529/" TargetMode="External"/><Relationship Id="rId5" Type="http://schemas.openxmlformats.org/officeDocument/2006/relationships/hyperlink" Target="https://www.sciencedirect.com/topics/pharmacology-toxicology-and-pharmaceutical-science/developmental-effect" TargetMode="External"/><Relationship Id="rId15" Type="http://schemas.openxmlformats.org/officeDocument/2006/relationships/fontTable" Target="fontTable.xml"/><Relationship Id="rId10" Type="http://schemas.openxmlformats.org/officeDocument/2006/relationships/hyperlink" Target="https://pmc.ncbi.nlm.nih.gov/articles/PMC7137529/" TargetMode="External"/><Relationship Id="rId4" Type="http://schemas.openxmlformats.org/officeDocument/2006/relationships/webSettings" Target="webSettings.xml"/><Relationship Id="rId9" Type="http://schemas.openxmlformats.org/officeDocument/2006/relationships/hyperlink" Target="https://pmc.ncbi.nlm.nih.gov/articles/PMC7137529/" TargetMode="External"/><Relationship Id="rId14" Type="http://schemas.openxmlformats.org/officeDocument/2006/relationships/hyperlink" Target="https://pmc.ncbi.nlm.nih.gov/articles/PMC71375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1014</Words>
  <Characters>5682</Characters>
  <Application>Microsoft Office Word</Application>
  <DocSecurity>0</DocSecurity>
  <Lines>111</Lines>
  <Paragraphs>15</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Nickelberry, Marshae</cp:lastModifiedBy>
  <cp:revision>1</cp:revision>
  <dcterms:created xsi:type="dcterms:W3CDTF">2026-01-30T03:45:00Z</dcterms:created>
  <dcterms:modified xsi:type="dcterms:W3CDTF">2026-01-30T03:46:00Z</dcterms:modified>
</cp:coreProperties>
</file>