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Sơ đồ và phương pháp đánh giá MPPI và SAC</w:t>
      </w:r>
    </w:p>
    <w:p>
      <w:pPr/>
      <w:r>
        <w:t>Tài liệu này mô tả phép thử hiện có trên hai map warehouse. Mục tiêu là phân biệt kết quả của toàn hệ điều hướng với quyết định giới hạn vận tốc của SAC, trước khi chọn cách tách giới hạn vận tốc thẳng và vận tốc quay.</w:t>
      </w:r>
    </w:p>
    <w:p>
      <w:pPr>
        <w:pStyle w:val="Heading1"/>
      </w:pPr>
      <w:r>
        <w:t>Luồng điều khiển đang được đánh giá</w:t>
      </w:r>
    </w:p>
    <w:p>
      <w:pPr>
        <w:jc w:val="center"/>
      </w:pPr>
      <w:r>
        <w:drawing>
          <wp:inline xmlns:a="http://schemas.openxmlformats.org/drawingml/2006/main" xmlns:pic="http://schemas.openxmlformats.org/drawingml/2006/picture">
            <wp:extent cx="6309360" cy="2909316"/>
            <wp:docPr id="1" name="Picture 1"/>
            <wp:cNvGraphicFramePr>
              <a:graphicFrameLocks noChangeAspect="1"/>
            </wp:cNvGraphicFramePr>
            <a:graphic>
              <a:graphicData uri="http://schemas.openxmlformats.org/drawingml/2006/picture">
                <pic:pic>
                  <pic:nvPicPr>
                    <pic:cNvPr id="0" name="mppi_sac_evaluation_flow.png"/>
                    <pic:cNvPicPr/>
                  </pic:nvPicPr>
                  <pic:blipFill>
                    <a:blip r:embed="rId9"/>
                    <a:stretch>
                      <a:fillRect/>
                    </a:stretch>
                  </pic:blipFill>
                  <pic:spPr>
                    <a:xfrm>
                      <a:off x="0" y="0"/>
                      <a:ext cx="6309360" cy="2909316"/>
                    </a:xfrm>
                    <a:prstGeom prst="rect"/>
                  </pic:spPr>
                </pic:pic>
              </a:graphicData>
            </a:graphic>
          </wp:inline>
        </w:drawing>
      </w:r>
    </w:p>
    <w:p>
      <w:pPr>
        <w:pStyle w:val="Heading1"/>
      </w:pPr>
      <w:r>
        <w:t>Một lượt thử diễn ra như thế nào</w:t>
      </w:r>
    </w:p>
    <w:tbl>
      <w:tblPr>
        <w:tblW w:type="auto" w:w="0"/>
        <w:tblLayout w:type="fixed"/>
        <w:tblLook w:firstColumn="1" w:firstRow="1" w:lastColumn="0" w:lastRow="0" w:noHBand="0" w:noVBand="1" w:val="04A0"/>
      </w:tblPr>
      <w:tblGrid>
        <w:gridCol w:w="1699"/>
        <w:gridCol w:w="8237"/>
      </w:tblGrid>
      <w:tr>
        <w:tc>
          <w:tcPr>
            <w:tcW w:type="dxa" w:w="5011"/>
            <w:shd w:fill="DCE9F4"/>
            <w:vAlign w:val="center"/>
            <w:tcBorders>
              <w:top w:val="single" w:sz="4" w:color="D9D9D9"/>
              <w:left w:val="single" w:sz="4" w:color="D9D9D9"/>
              <w:bottom w:val="single" w:sz="4" w:color="D9D9D9"/>
              <w:right w:val="single" w:sz="4" w:color="D9D9D9"/>
            </w:tcBorders>
          </w:tcPr>
          <w:p>
            <w:pPr>
              <w:spacing w:after="0"/>
            </w:pPr>
            <w:r>
              <w:rPr>
                <w:b/>
                <w:sz w:val="18"/>
              </w:rPr>
              <w:t>Bước</w:t>
            </w:r>
          </w:p>
        </w:tc>
        <w:tc>
          <w:tcPr>
            <w:tcW w:type="dxa" w:w="5011"/>
            <w:shd w:fill="DCE9F4"/>
            <w:vAlign w:val="center"/>
            <w:tcBorders>
              <w:top w:val="single" w:sz="4" w:color="D9D9D9"/>
              <w:left w:val="single" w:sz="4" w:color="D9D9D9"/>
              <w:bottom w:val="single" w:sz="4" w:color="D9D9D9"/>
              <w:right w:val="single" w:sz="4" w:color="D9D9D9"/>
            </w:tcBorders>
          </w:tcPr>
          <w:p>
            <w:pPr>
              <w:spacing w:after="0"/>
            </w:pPr>
            <w:r>
              <w:rPr>
                <w:b/>
                <w:sz w:val="18"/>
              </w:rPr>
              <w:t>Cách chạy hiện tại</w:t>
            </w:r>
          </w:p>
        </w:tc>
      </w:tr>
      <w:tr>
        <w:tc>
          <w:tcPr>
            <w:tcW w:type="dxa" w:w="1699"/>
            <w:vAlign w:val="center"/>
            <w:tcBorders>
              <w:top w:val="single" w:sz="4" w:color="D9D9D9"/>
              <w:left w:val="single" w:sz="4" w:color="D9D9D9"/>
              <w:bottom w:val="single" w:sz="4" w:color="D9D9D9"/>
              <w:right w:val="single" w:sz="4" w:color="D9D9D9"/>
            </w:tcBorders>
          </w:tcPr>
          <w:p>
            <w:pPr>
              <w:spacing w:after="0"/>
            </w:pPr>
            <w:r>
              <w:rPr>
                <w:sz w:val="18"/>
              </w:rPr>
              <w:t>1  Khởi tạo</w:t>
            </w:r>
          </w:p>
        </w:tc>
        <w:tc>
          <w:tcPr>
            <w:tcW w:type="dxa" w:w="8237"/>
            <w:vAlign w:val="center"/>
            <w:tcBorders>
              <w:top w:val="single" w:sz="4" w:color="D9D9D9"/>
              <w:left w:val="single" w:sz="4" w:color="D9D9D9"/>
              <w:bottom w:val="single" w:sz="4" w:color="D9D9D9"/>
              <w:right w:val="single" w:sz="4" w:color="D9D9D9"/>
            </w:tcBorders>
          </w:tcPr>
          <w:p>
            <w:pPr>
              <w:spacing w:after="0"/>
            </w:pPr>
            <w:r>
              <w:rPr>
                <w:sz w:val="18"/>
              </w:rPr>
              <w:t>Reset robot; giữ nguyên map, Nav2 và MPPI; gửi goal cố định tại (9, 0).</w:t>
            </w:r>
          </w:p>
        </w:tc>
      </w:tr>
      <w:tr>
        <w:tc>
          <w:tcPr>
            <w:tcW w:type="dxa" w:w="1699"/>
            <w:vAlign w:val="center"/>
            <w:tcBorders>
              <w:top w:val="single" w:sz="4" w:color="D9D9D9"/>
              <w:left w:val="single" w:sz="4" w:color="D9D9D9"/>
              <w:bottom w:val="single" w:sz="4" w:color="D9D9D9"/>
              <w:right w:val="single" w:sz="4" w:color="D9D9D9"/>
            </w:tcBorders>
            <w:shd w:fill="F4F8FB"/>
          </w:tcPr>
          <w:p>
            <w:pPr>
              <w:spacing w:after="0"/>
            </w:pPr>
            <w:r>
              <w:rPr>
                <w:sz w:val="18"/>
              </w:rPr>
              <w:t>2  Đoạn đầu</w:t>
            </w:r>
          </w:p>
        </w:tc>
        <w:tc>
          <w:tcPr>
            <w:tcW w:type="dxa" w:w="8237"/>
            <w:vAlign w:val="center"/>
            <w:tcBorders>
              <w:top w:val="single" w:sz="4" w:color="D9D9D9"/>
              <w:left w:val="single" w:sz="4" w:color="D9D9D9"/>
              <w:bottom w:val="single" w:sz="4" w:color="D9D9D9"/>
              <w:right w:val="single" w:sz="4" w:color="D9D9D9"/>
            </w:tcBorders>
            <w:shd w:fill="F4F8FB"/>
          </w:tcPr>
          <w:p>
            <w:pPr>
              <w:spacing w:after="0"/>
            </w:pPr>
            <w:r>
              <w:rPr>
                <w:sz w:val="18"/>
              </w:rPr>
              <w:t>Robot đi từ điểm xuất phát. Ghi tốc độ thực trên đoạn x từ 0,5 m tới trước ngưỡng kích hoạt vật cản.</w:t>
            </w:r>
          </w:p>
        </w:tc>
      </w:tr>
      <w:tr>
        <w:tc>
          <w:tcPr>
            <w:tcW w:type="dxa" w:w="1699"/>
            <w:vAlign w:val="center"/>
            <w:tcBorders>
              <w:top w:val="single" w:sz="4" w:color="D9D9D9"/>
              <w:left w:val="single" w:sz="4" w:color="D9D9D9"/>
              <w:bottom w:val="single" w:sz="4" w:color="D9D9D9"/>
              <w:right w:val="single" w:sz="4" w:color="D9D9D9"/>
            </w:tcBorders>
          </w:tcPr>
          <w:p>
            <w:pPr>
              <w:spacing w:after="0"/>
            </w:pPr>
            <w:r>
              <w:rPr>
                <w:sz w:val="18"/>
              </w:rPr>
              <w:t>3  Cắt ngang</w:t>
            </w:r>
          </w:p>
        </w:tc>
        <w:tc>
          <w:tcPr>
            <w:tcW w:type="dxa" w:w="8237"/>
            <w:vAlign w:val="center"/>
            <w:tcBorders>
              <w:top w:val="single" w:sz="4" w:color="D9D9D9"/>
              <w:left w:val="single" w:sz="4" w:color="D9D9D9"/>
              <w:bottom w:val="single" w:sz="4" w:color="D9D9D9"/>
              <w:right w:val="single" w:sz="4" w:color="D9D9D9"/>
            </w:tcBorders>
          </w:tcPr>
          <w:p>
            <w:pPr>
              <w:spacing w:after="0"/>
            </w:pPr>
            <w:r>
              <w:rPr>
                <w:sz w:val="18"/>
              </w:rPr>
              <w:t>Khi robot đạt trigger x, vật cản động xuất hiện tại x khoảng 4,7–5,3 m rồi đi ngang với tốc độ 0,25–0,55 m/s.</w:t>
            </w:r>
          </w:p>
        </w:tc>
      </w:tr>
      <w:tr>
        <w:tc>
          <w:tcPr>
            <w:tcW w:type="dxa" w:w="1699"/>
            <w:vAlign w:val="center"/>
            <w:tcBorders>
              <w:top w:val="single" w:sz="4" w:color="D9D9D9"/>
              <w:left w:val="single" w:sz="4" w:color="D9D9D9"/>
              <w:bottom w:val="single" w:sz="4" w:color="D9D9D9"/>
              <w:right w:val="single" w:sz="4" w:color="D9D9D9"/>
            </w:tcBorders>
            <w:shd w:fill="F4F8FB"/>
          </w:tcPr>
          <w:p>
            <w:pPr>
              <w:spacing w:after="0"/>
            </w:pPr>
            <w:r>
              <w:rPr>
                <w:sz w:val="18"/>
              </w:rPr>
              <w:t>4  Sau khi đi ngang</w:t>
            </w:r>
          </w:p>
        </w:tc>
        <w:tc>
          <w:tcPr>
            <w:tcW w:type="dxa" w:w="8237"/>
            <w:vAlign w:val="center"/>
            <w:tcBorders>
              <w:top w:val="single" w:sz="4" w:color="D9D9D9"/>
              <w:left w:val="single" w:sz="4" w:color="D9D9D9"/>
              <w:bottom w:val="single" w:sz="4" w:color="D9D9D9"/>
              <w:right w:val="single" w:sz="4" w:color="D9D9D9"/>
            </w:tcBorders>
            <w:shd w:fill="F4F8FB"/>
          </w:tcPr>
          <w:p>
            <w:pPr>
              <w:spacing w:after="0"/>
            </w:pPr>
            <w:r>
              <w:rPr>
                <w:sz w:val="18"/>
              </w:rPr>
              <w:t>Vật cản ở lại tại vị trí cuối cho đến hết lượt. Robot tiếp tục tới goal, va chạm hoặc timeout.</w:t>
            </w:r>
          </w:p>
        </w:tc>
      </w:tr>
      <w:tr>
        <w:tc>
          <w:tcPr>
            <w:tcW w:type="dxa" w:w="1699"/>
            <w:vAlign w:val="center"/>
            <w:tcBorders>
              <w:top w:val="single" w:sz="4" w:color="D9D9D9"/>
              <w:left w:val="single" w:sz="4" w:color="D9D9D9"/>
              <w:bottom w:val="single" w:sz="4" w:color="D9D9D9"/>
              <w:right w:val="single" w:sz="4" w:color="D9D9D9"/>
            </w:tcBorders>
          </w:tcPr>
          <w:p>
            <w:pPr>
              <w:spacing w:after="0"/>
            </w:pPr>
            <w:r>
              <w:rPr>
                <w:sz w:val="18"/>
              </w:rPr>
              <w:t>5  Kết thúc</w:t>
            </w:r>
          </w:p>
        </w:tc>
        <w:tc>
          <w:tcPr>
            <w:tcW w:type="dxa" w:w="8237"/>
            <w:vAlign w:val="center"/>
            <w:tcBorders>
              <w:top w:val="single" w:sz="4" w:color="D9D9D9"/>
              <w:left w:val="single" w:sz="4" w:color="D9D9D9"/>
              <w:bottom w:val="single" w:sz="4" w:color="D9D9D9"/>
              <w:right w:val="single" w:sz="4" w:color="D9D9D9"/>
            </w:tcBorders>
          </w:tcPr>
          <w:p>
            <w:pPr>
              <w:spacing w:after="0"/>
            </w:pPr>
            <w:r>
              <w:rPr>
                <w:sz w:val="18"/>
              </w:rPr>
              <w:t>Ghi succeeded, collision hoặc timeout sau tối đa 75 s thời gian mô phỏng.</w:t>
            </w:r>
          </w:p>
        </w:tc>
      </w:tr>
    </w:tbl>
    <w:p>
      <w:pPr>
        <w:pStyle w:val="Heading1"/>
      </w:pPr>
      <w:r>
        <w:t>Các biến được thay đổi và giữ cố định</w:t>
      </w:r>
    </w:p>
    <w:p>
      <w:pPr/>
      <w:r>
        <w:t>Mỗi map chạy 100 lượt với seed 42. Tình huống thay đổi theo vị trí cắt ngang, khoảng cách kích hoạt trước điểm cắt 1,7–2,8 m, phía xuất phát và tốc độ vật cản. Bản đồ, goal và trần MPPI nền 0,70 m/s được giữ cố định trong một phép so sánh. Danh sách tình huống có thể tái tạo bằng cùng seed hoặc phát lại chính xác theo trial ID.</w:t>
      </w:r>
    </w:p>
    <w:p>
      <w:pPr/>
      <w:r>
        <w:t>Hai map đang tập trung là mppi_warehouse_aisles và mppi_warehouse_mixed. Công cụ cũng hỗ trợ mppi_floor2_corridor, nhưng kết quả hành lang không thay thế được đánh giá vật cản cắt ngang ở warehouse.</w:t>
      </w:r>
    </w:p>
    <w:p>
      <w:r>
        <w:br w:type="page"/>
      </w:r>
    </w:p>
    <w:p>
      <w:pPr>
        <w:pStyle w:val="Heading1"/>
      </w:pPr>
      <w:r>
        <w:t>Phép đánh giá đo những gì</w:t>
      </w:r>
    </w:p>
    <w:tbl>
      <w:tblPr>
        <w:tblW w:type="auto" w:w="0"/>
        <w:tblLayout w:type="fixed"/>
        <w:tblLook w:firstColumn="1" w:firstRow="1" w:lastColumn="0" w:lastRow="0" w:noHBand="0" w:noVBand="1" w:val="04A0"/>
      </w:tblPr>
      <w:tblGrid>
        <w:gridCol w:w="2088"/>
        <w:gridCol w:w="7848"/>
      </w:tblGrid>
      <w:tr>
        <w:tc>
          <w:tcPr>
            <w:tcW w:type="dxa" w:w="5011"/>
            <w:shd w:fill="DCE9F4"/>
            <w:vAlign w:val="center"/>
            <w:tcBorders>
              <w:top w:val="single" w:sz="4" w:color="D9D9D9"/>
              <w:left w:val="single" w:sz="4" w:color="D9D9D9"/>
              <w:bottom w:val="single" w:sz="4" w:color="D9D9D9"/>
              <w:right w:val="single" w:sz="4" w:color="D9D9D9"/>
            </w:tcBorders>
          </w:tcPr>
          <w:p>
            <w:pPr>
              <w:spacing w:after="0"/>
            </w:pPr>
            <w:r>
              <w:rPr>
                <w:b/>
                <w:sz w:val="18"/>
              </w:rPr>
              <w:t>Nhóm chỉ số</w:t>
            </w:r>
          </w:p>
        </w:tc>
        <w:tc>
          <w:tcPr>
            <w:tcW w:type="dxa" w:w="5011"/>
            <w:shd w:fill="DCE9F4"/>
            <w:vAlign w:val="center"/>
            <w:tcBorders>
              <w:top w:val="single" w:sz="4" w:color="D9D9D9"/>
              <w:left w:val="single" w:sz="4" w:color="D9D9D9"/>
              <w:bottom w:val="single" w:sz="4" w:color="D9D9D9"/>
              <w:right w:val="single" w:sz="4" w:color="D9D9D9"/>
            </w:tcBorders>
          </w:tcPr>
          <w:p>
            <w:pPr>
              <w:spacing w:after="0"/>
            </w:pPr>
            <w:r>
              <w:rPr>
                <w:b/>
                <w:sz w:val="18"/>
              </w:rPr>
              <w:t>Ý nghĩa và giới hạn</w:t>
            </w:r>
          </w:p>
        </w:tc>
      </w:tr>
      <w:tr>
        <w:tc>
          <w:tcPr>
            <w:tcW w:type="dxa" w:w="2088"/>
            <w:vAlign w:val="center"/>
            <w:tcBorders>
              <w:top w:val="single" w:sz="4" w:color="D9D9D9"/>
              <w:left w:val="single" w:sz="4" w:color="D9D9D9"/>
              <w:bottom w:val="single" w:sz="4" w:color="D9D9D9"/>
              <w:right w:val="single" w:sz="4" w:color="D9D9D9"/>
            </w:tcBorders>
          </w:tcPr>
          <w:p>
            <w:pPr>
              <w:spacing w:after="0"/>
            </w:pPr>
            <w:r>
              <w:rPr>
                <w:sz w:val="18"/>
              </w:rPr>
              <w:t>Kết quả nhiệm vụ</w:t>
            </w:r>
          </w:p>
        </w:tc>
        <w:tc>
          <w:tcPr>
            <w:tcW w:type="dxa" w:w="7848"/>
            <w:vAlign w:val="center"/>
            <w:tcBorders>
              <w:top w:val="single" w:sz="4" w:color="D9D9D9"/>
              <w:left w:val="single" w:sz="4" w:color="D9D9D9"/>
              <w:bottom w:val="single" w:sz="4" w:color="D9D9D9"/>
              <w:right w:val="single" w:sz="4" w:color="D9D9D9"/>
            </w:tcBorders>
          </w:tcPr>
          <w:p>
            <w:pPr>
              <w:spacing w:after="0"/>
            </w:pPr>
            <w:r>
              <w:rPr>
                <w:sz w:val="18"/>
              </w:rPr>
              <w:t>Tỷ lệ tới goal, số va chạm, số timeout. Timeout có thể bao gồm kẹt, nhưng hiện không phải một nhãn deadlock riêng trong benchmark.</w:t>
            </w:r>
          </w:p>
        </w:tc>
      </w:tr>
      <w:tr>
        <w:tc>
          <w:tcPr>
            <w:tcW w:type="dxa" w:w="2088"/>
            <w:vAlign w:val="center"/>
            <w:tcBorders>
              <w:top w:val="single" w:sz="4" w:color="D9D9D9"/>
              <w:left w:val="single" w:sz="4" w:color="D9D9D9"/>
              <w:bottom w:val="single" w:sz="4" w:color="D9D9D9"/>
              <w:right w:val="single" w:sz="4" w:color="D9D9D9"/>
            </w:tcBorders>
            <w:shd w:fill="F4F8FB"/>
          </w:tcPr>
          <w:p>
            <w:pPr>
              <w:spacing w:after="0"/>
            </w:pPr>
            <w:r>
              <w:rPr>
                <w:sz w:val="18"/>
              </w:rPr>
              <w:t>Hiệu suất</w:t>
            </w:r>
          </w:p>
        </w:tc>
        <w:tc>
          <w:tcPr>
            <w:tcW w:type="dxa" w:w="7848"/>
            <w:vAlign w:val="center"/>
            <w:tcBorders>
              <w:top w:val="single" w:sz="4" w:color="D9D9D9"/>
              <w:left w:val="single" w:sz="4" w:color="D9D9D9"/>
              <w:bottom w:val="single" w:sz="4" w:color="D9D9D9"/>
              <w:right w:val="single" w:sz="4" w:color="D9D9D9"/>
            </w:tcBorders>
            <w:shd w:fill="F4F8FB"/>
          </w:tcPr>
          <w:p>
            <w:pPr>
              <w:spacing w:after="0"/>
            </w:pPr>
            <w:r>
              <w:rPr>
                <w:sz w:val="18"/>
              </w:rPr>
              <w:t>Tốc độ thực trung bình ở đoạn trước khi vật cản xuất hiện; thời gian tới goal chỉ tính trên các lượt thành công.</w:t>
            </w:r>
          </w:p>
        </w:tc>
      </w:tr>
      <w:tr>
        <w:tc>
          <w:tcPr>
            <w:tcW w:type="dxa" w:w="2088"/>
            <w:vAlign w:val="center"/>
            <w:tcBorders>
              <w:top w:val="single" w:sz="4" w:color="D9D9D9"/>
              <w:left w:val="single" w:sz="4" w:color="D9D9D9"/>
              <w:bottom w:val="single" w:sz="4" w:color="D9D9D9"/>
              <w:right w:val="single" w:sz="4" w:color="D9D9D9"/>
            </w:tcBorders>
          </w:tcPr>
          <w:p>
            <w:pPr>
              <w:spacing w:after="0"/>
            </w:pPr>
            <w:r>
              <w:rPr>
                <w:sz w:val="18"/>
              </w:rPr>
              <w:t>Phản ứng</w:t>
            </w:r>
          </w:p>
        </w:tc>
        <w:tc>
          <w:tcPr>
            <w:tcW w:type="dxa" w:w="7848"/>
            <w:vAlign w:val="center"/>
            <w:tcBorders>
              <w:top w:val="single" w:sz="4" w:color="D9D9D9"/>
              <w:left w:val="single" w:sz="4" w:color="D9D9D9"/>
              <w:bottom w:val="single" w:sz="4" w:color="D9D9D9"/>
              <w:right w:val="single" w:sz="4" w:color="D9D9D9"/>
            </w:tcBorders>
          </w:tcPr>
          <w:p>
            <w:pPr>
              <w:spacing w:after="0"/>
            </w:pPr>
            <w:r>
              <w:rPr>
                <w:sz w:val="18"/>
              </w:rPr>
              <w:t>Scale SAC yêu cầu và scale supervisor áp dụng; lệnh MPPI, lệnh cuối, vận tốc thực; độ trễ từ lúc front LiDAR báo gần tới lúc giảm lệnh hoặc giảm vận tốc.</w:t>
            </w:r>
          </w:p>
        </w:tc>
      </w:tr>
      <w:tr>
        <w:tc>
          <w:tcPr>
            <w:tcW w:type="dxa" w:w="2088"/>
            <w:vAlign w:val="center"/>
            <w:tcBorders>
              <w:top w:val="single" w:sz="4" w:color="D9D9D9"/>
              <w:left w:val="single" w:sz="4" w:color="D9D9D9"/>
              <w:bottom w:val="single" w:sz="4" w:color="D9D9D9"/>
              <w:right w:val="single" w:sz="4" w:color="D9D9D9"/>
            </w:tcBorders>
            <w:shd w:fill="F4F8FB"/>
          </w:tcPr>
          <w:p>
            <w:pPr>
              <w:spacing w:after="0"/>
            </w:pPr>
            <w:r>
              <w:rPr>
                <w:sz w:val="18"/>
              </w:rPr>
              <w:t>Khoảng cách</w:t>
            </w:r>
          </w:p>
        </w:tc>
        <w:tc>
          <w:tcPr>
            <w:tcW w:type="dxa" w:w="7848"/>
            <w:vAlign w:val="center"/>
            <w:tcBorders>
              <w:top w:val="single" w:sz="4" w:color="D9D9D9"/>
              <w:left w:val="single" w:sz="4" w:color="D9D9D9"/>
              <w:bottom w:val="single" w:sz="4" w:color="D9D9D9"/>
              <w:right w:val="single" w:sz="4" w:color="D9D9D9"/>
            </w:tcBorders>
            <w:shd w:fill="F4F8FB"/>
          </w:tcPr>
          <w:p>
            <w:pPr>
              <w:spacing w:after="0"/>
            </w:pPr>
            <w:r>
              <w:rPr>
                <w:sz w:val="18"/>
              </w:rPr>
              <w:t>Khoảng cách tâm và độ hở thân xe ước tính theo ground truth; không thay thế cho sự kiện va chạm do mô phỏng báo.</w:t>
            </w:r>
          </w:p>
        </w:tc>
      </w:tr>
      <w:tr>
        <w:tc>
          <w:tcPr>
            <w:tcW w:type="dxa" w:w="2088"/>
            <w:vAlign w:val="center"/>
            <w:tcBorders>
              <w:top w:val="single" w:sz="4" w:color="D9D9D9"/>
              <w:left w:val="single" w:sz="4" w:color="D9D9D9"/>
              <w:bottom w:val="single" w:sz="4" w:color="D9D9D9"/>
              <w:right w:val="single" w:sz="4" w:color="D9D9D9"/>
            </w:tcBorders>
          </w:tcPr>
          <w:p>
            <w:pPr>
              <w:spacing w:after="0"/>
            </w:pPr>
            <w:r>
              <w:rPr>
                <w:sz w:val="18"/>
              </w:rPr>
              <w:t>Gặp vật đang chạy</w:t>
            </w:r>
          </w:p>
        </w:tc>
        <w:tc>
          <w:tcPr>
            <w:tcW w:type="dxa" w:w="7848"/>
            <w:vAlign w:val="center"/>
            <w:tcBorders>
              <w:top w:val="single" w:sz="4" w:color="D9D9D9"/>
              <w:left w:val="single" w:sz="4" w:color="D9D9D9"/>
              <w:bottom w:val="single" w:sz="4" w:color="D9D9D9"/>
              <w:right w:val="single" w:sz="4" w:color="D9D9D9"/>
            </w:tcBorders>
          </w:tcPr>
          <w:p>
            <w:pPr>
              <w:spacing w:after="0"/>
            </w:pPr>
            <w:r>
              <w:rPr>
                <w:sz w:val="18"/>
              </w:rPr>
              <w:t>moving_encounter chỉ tính nếu robot tới cách tâm vật cản không quá 2 m khi vật cản còn di chuyển. Va chạm sau khi vật đứng lại vẫn tính vào tổng va chạm, nhưng không thuộc mẫu số này.</w:t>
            </w:r>
          </w:p>
        </w:tc>
      </w:tr>
    </w:tbl>
    <w:p>
      <w:pPr>
        <w:pStyle w:val="Heading1"/>
      </w:pPr>
      <w:r>
        <w:t>Cách đọc kết quả giữa các nhánh</w:t>
      </w:r>
    </w:p>
    <w:tbl>
      <w:tblPr>
        <w:tblW w:type="auto" w:w="0"/>
        <w:tblLayout w:type="fixed"/>
        <w:tblLook w:firstColumn="1" w:firstRow="1" w:lastColumn="0" w:lastRow="0" w:noHBand="0" w:noVBand="1" w:val="04A0"/>
      </w:tblPr>
      <w:tblGrid>
        <w:gridCol w:w="2088"/>
        <w:gridCol w:w="7848"/>
      </w:tblGrid>
      <w:tr>
        <w:tc>
          <w:tcPr>
            <w:tcW w:type="dxa" w:w="5011"/>
            <w:shd w:fill="DCE9F4"/>
            <w:vAlign w:val="center"/>
            <w:tcBorders>
              <w:top w:val="single" w:sz="4" w:color="D9D9D9"/>
              <w:left w:val="single" w:sz="4" w:color="D9D9D9"/>
              <w:bottom w:val="single" w:sz="4" w:color="D9D9D9"/>
              <w:right w:val="single" w:sz="4" w:color="D9D9D9"/>
            </w:tcBorders>
          </w:tcPr>
          <w:p>
            <w:pPr>
              <w:spacing w:after="0"/>
            </w:pPr>
            <w:r>
              <w:rPr>
                <w:b/>
                <w:sz w:val="18"/>
              </w:rPr>
              <w:t>Nhánh</w:t>
            </w:r>
          </w:p>
        </w:tc>
        <w:tc>
          <w:tcPr>
            <w:tcW w:type="dxa" w:w="5011"/>
            <w:shd w:fill="DCE9F4"/>
            <w:vAlign w:val="center"/>
            <w:tcBorders>
              <w:top w:val="single" w:sz="4" w:color="D9D9D9"/>
              <w:left w:val="single" w:sz="4" w:color="D9D9D9"/>
              <w:bottom w:val="single" w:sz="4" w:color="D9D9D9"/>
              <w:right w:val="single" w:sz="4" w:color="D9D9D9"/>
            </w:tcBorders>
          </w:tcPr>
          <w:p>
            <w:pPr>
              <w:spacing w:after="0"/>
            </w:pPr>
            <w:r>
              <w:rPr>
                <w:b/>
                <w:sz w:val="18"/>
              </w:rPr>
              <w:t>Câu hỏi trả lời được</w:t>
            </w:r>
          </w:p>
        </w:tc>
      </w:tr>
      <w:tr>
        <w:tc>
          <w:tcPr>
            <w:tcW w:type="dxa" w:w="2088"/>
            <w:vAlign w:val="center"/>
            <w:tcBorders>
              <w:top w:val="single" w:sz="4" w:color="D9D9D9"/>
              <w:left w:val="single" w:sz="4" w:color="D9D9D9"/>
              <w:bottom w:val="single" w:sz="4" w:color="D9D9D9"/>
              <w:right w:val="single" w:sz="4" w:color="D9D9D9"/>
            </w:tcBorders>
          </w:tcPr>
          <w:p>
            <w:pPr>
              <w:spacing w:after="0"/>
            </w:pPr>
            <w:r>
              <w:rPr>
                <w:sz w:val="18"/>
              </w:rPr>
              <w:t>pure_mppi</w:t>
            </w:r>
          </w:p>
        </w:tc>
        <w:tc>
          <w:tcPr>
            <w:tcW w:type="dxa" w:w="7848"/>
            <w:vAlign w:val="center"/>
            <w:tcBorders>
              <w:top w:val="single" w:sz="4" w:color="D9D9D9"/>
              <w:left w:val="single" w:sz="4" w:color="D9D9D9"/>
              <w:bottom w:val="single" w:sz="4" w:color="D9D9D9"/>
              <w:right w:val="single" w:sz="4" w:color="D9D9D9"/>
            </w:tcBorders>
          </w:tcPr>
          <w:p>
            <w:pPr>
              <w:spacing w:after="0"/>
            </w:pPr>
            <w:r>
              <w:rPr>
                <w:sz w:val="18"/>
              </w:rPr>
              <w:t>Nav2 MPPI nền hoàn thành hành trình thế nào khi không có supervisor RL?</w:t>
            </w:r>
          </w:p>
        </w:tc>
      </w:tr>
      <w:tr>
        <w:tc>
          <w:tcPr>
            <w:tcW w:type="dxa" w:w="2088"/>
            <w:vAlign w:val="center"/>
            <w:tcBorders>
              <w:top w:val="single" w:sz="4" w:color="D9D9D9"/>
              <w:left w:val="single" w:sz="4" w:color="D9D9D9"/>
              <w:bottom w:val="single" w:sz="4" w:color="D9D9D9"/>
              <w:right w:val="single" w:sz="4" w:color="D9D9D9"/>
            </w:tcBorders>
            <w:shd w:fill="F4F8FB"/>
          </w:tcPr>
          <w:p>
            <w:pPr>
              <w:spacing w:after="0"/>
            </w:pPr>
            <w:r>
              <w:rPr>
                <w:sz w:val="18"/>
              </w:rPr>
              <w:t>sac_only</w:t>
            </w:r>
          </w:p>
        </w:tc>
        <w:tc>
          <w:tcPr>
            <w:tcW w:type="dxa" w:w="7848"/>
            <w:vAlign w:val="center"/>
            <w:tcBorders>
              <w:top w:val="single" w:sz="4" w:color="D9D9D9"/>
              <w:left w:val="single" w:sz="4" w:color="D9D9D9"/>
              <w:bottom w:val="single" w:sz="4" w:color="D9D9D9"/>
              <w:right w:val="single" w:sz="4" w:color="D9D9D9"/>
            </w:tcBorders>
            <w:shd w:fill="F4F8FB"/>
          </w:tcPr>
          <w:p>
            <w:pPr>
              <w:spacing w:after="0"/>
            </w:pPr>
            <w:r>
              <w:rPr>
                <w:sz w:val="18"/>
              </w:rPr>
              <w:t>Hệ MPPI cộng checkpoint SAC cố định và supervisor SpeedLimit hoạt động thế nào khi không có TTC override và front safety stop?</w:t>
            </w:r>
          </w:p>
        </w:tc>
      </w:tr>
      <w:tr>
        <w:tc>
          <w:tcPr>
            <w:tcW w:type="dxa" w:w="2088"/>
            <w:vAlign w:val="center"/>
            <w:tcBorders>
              <w:top w:val="single" w:sz="4" w:color="D9D9D9"/>
              <w:left w:val="single" w:sz="4" w:color="D9D9D9"/>
              <w:bottom w:val="single" w:sz="4" w:color="D9D9D9"/>
              <w:right w:val="single" w:sz="4" w:color="D9D9D9"/>
            </w:tcBorders>
          </w:tcPr>
          <w:p>
            <w:pPr>
              <w:spacing w:after="0"/>
            </w:pPr>
            <w:r>
              <w:rPr>
                <w:sz w:val="18"/>
              </w:rPr>
              <w:t>sac và shield_only</w:t>
            </w:r>
          </w:p>
        </w:tc>
        <w:tc>
          <w:tcPr>
            <w:tcW w:type="dxa" w:w="7848"/>
            <w:vAlign w:val="center"/>
            <w:tcBorders>
              <w:top w:val="single" w:sz="4" w:color="D9D9D9"/>
              <w:left w:val="single" w:sz="4" w:color="D9D9D9"/>
              <w:bottom w:val="single" w:sz="4" w:color="D9D9D9"/>
              <w:right w:val="single" w:sz="4" w:color="D9D9D9"/>
            </w:tcBorders>
          </w:tcPr>
          <w:p>
            <w:pPr>
              <w:spacing w:after="0"/>
            </w:pPr>
            <w:r>
              <w:rPr>
                <w:sz w:val="18"/>
              </w:rPr>
              <w:t>Ảnh hưởng của các lớp supervisor hoặc safety; không dùng làm bằng chứng SAC tự xử lý vật cản.</w:t>
            </w:r>
          </w:p>
        </w:tc>
      </w:tr>
    </w:tbl>
    <w:p>
      <w:pPr>
        <w:pStyle w:val="Heading1"/>
      </w:pPr>
      <w:r>
        <w:t>Ranh giới kết luận hiện tại</w:t>
      </w:r>
    </w:p>
    <w:p>
      <w:pPr/>
      <w:r>
        <w:t>Benchmark đo toàn hệ. SpeedLimit hiện tại giảm cả trần vận tốc thẳng vx và trần vận tốc quay wz; do đó một lượt kẹt quay không thể tự động quy cho SAC chọn tốc độ sai. Phép thử cũng chưa xác lập vận tốc tối ưu, chưa đánh giá mọi kiểu vật cản động, và chưa kiểm tra khả năng tổng quát với điểm đầu hoặc goal mới.</w:t>
      </w:r>
    </w:p>
    <w:p>
      <w:pPr/>
      <w:r>
        <w:t>Khi so sánh tỷ lệ tránh vật cản đang cắt ngang, cần báo riêng số moving_encounter làm mẫu số. Một lượt thành công sau khi vật cản đã đứng lại chỉ chứng minh robot đi qua tình huống tổng thể, không chứng minh tránh được vật đang di chuyển.</w:t>
      </w:r>
    </w:p>
    <w:p>
      <w:pPr>
        <w:pStyle w:val="Heading1"/>
      </w:pPr>
      <w:r>
        <w:t>Phép so sánh cần có trước quyết định tách giới hạn</w:t>
      </w:r>
    </w:p>
    <w:p>
      <w:pPr/>
      <w:r>
        <w:t>Giữ cùng checkpoint SAC, map, seed và từng tình huống; chỉ thay cách áp giới hạn: SpeedLimit hiện tại giảm cả vx và wz so với cách chỉ giới hạn vx. Đối chiếu tỷ lệ tới goal, va chạm trong moving_encounter, timeout, thời gian tới goal và các đoạn robot quay tại chỗ. Đây là phép thử đề xuất, chưa phải kết quả đã có.</w:t>
      </w:r>
    </w:p>
    <w:p>
      <w:pPr>
        <w:pStyle w:val="Heading2"/>
      </w:pPr>
      <w:r>
        <w:t>Căn cứ trong dự án</w:t>
      </w:r>
    </w:p>
    <w:p>
      <w:pPr/>
      <w:r>
        <w:t>run_mppi_three_maps.py xác định các map, nhánh thử, 100 lượt mặc định, timeout và rosbag. benchmark_dynamic_obstacle.py tạo kịch bản, ghi mẫu thời gian và tổng hợp chỉ số. rl_velocity_supervisor.py triển khai scale qua Nav2 SpeedLimit.</w:t>
      </w:r>
    </w:p>
    <w:sectPr w:rsidR="00FC693F" w:rsidRPr="0006063C" w:rsidSect="00034616">
      <w:pgSz w:w="12240" w:h="15840"/>
      <w:pgMar w:top="979" w:right="1109" w:bottom="936"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DejaVu Sans" w:hAnsi="DejaVu San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DejaVu Sans" w:hAnsi="DejaVu San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