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Smart Contract Security &amp; Compliance Platform: Competitor Analysis &amp; Market Positioning</w:t>
      </w:r>
    </w:p>
    <w:p>
      <w:r>
        <w:pict>
          <v:rect style="width:0;height:1.5pt" o:hralign="center" o:hrstd="t" o:hr="t"/>
        </w:pict>
      </w:r>
    </w:p>
    <w:bookmarkStart w:id="20" w:name="market-category-overview"/>
    <w:p>
      <w:pPr>
        <w:pStyle w:val="Heading2"/>
      </w:pPr>
      <w:r>
        <w:t xml:space="preserve">1. Market Category Overview</w:t>
      </w:r>
    </w:p>
    <w:p>
      <w:pPr>
        <w:pStyle w:val="FirstParagraph"/>
      </w:pPr>
      <w:r>
        <w:t xml:space="preserve">The proposed product operates at the intersection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Contract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AI-Assisted Code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Web3 Regulatory Compliance</w:t>
      </w:r>
    </w:p>
    <w:p>
      <w:pPr>
        <w:pStyle w:val="BodyText"/>
      </w:pPr>
      <w:r>
        <w:t xml:space="preserve">This blended focus places it in a unique position as blockchain adoption accelerates and both retail and institutional players demand reliable, low-cost, and fast auditing tools that also account for emerging regulations like MiCA (EU), FATF, and SEC guidelines.</w:t>
      </w:r>
    </w:p>
    <w:p>
      <w:r>
        <w:pict>
          <v:rect style="width:0;height:1.5pt" o:hralign="center" o:hrstd="t" o:hr="t"/>
        </w:pict>
      </w:r>
    </w:p>
    <w:bookmarkEnd w:id="20"/>
    <w:bookmarkStart w:id="24" w:name="competitive-landscape"/>
    <w:p>
      <w:pPr>
        <w:pStyle w:val="Heading2"/>
      </w:pPr>
      <w:r>
        <w:t xml:space="preserve">2. Competitive Landscape</w:t>
      </w:r>
    </w:p>
    <w:bookmarkStart w:id="21" w:name="X592c7679f42d7ded0f137509605d86401c9af15"/>
    <w:p>
      <w:pPr>
        <w:pStyle w:val="Heading3"/>
      </w:pPr>
      <w:r>
        <w:t xml:space="preserve">2.1 Direct Competitors (Security Audit Platforms)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2874"/>
        <w:gridCol w:w="40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Core Offering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CertiK</w:t>
            </w:r>
          </w:p>
        </w:tc>
        <w:tc>
          <w:tcPr/>
          <w:p>
            <w:pPr>
              <w:pStyle w:val="Compact"/>
            </w:pPr>
            <w:r>
              <w:t xml:space="preserve">Manual + Automated Audits</w:t>
            </w:r>
          </w:p>
        </w:tc>
        <w:tc>
          <w:tcPr/>
          <w:p>
            <w:pPr>
              <w:pStyle w:val="Compact"/>
            </w:pPr>
            <w:r>
              <w:t xml:space="preserve">Enterprise focus; expensive ($25k–100k); slow turnaround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Quantstamp</w:t>
            </w:r>
          </w:p>
        </w:tc>
        <w:tc>
          <w:tcPr/>
          <w:p>
            <w:pPr>
              <w:pStyle w:val="Compact"/>
            </w:pPr>
            <w:r>
              <w:t xml:space="preserve">Automated tools + manual audits</w:t>
            </w:r>
          </w:p>
        </w:tc>
        <w:tc>
          <w:tcPr/>
          <w:p>
            <w:pPr>
              <w:pStyle w:val="Compact"/>
            </w:pPr>
            <w:r>
              <w:t xml:space="preserve">Protocol/staking focus; lacks dev-first toolkits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Trail of Bits</w:t>
            </w:r>
          </w:p>
        </w:tc>
        <w:tc>
          <w:tcPr/>
          <w:p>
            <w:pPr>
              <w:pStyle w:val="Compact"/>
            </w:pPr>
            <w:r>
              <w:t xml:space="preserve">Slither, Crytic (tools) + consulting</w:t>
            </w:r>
          </w:p>
        </w:tc>
        <w:tc>
          <w:tcPr/>
          <w:p>
            <w:pPr>
              <w:pStyle w:val="Compact"/>
            </w:pPr>
            <w:r>
              <w:t xml:space="preserve">High-end clients; tools are open-source; no compliance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MythX</w:t>
            </w:r>
          </w:p>
        </w:tc>
        <w:tc>
          <w:tcPr/>
          <w:p>
            <w:pPr>
              <w:pStyle w:val="Compact"/>
            </w:pPr>
            <w:r>
              <w:t xml:space="preserve">Solidity static analyzer (discontinued)</w:t>
            </w:r>
          </w:p>
        </w:tc>
        <w:tc>
          <w:tcPr/>
          <w:p>
            <w:pPr>
              <w:pStyle w:val="Compact"/>
            </w:pPr>
            <w:r>
              <w:t xml:space="preserve">Shutdown in 2023; core idea aligned with 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Securify</w:t>
            </w:r>
          </w:p>
        </w:tc>
        <w:tc>
          <w:tcPr/>
          <w:p>
            <w:pPr>
              <w:pStyle w:val="Compact"/>
            </w:pPr>
            <w:r>
              <w:t xml:space="preserve">Formal verification of smart contracts</w:t>
            </w:r>
          </w:p>
        </w:tc>
        <w:tc>
          <w:tcPr/>
          <w:p>
            <w:pPr>
              <w:pStyle w:val="Compact"/>
            </w:pPr>
            <w:r>
              <w:t xml:space="preserve">Academic-grade; complex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Slither + Mythril</w:t>
            </w:r>
          </w:p>
        </w:tc>
        <w:tc>
          <w:tcPr/>
          <w:p>
            <w:pPr>
              <w:pStyle w:val="Compact"/>
            </w:pPr>
            <w:r>
              <w:t xml:space="preserve">Open-source tools for Solidity analysis</w:t>
            </w:r>
          </w:p>
        </w:tc>
        <w:tc>
          <w:tcPr/>
          <w:p>
            <w:pPr>
              <w:pStyle w:val="Compact"/>
            </w:pPr>
            <w:r>
              <w:t xml:space="preserve">Dev-only; no UI; CLI-based; ideal for backend integration</w:t>
            </w:r>
          </w:p>
        </w:tc>
      </w:tr>
    </w:tbl>
    <w:bookmarkEnd w:id="21"/>
    <w:bookmarkStart w:id="22" w:name="Xf10aa8ffffd5cca6e1cb11a260f494ba3ac7e1d"/>
    <w:p>
      <w:pPr>
        <w:pStyle w:val="Heading3"/>
      </w:pPr>
      <w:r>
        <w:t xml:space="preserve">2.2 Indirect Competitors (AI or Dev Tool-Focused)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3"/>
        <w:gridCol w:w="2914"/>
        <w:gridCol w:w="39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Core Offering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Code4rena</w:t>
            </w:r>
          </w:p>
        </w:tc>
        <w:tc>
          <w:tcPr/>
          <w:p>
            <w:pPr>
              <w:pStyle w:val="Compact"/>
            </w:pPr>
            <w:r>
              <w:t xml:space="preserve">Crowdsourced security audits</w:t>
            </w:r>
          </w:p>
        </w:tc>
        <w:tc>
          <w:tcPr/>
          <w:p>
            <w:pPr>
              <w:pStyle w:val="Compact"/>
            </w:pPr>
            <w:r>
              <w:t xml:space="preserve">Bounty-based audits; not instant or 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General AI code suggestions</w:t>
            </w:r>
          </w:p>
        </w:tc>
        <w:tc>
          <w:tcPr/>
          <w:p>
            <w:pPr>
              <w:pStyle w:val="Compact"/>
            </w:pPr>
            <w:r>
              <w:t xml:space="preserve">Not Solidity/security-specific; no regulatory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Zellic</w:t>
            </w:r>
          </w:p>
        </w:tc>
        <w:tc>
          <w:tcPr/>
          <w:p>
            <w:pPr>
              <w:pStyle w:val="Compact"/>
            </w:pPr>
            <w:r>
              <w:t xml:space="preserve">Manual audits, advanced security research</w:t>
            </w:r>
          </w:p>
        </w:tc>
        <w:tc>
          <w:tcPr/>
          <w:p>
            <w:pPr>
              <w:pStyle w:val="Compact"/>
            </w:pPr>
            <w:r>
              <w:t xml:space="preserve">Focus on complex protocols; no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ChainSecurity</w:t>
            </w:r>
          </w:p>
        </w:tc>
        <w:tc>
          <w:tcPr/>
          <w:p>
            <w:pPr>
              <w:pStyle w:val="Compact"/>
            </w:pPr>
            <w:r>
              <w:t xml:space="preserve">Formal audits, merged with PwC</w:t>
            </w:r>
          </w:p>
        </w:tc>
        <w:tc>
          <w:tcPr/>
          <w:p>
            <w:pPr>
              <w:pStyle w:val="Compact"/>
            </w:pPr>
            <w:r>
              <w:t xml:space="preserve">Traditional audit process; not dev-friendly</w:t>
            </w:r>
          </w:p>
        </w:tc>
      </w:tr>
    </w:tbl>
    <w:bookmarkEnd w:id="22"/>
    <w:bookmarkStart w:id="23" w:name="X1bc1e5b96c4681da78e7ba958b7bfed39473add"/>
    <w:p>
      <w:pPr>
        <w:pStyle w:val="Heading3"/>
      </w:pPr>
      <w:r>
        <w:t xml:space="preserve">2.3 Regulatory/Compliance Tools (Non-Code Focused)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3"/>
        <w:gridCol w:w="2914"/>
        <w:gridCol w:w="39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Core Offering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Chainalysis</w:t>
            </w:r>
          </w:p>
        </w:tc>
        <w:tc>
          <w:tcPr/>
          <w:p>
            <w:pPr>
              <w:pStyle w:val="Compact"/>
            </w:pPr>
            <w:r>
              <w:t xml:space="preserve">On-chain KYC, AML tracking</w:t>
            </w:r>
          </w:p>
        </w:tc>
        <w:tc>
          <w:tcPr/>
          <w:p>
            <w:pPr>
              <w:pStyle w:val="Compact"/>
            </w:pPr>
            <w:r>
              <w:t xml:space="preserve">No contract code analysis; data intelligence 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TRM Labs</w:t>
            </w:r>
          </w:p>
        </w:tc>
        <w:tc>
          <w:tcPr/>
          <w:p>
            <w:pPr>
              <w:pStyle w:val="Compact"/>
            </w:pPr>
            <w:r>
              <w:t xml:space="preserve">Wallet-level risk, sanctions compliance</w:t>
            </w:r>
          </w:p>
        </w:tc>
        <w:tc>
          <w:tcPr/>
          <w:p>
            <w:pPr>
              <w:pStyle w:val="Compact"/>
            </w:pPr>
            <w:r>
              <w:t xml:space="preserve">Works at transaction layer, not smart contract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Coinfirm</w:t>
            </w:r>
          </w:p>
        </w:tc>
        <w:tc>
          <w:tcPr/>
          <w:p>
            <w:pPr>
              <w:pStyle w:val="Compact"/>
            </w:pPr>
            <w:r>
              <w:t xml:space="preserve">AML/CTF frameworks for DeFi</w:t>
            </w:r>
          </w:p>
        </w:tc>
        <w:tc>
          <w:tcPr/>
          <w:p>
            <w:pPr>
              <w:pStyle w:val="Compact"/>
            </w:pPr>
            <w:r>
              <w:t xml:space="preserve">Focus on token-level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Blockpass/Shyft</w:t>
            </w:r>
          </w:p>
        </w:tc>
        <w:tc>
          <w:tcPr/>
          <w:p>
            <w:pPr>
              <w:pStyle w:val="Compact"/>
            </w:pPr>
            <w:r>
              <w:t xml:space="preserve">Identity &amp; credential solutions</w:t>
            </w:r>
          </w:p>
        </w:tc>
        <w:tc>
          <w:tcPr/>
          <w:p>
            <w:pPr>
              <w:pStyle w:val="Compact"/>
            </w:pPr>
            <w:r>
              <w:t xml:space="preserve">Not related to code security or auditing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your-products-unique-positioning"/>
    <w:p>
      <w:pPr>
        <w:pStyle w:val="Heading2"/>
      </w:pPr>
      <w:r>
        <w:t xml:space="preserve">3. Your Product’s Unique Positioning</w:t>
      </w:r>
    </w:p>
    <w:p>
      <w:pPr>
        <w:pStyle w:val="FirstParagraph"/>
      </w:pPr>
      <w:r>
        <w:rPr>
          <w:b/>
          <w:bCs/>
        </w:rPr>
        <w:t xml:space="preserve">Product Vision: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“The first AI-powered audit platform that explains, tests, and maps smart contracts to both security vulnerabilities and real-world legal compliance frameworks like MiCA and SEC guidelines — instantly.”</w:t>
      </w:r>
    </w:p>
    <w:bookmarkStart w:id="25" w:name="unique-selling-points-usps"/>
    <w:p>
      <w:pPr>
        <w:pStyle w:val="Heading3"/>
      </w:pPr>
      <w:r>
        <w:t xml:space="preserve">3.1 Unique Selling Points (USPs)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9"/>
        <w:gridCol w:w="2048"/>
        <w:gridCol w:w="34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Market Standard</w:t>
            </w:r>
          </w:p>
        </w:tc>
        <w:tc>
          <w:tcPr/>
          <w:p>
            <w:pPr>
              <w:pStyle w:val="Compact"/>
            </w:pPr>
            <w:r>
              <w:t xml:space="preserve">AuditGPT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Analysis (Static)</w:t>
            </w:r>
          </w:p>
        </w:tc>
        <w:tc>
          <w:tcPr/>
          <w:p>
            <w:pPr>
              <w:pStyle w:val="Compact"/>
            </w:pPr>
            <w:r>
              <w:t xml:space="preserve">Manual or CLI tools</w:t>
            </w:r>
          </w:p>
        </w:tc>
        <w:tc>
          <w:tcPr/>
          <w:p>
            <w:pPr>
              <w:pStyle w:val="Compact"/>
            </w:pPr>
            <w:r>
              <w:t xml:space="preserve">✅ Integrated, UI-ready + 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Code Explanation</w:t>
            </w:r>
          </w:p>
        </w:tc>
        <w:tc>
          <w:tcPr/>
          <w:p>
            <w:pPr>
              <w:pStyle w:val="Compact"/>
            </w:pPr>
            <w:r>
              <w:t xml:space="preserve">Rarely supported</w:t>
            </w:r>
          </w:p>
        </w:tc>
        <w:tc>
          <w:tcPr/>
          <w:p>
            <w:pPr>
              <w:pStyle w:val="Compact"/>
            </w:pPr>
            <w:r>
              <w:t xml:space="preserve">✅ LLM-powered (GPT) explanation of contract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Mapping (MiCA, SEC)</w:t>
            </w:r>
          </w:p>
        </w:tc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✅ Core functionality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</w:pPr>
            <w:r>
              <w:t xml:space="preserve">Manual PDF reports</w:t>
            </w:r>
          </w:p>
        </w:tc>
        <w:tc>
          <w:tcPr/>
          <w:p>
            <w:pPr>
              <w:pStyle w:val="Compact"/>
            </w:pPr>
            <w:r>
              <w:t xml:space="preserve">✅ Instant, exportable, explainable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Experience</w:t>
            </w:r>
          </w:p>
        </w:tc>
        <w:tc>
          <w:tcPr/>
          <w:p>
            <w:pPr>
              <w:pStyle w:val="Compact"/>
            </w:pPr>
            <w:r>
              <w:t xml:space="preserve">Dev-only or Enterprise-only</w:t>
            </w:r>
          </w:p>
        </w:tc>
        <w:tc>
          <w:tcPr/>
          <w:p>
            <w:pPr>
              <w:pStyle w:val="Compact"/>
            </w:pPr>
            <w:r>
              <w:t xml:space="preserve">✅ Dev-friendly + Self-service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$10k–$100k per audit</w:t>
            </w:r>
          </w:p>
        </w:tc>
        <w:tc>
          <w:tcPr/>
          <w:p>
            <w:pPr>
              <w:pStyle w:val="Compact"/>
            </w:pPr>
            <w:r>
              <w:t xml:space="preserve">✅ Freemium + API pay-per-scan model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strategic-positioning"/>
    <w:p>
      <w:pPr>
        <w:pStyle w:val="Heading2"/>
      </w:pPr>
      <w:r>
        <w:t xml:space="preserve">4. Strategic Positioning</w:t>
      </w:r>
    </w:p>
    <w:bookmarkStart w:id="27" w:name="market-timing"/>
    <w:p>
      <w:pPr>
        <w:pStyle w:val="Heading3"/>
      </w:pPr>
      <w:r>
        <w:t xml:space="preserve">4.1 Market Timing</w:t>
      </w:r>
    </w:p>
    <w:p>
      <w:pPr>
        <w:pStyle w:val="Compact"/>
        <w:numPr>
          <w:ilvl w:val="0"/>
          <w:numId w:val="1001"/>
        </w:numPr>
      </w:pPr>
      <w:r>
        <w:t xml:space="preserve">Post-ChatGPT: Developers now expect AI assistants in every workflow</w:t>
      </w:r>
    </w:p>
    <w:p>
      <w:pPr>
        <w:pStyle w:val="Compact"/>
        <w:numPr>
          <w:ilvl w:val="0"/>
          <w:numId w:val="1001"/>
        </w:numPr>
      </w:pPr>
      <w:r>
        <w:t xml:space="preserve">Pre-Regulation Boom: MiCA is live in the EU (2024–2025), SEC and others will follow</w:t>
      </w:r>
    </w:p>
    <w:p>
      <w:pPr>
        <w:pStyle w:val="Compact"/>
        <w:numPr>
          <w:ilvl w:val="0"/>
          <w:numId w:val="1001"/>
        </w:numPr>
      </w:pPr>
      <w:r>
        <w:t xml:space="preserve">Rising Hacks: &gt;$3B lost in 2022–2023 alone from contract vulnerabilities</w:t>
      </w:r>
    </w:p>
    <w:bookmarkEnd w:id="27"/>
    <w:bookmarkStart w:id="28" w:name="target-customers"/>
    <w:p>
      <w:pPr>
        <w:pStyle w:val="Heading3"/>
      </w:pPr>
      <w:r>
        <w:t xml:space="preserve">4.2 Target Customers</w:t>
      </w:r>
    </w:p>
    <w:p>
      <w:pPr>
        <w:pStyle w:val="Compact"/>
        <w:numPr>
          <w:ilvl w:val="0"/>
          <w:numId w:val="1002"/>
        </w:numPr>
      </w:pPr>
      <w:r>
        <w:t xml:space="preserve">Web3 startups building on Ethereum, Polygon, Arbitrum, etc.</w:t>
      </w:r>
    </w:p>
    <w:p>
      <w:pPr>
        <w:pStyle w:val="Compact"/>
        <w:numPr>
          <w:ilvl w:val="0"/>
          <w:numId w:val="1002"/>
        </w:numPr>
      </w:pPr>
      <w:r>
        <w:t xml:space="preserve">DAOs managing treasuries and governance</w:t>
      </w:r>
    </w:p>
    <w:p>
      <w:pPr>
        <w:pStyle w:val="Compact"/>
        <w:numPr>
          <w:ilvl w:val="0"/>
          <w:numId w:val="1002"/>
        </w:numPr>
      </w:pPr>
      <w:r>
        <w:t xml:space="preserve">Launchpads &amp; incubators wanting pre-launch contract scans</w:t>
      </w:r>
    </w:p>
    <w:p>
      <w:pPr>
        <w:pStyle w:val="Compact"/>
        <w:numPr>
          <w:ilvl w:val="0"/>
          <w:numId w:val="1002"/>
        </w:numPr>
      </w:pPr>
      <w:r>
        <w:t xml:space="preserve">Freelance Solidity devs needing affordable, fast audits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etitive-moats"/>
    <w:p>
      <w:pPr>
        <w:pStyle w:val="Heading2"/>
      </w:pPr>
      <w:r>
        <w:t xml:space="preserve">5. Competitive Moats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5"/>
        <w:gridCol w:w="6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Moat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Fine-Tuning</w:t>
            </w:r>
          </w:p>
        </w:tc>
        <w:tc>
          <w:tcPr/>
          <w:p>
            <w:pPr>
              <w:pStyle w:val="Compact"/>
            </w:pPr>
            <w:r>
              <w:t xml:space="preserve">Proprietary prompt engineering + risk detection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Engine</w:t>
            </w:r>
          </w:p>
        </w:tc>
        <w:tc>
          <w:tcPr/>
          <w:p>
            <w:pPr>
              <w:pStyle w:val="Compact"/>
            </w:pPr>
            <w:r>
              <w:t xml:space="preserve">Regulatory rules mapped to Solidity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Advantage</w:t>
            </w:r>
          </w:p>
        </w:tc>
        <w:tc>
          <w:tcPr/>
          <w:p>
            <w:pPr>
              <w:pStyle w:val="Compact"/>
            </w:pPr>
            <w:r>
              <w:t xml:space="preserve">Pattern recognition from thousands of past 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Partnership with DAOs, incubators, and hackathons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ummary-positioning-statement"/>
    <w:p>
      <w:pPr>
        <w:pStyle w:val="Heading2"/>
      </w:pPr>
      <w:r>
        <w:t xml:space="preserve">6. Summary: Positioning Statement</w:t>
      </w:r>
    </w:p>
    <w:p>
      <w:pPr>
        <w:pStyle w:val="BlockText"/>
      </w:pPr>
      <w:r>
        <w:rPr>
          <w:b/>
          <w:bCs/>
        </w:rPr>
        <w:t xml:space="preserve">“AuditGPT is like ChatGPT meets Chainalysis for smart contracts — we scan, explain, and validate your Solidity code for security and regulation before you go live.”</w:t>
      </w:r>
    </w:p>
    <w:p>
      <w:pPr>
        <w:pStyle w:val="FirstParagraph"/>
      </w:pPr>
      <w:r>
        <w:t xml:space="preserve">This positioning fills the gap between manual audits and crypto compliance — making you the</w:t>
      </w:r>
      <w:r>
        <w:t xml:space="preserve"> </w:t>
      </w:r>
      <w:r>
        <w:rPr>
          <w:b/>
          <w:bCs/>
        </w:rPr>
        <w:t xml:space="preserve">first-mover in AI-powered Web3 compliance tooling.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internal use and investor readiness.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2025-07-02T18:24:59Z</dcterms:created>
  <dcterms:modified xsi:type="dcterms:W3CDTF">2025-07-02T18:24:59Z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