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/>
      </w:pPr>
    </w:p>
    <w:p>
      <w:pPr>
        <w:jc w:val="center"/>
      </w:pPr>
      <w:r>
        <w:rPr>
          <w:b/>
          <w:bCs/>
          <w:color w:val="4F46E5"/>
          <w:sz w:val="56"/>
          <w:szCs w:val="56"/>
        </w:rPr>
        <w:t xml:space="preserve">VaultSend</w:t>
      </w:r>
    </w:p>
    <w:p>
      <w:pPr>
        <w:spacing w:before="200"/>
        <w:jc w:val="center"/>
      </w:pPr>
      <w:r>
        <w:rPr>
          <w:color w:val="1E1B2E"/>
          <w:sz w:val="30"/>
          <w:szCs w:val="30"/>
        </w:rPr>
        <w:t xml:space="preserve">Yazılım Lisans ve Destek Sözleşmesi</w:t>
      </w:r>
    </w:p>
    <w:p>
      <w:pPr>
        <w:spacing w:after="500" w:before="120"/>
        <w:jc w:val="center"/>
      </w:pPr>
      <w:r>
        <w:rPr>
          <w:b/>
          <w:bCs/>
          <w:color w:val="B91C1C"/>
          <w:sz w:val="26"/>
          <w:szCs w:val="26"/>
        </w:rPr>
        <w:t xml:space="preserve">(TASLAK)</w:t>
      </w:r>
    </w:p>
    <w:p>
      <w:pPr>
        <w:pBdr>
          <w:top w:val="single" w:color="F59E0B" w:sz="6"/>
          <w:bottom w:val="single" w:color="F59E0B" w:sz="6"/>
          <w:left w:val="single" w:color="F59E0B" w:sz="6"/>
          <w:right w:val="single" w:color="F59E0B" w:sz="6"/>
        </w:pBdr>
        <w:shd w:fill="FEF3C7" w:val="clear"/>
        <w:spacing w:after="300" w:before="200"/>
      </w:pPr>
      <w:r>
        <w:rPr>
          <w:b/>
          <w:bCs/>
          <w:color w:val="92400E"/>
          <w:sz w:val="21"/>
          <w:szCs w:val="21"/>
        </w:rPr>
        <w:t xml:space="preserve">UYARI: Bu belge bir taslaktır, hukuki tavsiye değildir. Resmi olarak kullanmadan önce bir avukata inceletmeniz gerekir. Köşeli parantez [ ... ] içindeki alanlar doldurulmalı ve hukuki geçerliliği teyit edilmelidir.</w:t>
      </w:r>
    </w:p>
    <w:p>
      <w:pPr>
        <w:spacing w:after="140"/>
      </w:pPr>
      <w:r>
        <w:rPr>
          <w:color w:val="1E1B2E"/>
          <w:sz w:val="21"/>
          <w:szCs w:val="21"/>
        </w:rPr>
        <w:t xml:space="preserve">Bu Sözleşme, aşağıda bilgileri yer alan taraflar arasında [TARİH] tarihinde akdedilmiştir:</w:t>
      </w:r>
    </w:p>
    <w:tbl>
      <w:tblPr>
        <w:tblW w:type="dxa" w:w="9500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3600"/>
        <w:gridCol w:w="5900"/>
      </w:tblGrid>
      <w:tr>
        <w:tc>
          <w:tcPr>
            <w:tcW w:type="dxa" w:w="36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1E1B2E"/>
                <w:sz w:val="20"/>
                <w:szCs w:val="20"/>
              </w:rPr>
              <w:t xml:space="preserve">LİSANS VEREN</w:t>
            </w:r>
          </w:p>
        </w:tc>
        <w:tc>
          <w:tcPr>
            <w:tcW w:type="dxa" w:w="5900"/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475569"/>
                <w:sz w:val="20"/>
                <w:szCs w:val="20"/>
              </w:rPr>
              <w:t xml:space="preserve">[Şirket Unvanınız], [Adres]</w:t>
            </w:r>
          </w:p>
        </w:tc>
      </w:tr>
      <w:tr>
        <w:tc>
          <w:tcPr>
            <w:tcW w:type="dxa" w:w="3600"/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1E1B2E"/>
                <w:sz w:val="20"/>
                <w:szCs w:val="20"/>
              </w:rPr>
              <w:t xml:space="preserve">LİSANS ALAN</w:t>
            </w:r>
          </w:p>
        </w:tc>
        <w:tc>
          <w:tcPr>
            <w:tcW w:type="dxa" w:w="5900"/>
            <w:shd w:fill="F8FAF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475569"/>
                <w:sz w:val="20"/>
                <w:szCs w:val="20"/>
              </w:rPr>
              <w:t xml:space="preserve">[Müşteri Şirket Unvanı], [Adres]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4F46E5" w:sz="6" w:space="4"/>
        </w:pBdr>
        <w:spacing w:after="160" w:before="320"/>
      </w:pPr>
      <w:r>
        <w:rPr>
          <w:b/>
          <w:bCs/>
          <w:color w:val="1E1B2E"/>
          <w:sz w:val="26"/>
          <w:szCs w:val="26"/>
        </w:rPr>
        <w:t xml:space="preserve">1. Tanımlar</w:t>
      </w:r>
    </w:p>
    <w:p>
      <w:pPr>
        <w:spacing w:after="140"/>
      </w:pPr>
      <w:r>
        <w:rPr>
          <w:color w:val="1E1B2E"/>
          <w:sz w:val="21"/>
          <w:szCs w:val="21"/>
        </w:rPr>
        <w:t xml:space="preserve">"Yazılım": VaultSend adlı, dosya transfer sistemi olarak sunulan yazılım (kaynak kodu değil, çalışan uygulama olarak).</w:t>
      </w:r>
    </w:p>
    <w:p>
      <w:pPr>
        <w:spacing w:after="140"/>
      </w:pPr>
      <w:r>
        <w:rPr>
          <w:color w:val="1E1B2E"/>
          <w:sz w:val="21"/>
          <w:szCs w:val="21"/>
        </w:rPr>
        <w:t xml:space="preserve">"Sunucu": Yazılımın kurulacağı, Lisans Alan'a ait veya Lisans Alan'ın kontrolündeki fiziksel/sanal sunucu.</w:t>
      </w:r>
    </w:p>
    <w:p>
      <w:pPr>
        <w:spacing w:after="140"/>
      </w:pPr>
      <w:r>
        <w:rPr>
          <w:color w:val="1E1B2E"/>
          <w:sz w:val="21"/>
          <w:szCs w:val="21"/>
        </w:rPr>
        <w:t xml:space="preserve">"Kullanıcı": Yazılımı personel arayüzünden kullanan Lisans Alan çalışanları.</w:t>
      </w:r>
    </w:p>
    <w:p>
      <w:pPr>
        <w:spacing w:after="140"/>
      </w:pPr>
      <w:r>
        <w:rPr>
          <w:color w:val="1E1B2E"/>
          <w:sz w:val="21"/>
          <w:szCs w:val="21"/>
        </w:rPr>
        <w:t xml:space="preserve">"Güncelleme": Yazılımın hata düzeltme, güvenlik yaması veya küçük özellik eklemelerini içeren sürümleri.</w:t>
      </w:r>
    </w:p>
    <w:p>
      <w:pPr>
        <w:pStyle w:val="Heading1"/>
        <w:pBdr>
          <w:bottom w:val="single" w:color="4F46E5" w:sz="6" w:space="4"/>
        </w:pBdr>
        <w:spacing w:after="160" w:before="320"/>
      </w:pPr>
      <w:r>
        <w:rPr>
          <w:b/>
          <w:bCs/>
          <w:color w:val="1E1B2E"/>
          <w:sz w:val="26"/>
          <w:szCs w:val="26"/>
        </w:rPr>
        <w:t xml:space="preserve">2. Lisans Kapsamı</w:t>
      </w:r>
    </w:p>
    <w:p>
      <w:pPr>
        <w:spacing w:after="140"/>
      </w:pPr>
      <w:r>
        <w:rPr>
          <w:color w:val="1E1B2E"/>
          <w:sz w:val="21"/>
          <w:szCs w:val="21"/>
        </w:rPr>
        <w:t xml:space="preserve">2.1. Lisans Veren, Lisans Alan'a, Yazılımı [BİR (1)] adet sunucuya kurmak ve en fazla [KULLANICI SAYISI] kullanıcı için kullanmak üzere, münhasır olmayan (non-exclusive), devredilemez (non-transferable) bir kullanım lisansı verir.</w:t>
      </w:r>
    </w:p>
    <w:p>
      <w:pPr>
        <w:spacing w:after="140"/>
      </w:pPr>
      <w:r>
        <w:rPr>
          <w:color w:val="1E1B2E"/>
          <w:sz w:val="21"/>
          <w:szCs w:val="21"/>
        </w:rPr>
        <w:t xml:space="preserve">2.2. Bu lisans; Yazılımın kaynak kodunun tesliminin yapılmadığı, Lisans Alan'ın Yazılımı çoğaltma, tersine mühendislik yapma, alt lisanslama veya üçüncü taraflara devretme hakkı olmadığı şekilde sınırlıdır.</w:t>
      </w:r>
    </w:p>
    <w:p>
      <w:pPr>
        <w:spacing w:after="140"/>
      </w:pPr>
      <w:r>
        <w:rPr>
          <w:color w:val="1E1B2E"/>
          <w:sz w:val="21"/>
          <w:szCs w:val="21"/>
        </w:rPr>
        <w:t xml:space="preserve">2.3. Lisans, işbu Sözleşme'nin imza tarihinden itibaren [SÜREKLİ / 1 YIL / ...] geçerlidir.</w:t>
      </w:r>
    </w:p>
    <w:p>
      <w:pPr>
        <w:pStyle w:val="Heading1"/>
        <w:pBdr>
          <w:bottom w:val="single" w:color="4F46E5" w:sz="6" w:space="4"/>
        </w:pBdr>
        <w:spacing w:after="160" w:before="320"/>
      </w:pPr>
      <w:r>
        <w:rPr>
          <w:b/>
          <w:bCs/>
          <w:color w:val="1E1B2E"/>
          <w:sz w:val="26"/>
          <w:szCs w:val="26"/>
        </w:rPr>
        <w:t xml:space="preserve">3. Teslimat ve Kurulum</w:t>
      </w:r>
    </w:p>
    <w:p>
      <w:pPr>
        <w:spacing w:after="140"/>
      </w:pPr>
      <w:r>
        <w:rPr>
          <w:color w:val="1E1B2E"/>
          <w:sz w:val="21"/>
          <w:szCs w:val="21"/>
        </w:rPr>
        <w:t xml:space="preserve">3.1. Lisans Veren, Yazılımı kurulum paketi (Docker imajları + kurulum scriptleri) ve kurulum kılavuzu ile birlikte teslim eder.</w:t>
      </w:r>
    </w:p>
    <w:p>
      <w:pPr>
        <w:spacing w:after="140"/>
      </w:pPr>
      <w:r>
        <w:rPr>
          <w:color w:val="1E1B2E"/>
          <w:sz w:val="21"/>
          <w:szCs w:val="21"/>
        </w:rPr>
        <w:t xml:space="preserve">3.2. Kurulum, Lisans Veren tarafından uzaktan destekli olarak veya Lisans Alan'ın kendi IT ekibi tarafından kurulum kılavuzuna uygun şekilde gerçekleştirilir.</w:t>
      </w:r>
    </w:p>
    <w:p>
      <w:pPr>
        <w:spacing w:after="140"/>
      </w:pPr>
      <w:r>
        <w:rPr>
          <w:color w:val="1E1B2E"/>
          <w:sz w:val="21"/>
          <w:szCs w:val="21"/>
        </w:rPr>
        <w:t xml:space="preserve">3.3. Kurulumun tamamlandığı, taraflarca birlikte imzalanan Kabul Testi (UAT) Formu ile teyit edilir.</w:t>
      </w:r>
    </w:p>
    <w:p>
      <w:pPr>
        <w:pStyle w:val="Heading1"/>
        <w:pBdr>
          <w:bottom w:val="single" w:color="4F46E5" w:sz="6" w:space="4"/>
        </w:pBdr>
        <w:spacing w:after="160" w:before="320"/>
      </w:pPr>
      <w:r>
        <w:rPr>
          <w:b/>
          <w:bCs/>
          <w:color w:val="1E1B2E"/>
          <w:sz w:val="26"/>
          <w:szCs w:val="26"/>
        </w:rPr>
        <w:t xml:space="preserve">4. Ücretler ve Ödeme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800"/>
        <w:gridCol w:w="3100"/>
      </w:tblGrid>
      <w:tr>
        <w:trPr>
          <w:tblHeader/>
        </w:trPr>
        <w:tc>
          <w:tcPr>
            <w:tcW w:type="dxa" w:w="3600"/>
            <w:shd w:fill="4F46E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Kalem</w:t>
            </w:r>
          </w:p>
        </w:tc>
        <w:tc>
          <w:tcPr>
            <w:tcW w:type="dxa" w:w="2800"/>
            <w:shd w:fill="4F46E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Tutar</w:t>
            </w:r>
          </w:p>
        </w:tc>
        <w:tc>
          <w:tcPr>
            <w:tcW w:type="dxa" w:w="3100"/>
            <w:shd w:fill="4F46E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Ödeme Zamanı</w:t>
            </w:r>
          </w:p>
        </w:tc>
      </w:tr>
      <w:tr>
        <w:tc>
          <w:tcPr>
            <w:tcW w:type="dxa" w:w="3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E1B2E"/>
                <w:sz w:val="19"/>
                <w:szCs w:val="19"/>
              </w:rPr>
              <w:t xml:space="preserve">Lisans Bedeli (tek seferlik)</w:t>
            </w:r>
          </w:p>
        </w:tc>
        <w:tc>
          <w:tcPr>
            <w:tcW w:type="dxa" w:w="2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E1B2E"/>
                <w:sz w:val="19"/>
                <w:szCs w:val="19"/>
              </w:rPr>
              <w:t xml:space="preserve">[TUTAR]</w:t>
            </w:r>
          </w:p>
        </w:tc>
        <w:tc>
          <w:tcPr>
            <w:tcW w:type="dxa" w:w="31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E1B2E"/>
                <w:sz w:val="19"/>
                <w:szCs w:val="19"/>
              </w:rPr>
              <w:t xml:space="preserve">Sözleşme imzası / kurulum öncesi</w:t>
            </w:r>
          </w:p>
        </w:tc>
      </w:tr>
      <w:tr>
        <w:tc>
          <w:tcPr>
            <w:tcW w:type="dxa" w:w="3600"/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E1B2E"/>
                <w:sz w:val="19"/>
                <w:szCs w:val="19"/>
              </w:rPr>
              <w:t xml:space="preserve">Yıllık Destek ve Bakım Bedeli</w:t>
            </w:r>
          </w:p>
        </w:tc>
        <w:tc>
          <w:tcPr>
            <w:tcW w:type="dxa" w:w="2800"/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E1B2E"/>
                <w:sz w:val="19"/>
                <w:szCs w:val="19"/>
              </w:rPr>
              <w:t xml:space="preserve">Lisans bedelinin [%15-20]'si</w:t>
            </w:r>
          </w:p>
        </w:tc>
        <w:tc>
          <w:tcPr>
            <w:tcW w:type="dxa" w:w="3100"/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E1B2E"/>
                <w:sz w:val="19"/>
                <w:szCs w:val="19"/>
              </w:rPr>
              <w:t xml:space="preserve">Her yıl, lisans yıl dönümünde</w:t>
            </w:r>
          </w:p>
        </w:tc>
      </w:tr>
      <w:tr>
        <w:tc>
          <w:tcPr>
            <w:tcW w:type="dxa" w:w="3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E1B2E"/>
                <w:sz w:val="19"/>
                <w:szCs w:val="19"/>
              </w:rPr>
              <w:t xml:space="preserve">Kurulum/Devreye Alma (varsa)</w:t>
            </w:r>
          </w:p>
        </w:tc>
        <w:tc>
          <w:tcPr>
            <w:tcW w:type="dxa" w:w="2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E1B2E"/>
                <w:sz w:val="19"/>
                <w:szCs w:val="19"/>
              </w:rPr>
              <w:t xml:space="preserve">[TUTAR]</w:t>
            </w:r>
          </w:p>
        </w:tc>
        <w:tc>
          <w:tcPr>
            <w:tcW w:type="dxa" w:w="31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E1B2E"/>
                <w:sz w:val="19"/>
                <w:szCs w:val="19"/>
              </w:rPr>
              <w:t xml:space="preserve">Kurulum tamamlandığında</w:t>
            </w:r>
          </w:p>
        </w:tc>
      </w:tr>
    </w:tbl>
    <w:p>
      <w:pPr>
        <w:spacing w:after="200"/>
      </w:pPr>
    </w:p>
    <w:p>
      <w:pPr>
        <w:spacing w:after="140"/>
      </w:pPr>
      <w:r>
        <w:rPr>
          <w:color w:val="1E1B2E"/>
          <w:sz w:val="21"/>
          <w:szCs w:val="21"/>
        </w:rPr>
        <w:t xml:space="preserve">4.1. Ödemeler [KDV DAHİL/HARİÇ] olarak, fatura tarihinden itibaren [14/30] gün içinde yapılır.</w:t>
      </w:r>
    </w:p>
    <w:p>
      <w:pPr>
        <w:spacing w:after="140"/>
      </w:pPr>
      <w:r>
        <w:rPr>
          <w:color w:val="1E1B2E"/>
          <w:sz w:val="21"/>
          <w:szCs w:val="21"/>
        </w:rPr>
        <w:t xml:space="preserve">4.2. Yıllık destek bedeli ödenmediği takdirde Lisans Veren, güncelleme ve destek hizmetini durdurma hakkına sahiptir; Yazılımın kurulu kopyası çalışmaya devam eder ancak destek kapsamı dışında kalır.</w:t>
      </w:r>
    </w:p>
    <w:p>
      <w:pPr>
        <w:pStyle w:val="Heading1"/>
        <w:pBdr>
          <w:bottom w:val="single" w:color="4F46E5" w:sz="6" w:space="4"/>
        </w:pBdr>
        <w:spacing w:after="160" w:before="320"/>
      </w:pPr>
      <w:r>
        <w:rPr>
          <w:b/>
          <w:bCs/>
          <w:color w:val="1E1B2E"/>
          <w:sz w:val="26"/>
          <w:szCs w:val="26"/>
        </w:rPr>
        <w:t xml:space="preserve">5. Destek ve Bakım</w:t>
      </w:r>
    </w:p>
    <w:p>
      <w:pPr>
        <w:spacing w:after="140"/>
      </w:pPr>
      <w:r>
        <w:rPr>
          <w:color w:val="1E1B2E"/>
          <w:sz w:val="21"/>
          <w:szCs w:val="21"/>
        </w:rPr>
        <w:t xml:space="preserve">5.1. Destek kapsamı: hata bildirimi, kullanım soruları, güncelleme sağlanması.</w:t>
      </w:r>
    </w:p>
    <w:p>
      <w:pPr>
        <w:spacing w:after="140"/>
      </w:pPr>
      <w:r>
        <w:rPr>
          <w:color w:val="1E1B2E"/>
          <w:sz w:val="21"/>
          <w:szCs w:val="21"/>
        </w:rPr>
        <w:t xml:space="preserve">5.2. Destek talebi yanıt süreleri (iş günü içinde):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150"/>
        <w:gridCol w:w="3150"/>
      </w:tblGrid>
      <w:tr>
        <w:trPr>
          <w:tblHeader/>
        </w:trPr>
        <w:tc>
          <w:tcPr>
            <w:tcW w:type="dxa" w:w="3200"/>
            <w:shd w:fill="4F46E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Öncelik</w:t>
            </w:r>
          </w:p>
        </w:tc>
        <w:tc>
          <w:tcPr>
            <w:tcW w:type="dxa" w:w="3150"/>
            <w:shd w:fill="4F46E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İlk Yanıt</w:t>
            </w:r>
          </w:p>
        </w:tc>
        <w:tc>
          <w:tcPr>
            <w:tcW w:type="dxa" w:w="3150"/>
            <w:shd w:fill="4F46E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Çözüm Hedefi</w:t>
            </w:r>
          </w:p>
        </w:tc>
      </w:tr>
      <w:tr>
        <w:tc>
          <w:tcPr>
            <w:tcW w:type="dxa" w:w="3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E1B2E"/>
                <w:sz w:val="19"/>
                <w:szCs w:val="19"/>
              </w:rPr>
              <w:t xml:space="preserve">Kritik (sistem tamamen çalışmıyor)</w:t>
            </w:r>
          </w:p>
        </w:tc>
        <w:tc>
          <w:tcPr>
            <w:tcW w:type="dxa" w:w="31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E1B2E"/>
                <w:sz w:val="19"/>
                <w:szCs w:val="19"/>
              </w:rPr>
              <w:t xml:space="preserve">[4 saat]</w:t>
            </w:r>
          </w:p>
        </w:tc>
        <w:tc>
          <w:tcPr>
            <w:tcW w:type="dxa" w:w="31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E1B2E"/>
                <w:sz w:val="19"/>
                <w:szCs w:val="19"/>
              </w:rPr>
              <w:t xml:space="preserve">[1 iş günü]</w:t>
            </w:r>
          </w:p>
        </w:tc>
      </w:tr>
      <w:tr>
        <w:tc>
          <w:tcPr>
            <w:tcW w:type="dxa" w:w="3200"/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E1B2E"/>
                <w:sz w:val="19"/>
                <w:szCs w:val="19"/>
              </w:rPr>
              <w:t xml:space="preserve">Yüksek (önemli fonksiyon bozuk)</w:t>
            </w:r>
          </w:p>
        </w:tc>
        <w:tc>
          <w:tcPr>
            <w:tcW w:type="dxa" w:w="3150"/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E1B2E"/>
                <w:sz w:val="19"/>
                <w:szCs w:val="19"/>
              </w:rPr>
              <w:t xml:space="preserve">[1 iş günü]</w:t>
            </w:r>
          </w:p>
        </w:tc>
        <w:tc>
          <w:tcPr>
            <w:tcW w:type="dxa" w:w="3150"/>
            <w:shd w:fill="F8FAFC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E1B2E"/>
                <w:sz w:val="19"/>
                <w:szCs w:val="19"/>
              </w:rPr>
              <w:t xml:space="preserve">[3 iş günü]</w:t>
            </w:r>
          </w:p>
        </w:tc>
      </w:tr>
      <w:tr>
        <w:tc>
          <w:tcPr>
            <w:tcW w:type="dxa" w:w="3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E1B2E"/>
                <w:sz w:val="19"/>
                <w:szCs w:val="19"/>
              </w:rPr>
              <w:t xml:space="preserve">Normal (küçük hata/soru)</w:t>
            </w:r>
          </w:p>
        </w:tc>
        <w:tc>
          <w:tcPr>
            <w:tcW w:type="dxa" w:w="31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E1B2E"/>
                <w:sz w:val="19"/>
                <w:szCs w:val="19"/>
              </w:rPr>
              <w:t xml:space="preserve">[2 iş günü]</w:t>
            </w:r>
          </w:p>
        </w:tc>
        <w:tc>
          <w:tcPr>
            <w:tcW w:type="dxa" w:w="31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color w:val="1E1B2E"/>
                <w:sz w:val="19"/>
                <w:szCs w:val="19"/>
              </w:rPr>
              <w:t xml:space="preserve">[5 iş günü]</w:t>
            </w:r>
          </w:p>
        </w:tc>
      </w:tr>
    </w:tbl>
    <w:p>
      <w:pPr>
        <w:spacing w:after="200"/>
      </w:pPr>
    </w:p>
    <w:p>
      <w:pPr>
        <w:spacing w:after="140"/>
      </w:pPr>
      <w:r>
        <w:rPr>
          <w:color w:val="1E1B2E"/>
          <w:sz w:val="21"/>
          <w:szCs w:val="21"/>
        </w:rPr>
        <w:t xml:space="preserve">5.3. Destek, [E-MAIL / TELEFON / DESTEK PORTALI] üzerinden [MESAI SAATLERİ] içinde sağlanır.</w:t>
      </w:r>
    </w:p>
    <w:p>
      <w:pPr>
        <w:spacing w:after="140"/>
      </w:pPr>
      <w:r>
        <w:rPr>
          <w:color w:val="1E1B2E"/>
          <w:sz w:val="21"/>
          <w:szCs w:val="21"/>
        </w:rPr>
        <w:t xml:space="preserve">5.4. Güncellemeler Lisans Veren tarafından bildirilir; kurulumu Lisans Alan'ın IT ekibi veya talep halinde Lisans Veren gerçekleştirir.</w:t>
      </w:r>
    </w:p>
    <w:p>
      <w:pPr>
        <w:pStyle w:val="Heading1"/>
        <w:pBdr>
          <w:bottom w:val="single" w:color="4F46E5" w:sz="6" w:space="4"/>
        </w:pBdr>
        <w:spacing w:after="160" w:before="320"/>
      </w:pPr>
      <w:r>
        <w:rPr>
          <w:b/>
          <w:bCs/>
          <w:color w:val="1E1B2E"/>
          <w:sz w:val="26"/>
          <w:szCs w:val="26"/>
        </w:rPr>
        <w:t xml:space="preserve">6. Fikri Mülkiyet</w:t>
      </w:r>
    </w:p>
    <w:p>
      <w:pPr>
        <w:spacing w:after="140"/>
      </w:pPr>
      <w:r>
        <w:rPr>
          <w:color w:val="1E1B2E"/>
          <w:sz w:val="21"/>
          <w:szCs w:val="21"/>
        </w:rPr>
        <w:t xml:space="preserve">6.1. Yazılım üzerindeki tüm fikri mülkiyet hakları Lisans Veren'e aittir. Bu Sözleşme, Lisans Alan'a yalnızca kullanım hakkı verir, mülkiyet devri anlamına gelmez.</w:t>
      </w:r>
    </w:p>
    <w:p>
      <w:pPr>
        <w:spacing w:after="140"/>
      </w:pPr>
      <w:r>
        <w:rPr>
          <w:color w:val="1E1B2E"/>
          <w:sz w:val="21"/>
          <w:szCs w:val="21"/>
        </w:rPr>
        <w:t xml:space="preserve">6.2. Lisans Alan'ın Yazılım üzerinde yapacağı herhangi bir değişiklik, türetme veya entegrasyon önceden yazılı onay gerektirir.</w:t>
      </w:r>
    </w:p>
    <w:p>
      <w:pPr>
        <w:pStyle w:val="Heading1"/>
        <w:pBdr>
          <w:bottom w:val="single" w:color="4F46E5" w:sz="6" w:space="4"/>
        </w:pBdr>
        <w:spacing w:after="160" w:before="320"/>
      </w:pPr>
      <w:r>
        <w:rPr>
          <w:b/>
          <w:bCs/>
          <w:color w:val="1E1B2E"/>
          <w:sz w:val="26"/>
          <w:szCs w:val="26"/>
        </w:rPr>
        <w:t xml:space="preserve">7. Veri Sahipliği ve Gizlilik</w:t>
      </w:r>
    </w:p>
    <w:p>
      <w:pPr>
        <w:spacing w:after="140"/>
      </w:pPr>
      <w:r>
        <w:rPr>
          <w:color w:val="1E1B2E"/>
          <w:sz w:val="21"/>
          <w:szCs w:val="21"/>
        </w:rPr>
        <w:t xml:space="preserve">7.1. Yazılım, Lisans Alan'ın kendi sunucusunda (on-premise) çalışır; Lisans Alan'ın yüklediği dosyalar, personel/alıcı e-mail adresleri ve tüm sistem verileri yalnızca Lisans Alan'ın sunucusunda tutulur, Lisans Veren'e iletilmez veya Lisans Veren'in sunucularında saklanmaz.</w:t>
      </w:r>
    </w:p>
    <w:p>
      <w:pPr>
        <w:spacing w:after="140"/>
      </w:pPr>
      <w:r>
        <w:rPr>
          <w:color w:val="1E1B2E"/>
          <w:sz w:val="21"/>
          <w:szCs w:val="21"/>
        </w:rPr>
        <w:t xml:space="preserve">7.2. Destek sürecinde Lisans Veren'in sunucuya erişimi gerekirse, bu erişim önceden Lisans Alan'ın onayı ile ve sınırlı süreli olarak yapılır.</w:t>
      </w:r>
    </w:p>
    <w:p>
      <w:pPr>
        <w:spacing w:after="140"/>
      </w:pPr>
      <w:r>
        <w:rPr>
          <w:color w:val="1E1B2E"/>
          <w:sz w:val="21"/>
          <w:szCs w:val="21"/>
        </w:rPr>
        <w:t xml:space="preserve">7.3. Taraflar, Sözleşme kapsamında öğrendikleri birbirlerine ait ticari/teknik bilgileri gizli tutmayı taahhüt eder.</w:t>
      </w:r>
    </w:p>
    <w:p>
      <w:pPr>
        <w:pStyle w:val="Heading1"/>
        <w:pBdr>
          <w:bottom w:val="single" w:color="4F46E5" w:sz="6" w:space="4"/>
        </w:pBdr>
        <w:spacing w:after="160" w:before="320"/>
      </w:pPr>
      <w:r>
        <w:rPr>
          <w:b/>
          <w:bCs/>
          <w:color w:val="1E1B2E"/>
          <w:sz w:val="26"/>
          <w:szCs w:val="26"/>
        </w:rPr>
        <w:t xml:space="preserve">8. Garanti ve Sorumluluk Sınırlaması</w:t>
      </w:r>
    </w:p>
    <w:p>
      <w:pPr>
        <w:spacing w:after="140"/>
      </w:pPr>
      <w:r>
        <w:rPr>
          <w:color w:val="1E1B2E"/>
          <w:sz w:val="21"/>
          <w:szCs w:val="21"/>
        </w:rPr>
        <w:t xml:space="preserve">8.1. Lisans Veren, Yazılımın kurulum kılavuzunda belirtilen şekilde çalışacağını taahhüt eder ancak Yazılımın kesintisiz veya hatasız çalışacağına dair açık/zımni garanti vermez.</w:t>
      </w:r>
    </w:p>
    <w:p>
      <w:pPr>
        <w:spacing w:after="140"/>
      </w:pPr>
      <w:r>
        <w:rPr>
          <w:color w:val="1E1B2E"/>
          <w:sz w:val="21"/>
          <w:szCs w:val="21"/>
        </w:rPr>
        <w:t xml:space="preserve">8.2. Lisans Veren'in bu Sözleşme'den doğan toplam sorumluluğu, Lisans Alan'ın ödediği son 12 aylık lisans/destek bedeli ile sınırlıdır.</w:t>
      </w:r>
    </w:p>
    <w:p>
      <w:pPr>
        <w:spacing w:after="140"/>
      </w:pPr>
      <w:r>
        <w:rPr>
          <w:i/>
          <w:iCs/>
          <w:color w:val="B91C1C"/>
          <w:sz w:val="20"/>
          <w:szCs w:val="20"/>
        </w:rPr>
        <w:t xml:space="preserve">8.3. [Bu madde ve dolaylı zarar hariç tutma hükümleri yargı bölgesine/tüketici mevzuatına göre uygulanabilirliği değişebilir — avukat kontrolü gerekir.]</w:t>
      </w:r>
    </w:p>
    <w:p>
      <w:pPr>
        <w:pStyle w:val="Heading1"/>
        <w:pBdr>
          <w:bottom w:val="single" w:color="4F46E5" w:sz="6" w:space="4"/>
        </w:pBdr>
        <w:spacing w:after="160" w:before="320"/>
      </w:pPr>
      <w:r>
        <w:rPr>
          <w:b/>
          <w:bCs/>
          <w:color w:val="1E1B2E"/>
          <w:sz w:val="26"/>
          <w:szCs w:val="26"/>
        </w:rPr>
        <w:t xml:space="preserve">9. Süre ve Fesih</w:t>
      </w:r>
    </w:p>
    <w:p>
      <w:pPr>
        <w:spacing w:after="140"/>
      </w:pPr>
      <w:r>
        <w:rPr>
          <w:color w:val="1E1B2E"/>
          <w:sz w:val="21"/>
          <w:szCs w:val="21"/>
        </w:rPr>
        <w:t xml:space="preserve">9.1. Bu Sözleşme, imza tarihinde başlar ve Madde 2.3'te belirtilen süre boyunca geçerlidir.</w:t>
      </w:r>
    </w:p>
    <w:p>
      <w:pPr>
        <w:spacing w:after="140"/>
      </w:pPr>
      <w:r>
        <w:rPr>
          <w:color w:val="1E1B2E"/>
          <w:sz w:val="21"/>
          <w:szCs w:val="21"/>
        </w:rPr>
        <w:t xml:space="preserve">9.2. Taraflardan biri, diğerinin Sözleşme'yi esaslı şekilde ihlal etmesi ve bu ihlalin yazılı bildirimden itibaren [30] gün içinde giderilmemesi halinde Sözleşme'yi feshedebilir.</w:t>
      </w:r>
    </w:p>
    <w:p>
      <w:pPr>
        <w:spacing w:after="140"/>
      </w:pPr>
      <w:r>
        <w:rPr>
          <w:color w:val="1E1B2E"/>
          <w:sz w:val="21"/>
          <w:szCs w:val="21"/>
        </w:rPr>
        <w:t xml:space="preserve">9.3. Fesih halinde, Lisans Alan'ın Yazılımı kullanma hakkı sona erer; Lisans Alan kendi verilerini kendi sunucusundan alır — bu veriler zaten hiçbir zaman Lisans Veren'de tutulmamaktadır.</w:t>
      </w:r>
    </w:p>
    <w:p>
      <w:pPr>
        <w:pStyle w:val="Heading1"/>
        <w:pBdr>
          <w:bottom w:val="single" w:color="4F46E5" w:sz="6" w:space="4"/>
        </w:pBdr>
        <w:spacing w:after="160" w:before="320"/>
      </w:pPr>
      <w:r>
        <w:rPr>
          <w:b/>
          <w:bCs/>
          <w:color w:val="1E1B2E"/>
          <w:sz w:val="26"/>
          <w:szCs w:val="26"/>
        </w:rPr>
        <w:t xml:space="preserve">10. Uygulanacak Hukuk ve Yetkili Mahkeme</w:t>
      </w:r>
    </w:p>
    <w:p>
      <w:pPr>
        <w:spacing w:after="140"/>
      </w:pPr>
      <w:r>
        <w:rPr>
          <w:color w:val="1E1B2E"/>
          <w:sz w:val="21"/>
          <w:szCs w:val="21"/>
        </w:rPr>
        <w:t xml:space="preserve">Bu Sözleşme Türkiye Cumhuriyeti kanunlarına tabidir. Sözleşme'den doğan ihtilaflarda [ŞEHİR] Mahkemeleri ve İcra Daireleri yetkilidir.</w:t>
      </w:r>
    </w:p>
    <w:p>
      <w:pPr>
        <w:pStyle w:val="Heading1"/>
        <w:pBdr>
          <w:bottom w:val="single" w:color="4F46E5" w:sz="6" w:space="4"/>
        </w:pBdr>
        <w:spacing w:after="160" w:before="320"/>
      </w:pPr>
      <w:r>
        <w:rPr>
          <w:b/>
          <w:bCs/>
          <w:color w:val="1E1B2E"/>
          <w:sz w:val="26"/>
          <w:szCs w:val="26"/>
        </w:rPr>
        <w:t xml:space="preserve">11. Diğer Hükümler</w:t>
      </w:r>
    </w:p>
    <w:p>
      <w:pPr>
        <w:spacing w:after="140"/>
      </w:pPr>
      <w:r>
        <w:rPr>
          <w:color w:val="1E1B2E"/>
          <w:sz w:val="21"/>
          <w:szCs w:val="21"/>
        </w:rPr>
        <w:t xml:space="preserve">11.1. Bu Sözleşme, taraflar arasındaki anlaşmanın tamamını oluşturur; önceki sözlü/yazılı anlaşmaların yerini alır.</w:t>
      </w:r>
    </w:p>
    <w:p>
      <w:pPr>
        <w:spacing w:after="140"/>
      </w:pPr>
      <w:r>
        <w:rPr>
          <w:color w:val="1E1B2E"/>
          <w:sz w:val="21"/>
          <w:szCs w:val="21"/>
        </w:rPr>
        <w:t xml:space="preserve">11.2. Değişiklikler yalnızca yazılı ve her iki tarafça imzalanmış ek protokol ile yapılabilir.</w:t>
      </w:r>
    </w:p>
    <w:p>
      <w:pPr>
        <w:spacing w:after="140"/>
      </w:pPr>
      <w:r>
        <w:rPr>
          <w:color w:val="1E1B2E"/>
          <w:sz w:val="21"/>
          <w:szCs w:val="21"/>
        </w:rPr>
        <w:t xml:space="preserve">11.3. Mücbir sebep hallerinde taraflar edimlerini yerine getirememekten sorumlu tutulamaz.</w:t>
      </w:r>
    </w:p>
    <w:p>
      <w:pPr>
        <w:spacing w:after="200" w:before="300"/>
      </w:pPr>
    </w:p>
    <w:p>
      <w:pPr>
        <w:pStyle w:val="Heading1"/>
        <w:pBdr>
          <w:bottom w:val="single" w:color="4F46E5" w:sz="6" w:space="4"/>
        </w:pBdr>
        <w:spacing w:after="160" w:before="320"/>
      </w:pPr>
      <w:r>
        <w:rPr>
          <w:b/>
          <w:bCs/>
          <w:color w:val="1E1B2E"/>
          <w:sz w:val="26"/>
          <w:szCs w:val="26"/>
        </w:rPr>
        <w:t xml:space="preserve">İmzalar</w:t>
      </w:r>
    </w:p>
    <w:tbl>
      <w:tblPr>
        <w:tblW w:type="dxa" w:w="95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75"/>
        <w:gridCol w:w="3175"/>
        <w:gridCol w:w="3175"/>
      </w:tblGrid>
      <w:tr>
        <w:trPr>
          <w:tblHeader/>
        </w:trPr>
        <w:tc>
          <w:tcPr>
            <w:tcW w:type="dxa" w:w="3175"/>
            <w:shd w:fill="4F46E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3175"/>
            <w:shd w:fill="4F46E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LİSANS VEREN</w:t>
            </w:r>
          </w:p>
        </w:tc>
        <w:tc>
          <w:tcPr>
            <w:tcW w:type="dxa" w:w="3175"/>
            <w:shd w:fill="4F46E5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LİSANS ALAN</w:t>
            </w:r>
          </w:p>
        </w:tc>
      </w:tr>
      <w:tr>
        <w:tc>
          <w:tcPr>
            <w:tcW w:type="dxa" w:w="3175"/>
            <w:shd w:fill="FFFFFF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b/>
                <w:bCs/>
                <w:color w:val="1E1B2E"/>
                <w:sz w:val="19"/>
                <w:szCs w:val="19"/>
              </w:rPr>
              <w:t xml:space="preserve">Unvan</w:t>
            </w:r>
          </w:p>
        </w:tc>
        <w:tc>
          <w:tcPr>
            <w:tcW w:type="dxa" w:w="3175"/>
            <w:shd w:fill="FFFFFF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b w:val="false"/>
                <w:bCs w:val="false"/>
                <w:color w:val="1E1B2E"/>
                <w:sz w:val="19"/>
                <w:szCs w:val="19"/>
              </w:rPr>
              <w:t xml:space="preserve"/>
            </w:r>
          </w:p>
        </w:tc>
        <w:tc>
          <w:tcPr>
            <w:tcW w:type="dxa" w:w="3175"/>
            <w:shd w:fill="FFFFFF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b w:val="false"/>
                <w:bCs w:val="false"/>
                <w:color w:val="1E1B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175"/>
            <w:shd w:fill="F8FAFC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b/>
                <w:bCs/>
                <w:color w:val="1E1B2E"/>
                <w:sz w:val="19"/>
                <w:szCs w:val="19"/>
              </w:rPr>
              <w:t xml:space="preserve">Ad Soyad</w:t>
            </w:r>
          </w:p>
        </w:tc>
        <w:tc>
          <w:tcPr>
            <w:tcW w:type="dxa" w:w="3175"/>
            <w:shd w:fill="F8FAFC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b w:val="false"/>
                <w:bCs w:val="false"/>
                <w:color w:val="1E1B2E"/>
                <w:sz w:val="19"/>
                <w:szCs w:val="19"/>
              </w:rPr>
              <w:t xml:space="preserve"/>
            </w:r>
          </w:p>
        </w:tc>
        <w:tc>
          <w:tcPr>
            <w:tcW w:type="dxa" w:w="3175"/>
            <w:shd w:fill="F8FAFC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b w:val="false"/>
                <w:bCs w:val="false"/>
                <w:color w:val="1E1B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175"/>
            <w:shd w:fill="FFFFFF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b/>
                <w:bCs/>
                <w:color w:val="1E1B2E"/>
                <w:sz w:val="19"/>
                <w:szCs w:val="19"/>
              </w:rPr>
              <w:t xml:space="preserve">Tarih</w:t>
            </w:r>
          </w:p>
        </w:tc>
        <w:tc>
          <w:tcPr>
            <w:tcW w:type="dxa" w:w="3175"/>
            <w:shd w:fill="FFFFFF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b w:val="false"/>
                <w:bCs w:val="false"/>
                <w:color w:val="1E1B2E"/>
                <w:sz w:val="19"/>
                <w:szCs w:val="19"/>
              </w:rPr>
              <w:t xml:space="preserve"/>
            </w:r>
          </w:p>
        </w:tc>
        <w:tc>
          <w:tcPr>
            <w:tcW w:type="dxa" w:w="3175"/>
            <w:shd w:fill="FFFFFF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b w:val="false"/>
                <w:bCs w:val="false"/>
                <w:color w:val="1E1B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175"/>
            <w:shd w:fill="F8FAFC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b/>
                <w:bCs/>
                <w:color w:val="1E1B2E"/>
                <w:sz w:val="19"/>
                <w:szCs w:val="19"/>
              </w:rPr>
              <w:t xml:space="preserve">İmza</w:t>
            </w:r>
          </w:p>
        </w:tc>
        <w:tc>
          <w:tcPr>
            <w:tcW w:type="dxa" w:w="3175"/>
            <w:shd w:fill="F8FAFC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b w:val="false"/>
                <w:bCs w:val="false"/>
                <w:color w:val="1E1B2E"/>
                <w:sz w:val="19"/>
                <w:szCs w:val="19"/>
              </w:rPr>
              <w:t xml:space="preserve"/>
            </w:r>
          </w:p>
        </w:tc>
        <w:tc>
          <w:tcPr>
            <w:tcW w:type="dxa" w:w="3175"/>
            <w:shd w:fill="F8FAFC" w:val="clear"/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r>
              <w:rPr>
                <w:b w:val="false"/>
                <w:bCs w:val="false"/>
                <w:color w:val="1E1B2E"/>
                <w:sz w:val="19"/>
                <w:szCs w:val="19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475569"/>
        <w:sz w:val="15"/>
        <w:szCs w:val="15"/>
      </w:rPr>
      <w:t xml:space="preserve">VaultSend — Lisans ve Destek Sözleşmesi (Taslak)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b/>
        <w:bCs/>
        <w:color w:val="B91C1C"/>
        <w:sz w:val="15"/>
        <w:szCs w:val="15"/>
      </w:rPr>
      <w:t xml:space="preserve">TASLAK — Bu belge hukuki tavsiye değildir, kullanmadan önce bir avukata inceletiniz.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2026-09-16T12:14:25.522Z</dcterms:created>
  <dcterms:modified xsi:type="dcterms:W3CDTF">2026-09-16T12:14:25.524Z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