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D04A02"/>
          <w:sz w:val="56"/>
          <w:szCs w:val="56"/>
        </w:rPr>
        <w:t xml:space="preserve">BOYA KARIŞTIRMA SİMÜLATÖRÜ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8"/>
          <w:szCs w:val="28"/>
        </w:rPr>
        <w:t xml:space="preserve">Endüstriyel Karıştırıcı Simülasyonu — Teknik Metodoloji Belgesi</w:t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426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Versiyon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v4.0</w:t>
            </w:r>
          </w:p>
        </w:tc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Standart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Grenville-Nienow 2004</w:t>
            </w:r>
          </w:p>
        </w:tc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Türkçe / İngilizce</w:t>
            </w:r>
          </w:p>
        </w:tc>
        <w:tc>
          <w:tcPr>
            <w:tcW w:type="dxa" w:w="24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Güncelleme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1. Giriş ve Kapsam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 belge, Boya Karıştırma Simülatörü web uygulamasının hesaplama metodolojisini, homojenlik ölçüm yöntemlerini ve temel fizik denklemlerini endüstriyel literatür referanslarıyla birlikte açıklamaktadır.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Simülasyon, boya üretiminde kullanılan farklı tank tipleri, pervane konfigürasyonları ve dönüş hızlarının karşılaştırmalı analizini mühendisler için sağlar. Tüm hesaplama yöntemleri hakemli yayınlar ile doğrulanmıştır.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04A02" w:sz="8"/>
              <w:left w:val="single" w:color="D04A02" w:sz="4"/>
              <w:bottom w:val="single" w:color="D04A02" w:sz="4"/>
              <w:right w:val="single" w:color="D04A02" w:sz="4"/>
            </w:tcBorders>
            <w:shd w:fill="FFF7E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D04A02"/>
                <w:sz w:val="18"/>
                <w:szCs w:val="18"/>
              </w:rPr>
              <w:t xml:space="preserve">Hedef Kullanıcı Kitlesi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Boya ve kaplama endüstrisinde karıştırma sistemi tasarımı, optimizasyonu ve kalite kontrolü ile ilgilenen kimya mühendisleri, proses mühendisleri ve Ar-Ge uzmanları.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2. t₉₅ Karışma Süresi Kriteri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2.1 Tanım ve Endüstriyel Standart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Karışma süresi (t₉₅), bir tanka eklenen tracer maddenin tankın tamamında ±95% kararlılığa (±5% sapma) ulaşması için geçen süredir. ±95'lik kriter endüstride en yaygın kabul gören standarttır.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8"/>
              <w:left w:val="single" w:color="3B82F6" w:sz="4"/>
              <w:bottom w:val="single" w:color="3B82F6" w:sz="4"/>
              <w:right w:val="single" w:color="3B82F6" w:sz="4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Literatür Kaynağı — Grenville &amp; Nienow (2003/2004)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Türbülanslı akış rejiminde (Re &gt; 10.000) tek yüksek hızlı pervane tipleri için %95 homojenlik derecesinde ortalama K sabiti 5.2 olarak belirlenmiştir. Bu kriterin deneysel tekrarlanabilirliği ±%10 içindedir.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2.2 Grenville-Nienow (2004) Korelasyonu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 uygulamada uygulanan teorik t₉₅ korelasyonu Grenville ve Nienow'un 2004 tarihli "Handbook of Industrial Mixing" çalışmasından alınmıştır: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6"/>
              <w:left w:val="single" w:color="3B82F6" w:sz="4"/>
              <w:bottom w:val="single" w:color="3B82F6" w:sz="4"/>
              <w:right w:val="single" w:color="3B82F6" w:sz="4"/>
            </w:tcBorders>
            <w:shd w:fill="EFF6FF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2"/>
                <w:szCs w:val="22"/>
              </w:rPr>
              <w:t xml:space="preserve">t₉₅ × (P/V)^(1/3) × D^(2/3) / T = K ≈ 5.2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Grenville &amp; Nienow, 2004 — ±%10 standart sapma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Denklem yeniden düzenlendiğinde: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6"/>
              <w:left w:val="single" w:color="3B82F6" w:sz="4"/>
              <w:bottom w:val="single" w:color="3B82F6" w:sz="4"/>
              <w:right w:val="single" w:color="3B82F6" w:sz="4"/>
            </w:tcBorders>
            <w:shd w:fill="EFF6FF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2"/>
                <w:szCs w:val="22"/>
              </w:rPr>
              <w:t xml:space="preserve">t₉₅ = 5.2 × T / (D^(2/3) × (P/V)^(1/3))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Uygulamada kullanılan hesaplama formu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Değişkenler: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t₉₅ = %95 homojenliğe ulaşma süresi (s)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 = Tank çapı (m)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 = Pervane çapı (m)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P/V = Birim hacim başına güç girdisi (W/m³)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K = 5.2 (türbülanslı rejim için ortalama; ±%10 sapma)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4"/>
              <w:bottom w:val="single" w:color="F59E0B" w:sz="4"/>
              <w:right w:val="single" w:color="F59E0B" w:sz="4"/>
            </w:tcBorders>
            <w:shd w:fill="FFFBE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Uygulama Sınırı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Bu korelasyon H/T ≈ 1 olan standart tanklar ve türbülanslı rejim (Re &gt; 10.000) için geçerlidir. Yüksek en-boy oranlı tanklar için Rodgers et al. (2011) düzeltme faktörlerini içeren güncellenmiş korelasyon önerilir.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3. Homojenlik — Tanım ve Ölçüm Yöntemleri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3.1 Homojenlik Nedir?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Homojenlik (homogeneity), bir karıştırma tankında tüm örnekleme noktalarındaki konsantrasyonların birbirine ne kadar yakın olduğunun ölçüsüdür. Makroskopik karışma (macromixing) düzeyinde değerlendirilir.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Mikromixing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(moleküler ölçek) ile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makromixing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(bulk akış) birbirinden farklı kavramlardır. Boya üretiminde homojenlik genellikle bulk akış düzeyinde yeterlidir.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3.2 Deneysel Ölçüm Yöntemleri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Literatürde karışma süresi ölçümü için birçok teknik tanımlanmıştır (Melton &amp; Lipp, 2002; Rodgers et al., 2011):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8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Yöntem</w:t>
            </w:r>
          </w:p>
        </w:tc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Prensip</w:t>
            </w:r>
          </w:p>
        </w:tc>
        <w:tc>
          <w:tcPr>
            <w:tcW w:type="dxa" w:w="2826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Uygulama Alanı</w:t>
            </w:r>
          </w:p>
        </w:tc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Doğruluk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İletkenlik Probu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NaCl / KCl tracer; anlık iletkenlik ölçümü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Genel amaç; en yaygın endüstriyel yöntem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±%5 (±%10 tekr.)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Dye / Boya Renk Yöntemi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pH indikatör boya (Thymolphthalein); renk değişimi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Boya endüstrisi; görsel veya fotometrik izleme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±%5-10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ERT (Elektrik Direnç Tomografisi)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Tank duvarı elektrot halkası; 3D konsantrasyon haritası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Ölü bölge tespiti; karışma döngüsü görselleştirme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&lt;%3 (non-invaziv)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CoV (Değişim Katsayısı)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Çok noktalı örnekleme; σ/μ hesabı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CFD doğrulama; bu simülasyonun yaklaşımı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Noktaya bağımlı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PIV (Particle Image Velocimetry)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Lazer ile parçacık hız alanı ölçümü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Araştırma; akış deseni doğrulama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&lt;%2 (pahalı)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3.2.1 İletkenlik Probu Yöntemi (Referans Metod)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Endüstriyel uygulamalarda en yaygın yöntemdir. Prosedür: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Tanka bilinen miktarda NaCl veya KCl tracer eklenir.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Birden fazla noktaya yerleştirilen iletkenlik probları zamana karşı konsantrasyon değişimini kaydeder.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Tüm ölçüm noktaları ±5% kararlılık bandına girdiğinde t₉₅ tamamdır.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Tracer ekleme noktası ve prob konumu sonucu etkiler; literatürde üst ekleme + alt ölçüm konservativdir.</w:t>
      </w:r>
    </w:p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3.2.2 Dye / Boya Renk Yöntemi (Boya Endüstrisi için Önerilen)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Boya üretiminde en pratik yöntemdir. pH indikatör boya (örn. Thymolphthalein, renksizden maviye dönüşür) tanka eklenir ve renk dağılımı görsel veya spektrofotometrik olarak izlenir.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2C55E" w:sz="8"/>
              <w:left w:val="single" w:color="22C55E" w:sz="4"/>
              <w:bottom w:val="single" w:color="22C55E" w:sz="4"/>
              <w:right w:val="single" w:color="22C55E" w:sz="4"/>
            </w:tcBorders>
            <w:shd w:fill="F0FD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5803D"/>
                <w:sz w:val="18"/>
                <w:szCs w:val="18"/>
              </w:rPr>
              <w:t xml:space="preserve">Önemli Referans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Melton, L.A., Lipp, C.W., Spradling, R.W., Paulson, K.A. (2002). Determination of mixing time through color changes. Chemical Engineering Communications, 189, 322. Bu çalışma dye yöntemini boya endüstrisi için özellikle doğrulamıştır.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3.2.3 CoV (Değişim Katsayısı) ve Bu Simülasyonun Yaklaşımı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Değişim katsayısı, birden fazla örnekleme noktasından alınan konsantrasyonların standart sapmasının ortalamasına oranıdır: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6"/>
              <w:left w:val="single" w:color="3B82F6" w:sz="4"/>
              <w:bottom w:val="single" w:color="3B82F6" w:sz="4"/>
              <w:right w:val="single" w:color="3B82F6" w:sz="4"/>
            </w:tcBorders>
            <w:shd w:fill="EFF6FF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2"/>
                <w:szCs w:val="22"/>
              </w:rPr>
              <w:t xml:space="preserve">CoV = σ / μ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CoV ≤ 0.05 ise %95 homojenlik kabul edilir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 web simülasyonunda homojenlik, parçacıkların bireysel "mixedness" değerlerinin ortalaması olarak hesaplanır; bu yaklaşım CoV'un görsel ve niteliksel karşılığıdır. Mutlak sayısal değer yerine karşılaştırmalı analizde kullanılması önerilir.</w:t>
      </w:r>
    </w:p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4. Verimlilik Skoru Metodolojisi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4.1 Hesaplama Prensibi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Verimlilik skoru (0-100), üç bileşenin ağırlıklı toplamından oluşur: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226"/>
      </w:tblGrid>
      <w:tr>
        <w:trPr>
          <w:tblHeader/>
        </w:trPr>
        <w:tc>
          <w:tcPr>
            <w:tcW w:type="dxa" w:w="2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Bileşen</w:t>
            </w:r>
          </w:p>
        </w:tc>
        <w:tc>
          <w:tcPr>
            <w:tcW w:type="dxa" w:w="2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Ağırlık</w:t>
            </w:r>
          </w:p>
        </w:tc>
        <w:tc>
          <w:tcPr>
            <w:tcW w:type="dxa" w:w="4226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Homojenlik (CoV yaklaşımı)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%40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Anlık simülasyon homojenlik yüzdesi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Reynolds Sayısı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%35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min(100, Re/10.000 × 100)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Pompalama Verimliliği (Nq/Np)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%25</w:t>
            </w:r>
          </w:p>
        </w:tc>
        <w:tc>
          <w:tcPr>
            <w:tcW w:type="dxa" w:w="42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Birim güç başına sirkülasyon; min(25, η×40)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B82F6" w:sz="6"/>
              <w:left w:val="single" w:color="3B82F6" w:sz="4"/>
              <w:bottom w:val="single" w:color="3B82F6" w:sz="4"/>
              <w:right w:val="single" w:color="3B82F6" w:sz="4"/>
            </w:tcBorders>
            <w:shd w:fill="EFF6FF" w:val="clear"/>
            <w:tcMar>
              <w:top w:type="dxa" w:w="14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D4ED8"/>
                <w:sz w:val="22"/>
                <w:szCs w:val="22"/>
              </w:rPr>
              <w:t xml:space="preserve">Skor = 0.40 × H(%) + 0.35 × min(100, Re/10000×100) + min(25, η× 40)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Maksimum 100 ile sınırlandırılmıştır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4.2 Literatür Doğrulaması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Pompalama verimliliği (Nq/Np), Cooke et al. (2011) tarafından"characteristic parameter" olarak tanımlanmış; daha düşük enerji ile aktif bölgesinden yüksek akış sağlayan pervaneyi belirleyen endüstriyel bir metrik olarak kullanılmaktadır.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4"/>
              <w:bottom w:val="single" w:color="F59E0B" w:sz="4"/>
              <w:right w:val="single" w:color="F59E0B" w:sz="4"/>
            </w:tcBorders>
            <w:shd w:fill="FFFBE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Nienow (1997) Uyarısı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Nienow (1997), eşit D/T oranında tüm pervane tiplerinin genel homojenizasyon için aynı enerji verimliliğine sahip olduğunu göstermiştir. Bu nedenle uygulama verimlilik skoru 'mutlak fiziksel karşılaştırma' değil, 'pratik operasyonel skor' olarak yorumlanmalıdır.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5. Pervane Tipleri ve Karakteristikleri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Uygulamada kullanılan Np (güç sayısı) ve Nq (pompalama sayısı) değerleri, standart referans kitaplarından (Paul et al., 2004 — Handbook of Industrial Mixing) alınmıştır: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16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Pervane Tipi</w:t>
            </w:r>
          </w:p>
        </w:tc>
        <w:tc>
          <w:tcPr>
            <w:tcW w:type="dxa" w:w="1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Np</w:t>
            </w:r>
          </w:p>
        </w:tc>
        <w:tc>
          <w:tcPr>
            <w:tcW w:type="dxa" w:w="1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Nq</w:t>
            </w:r>
          </w:p>
        </w:tc>
        <w:tc>
          <w:tcPr>
            <w:tcW w:type="dxa" w:w="1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Akış Tipi</w:t>
            </w:r>
          </w:p>
        </w:tc>
        <w:tc>
          <w:tcPr>
            <w:tcW w:type="dxa" w:w="2826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Boya Üretimi Kullanımı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Marine Propeller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0.35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0.50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Aksiyel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Standart homojenizasyon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Hydrofoil (HE3)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0.30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0.55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Aksiyel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Enerji verimli; hafif pigment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Düz Palet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2.10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0.70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Radyal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Yüksek viskoziteli bazlar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Cowles Diski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0.45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0.15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Radyal/Kesme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Pigment dispersiyonu (wetting)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Lenart Diski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0.55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Vorteks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Toz pigment ekleme aşaması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Anchor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0.40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0.10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Aksiyel/Duvar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Viskoplastik; ısı transferi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6. Literatür Referansları</w:t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Aşağıdaki tablo, uygulamada kullanılan hesaplama yöntemlerinin dayandığı temel akademik kaynaklara doğrudan erişim bağlantıları içermektedir.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6.1 Temel Korelasyonlar ve Standartlar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Kaynak</w:t>
            </w:r>
          </w:p>
        </w:tc>
        <w:tc>
          <w:tcPr>
            <w:tcW w:type="dxa" w:w="6026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İçerik ve Kullanım Alanı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1-e2bivilaap7dzyzqxul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Grenville &amp; Nienow (2004)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Handbook of Industrial Mixing, Ch.1 — t95 korelasyonu, K=5.2 sabiti. Bu uygulamanın teorik t95 hesabının doğrudan kaynağı.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ti7qbonk4sugcdmyhl_9h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Rodgers et al. (2011)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Chem. Eng. Sci. 66(13) — H/T&gt;1 tanklar için t95 düzeltme faktörleri. Cowles diski, Rushton türbini, mixed-flow pervane verileri.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jznwnosktnpjelzveq1vz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Nienow (1997)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Chem. Eng. Sci. 52 — Karışma verimliliği ve türbülans modeli. Eşit D/T'de pervane tiplerinin homojenizasyon verimliliğinin eşdeğerliği.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h1_jcx87-hxc3l-lbnzvw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Fort &amp; Jirout (2011)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Chem. Eng. Res. Des. — Aksiyel pervane tipi bağımsız K sabiti. %95 ve %98 homojenlik karşılaştırması.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6.2 Homojenlik Ölçüm Teknikleri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Kaynak</w:t>
            </w:r>
          </w:p>
        </w:tc>
        <w:tc>
          <w:tcPr>
            <w:tcW w:type="dxa" w:w="6026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Yöntem ve Katkısı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6zdfudyrv_hq1cenvlm3s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Melton et al. (2002)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Chem. Eng. Commun. 189, 322 — Renk değişimi ile karışma süresi ölçümü. Boya endüstrisi için dye yönteminin validasyonu.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7abwbp-chp107bfwg-oo9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Rodgers et al. (2011) — ERT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Elektrik Direnç Tomografisi ile homojenlik haritalaması. Zoning (bölgelenme) tespiti ve ikinci pervane etkisi.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ilikdpwaonghajkjpq66m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Montante et al. (2005)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Chem. Eng. Sci. 60 — CFD ile homojenizasyon eğrisi doğrulama. Newtonyen ve psödo-plastik akışkanlar.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xg-gi3i8e2ajz3oi5jy0t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Revisi et al. — CoV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Yeni yerel karışma süresi dağılımı değerlendirme yöntemi. CoV tabanlı homojenlik metrikleri.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D04A02"/>
          <w:sz w:val="24"/>
          <w:szCs w:val="24"/>
        </w:rPr>
        <w:t xml:space="preserve">6.3 Pervane Karakterizasyonu ve Güç Sayıları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Kaynak</w:t>
            </w:r>
          </w:p>
        </w:tc>
        <w:tc>
          <w:tcPr>
            <w:tcW w:type="dxa" w:w="6026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1E293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İçerik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i6nn5hhasvrrxgj_q0nt0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Cooke et al. (2011) — CFD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Processes 14(2), 225 — Tubular baffles ile HE3, PBT, RT karşılaştırması. Pompalama verimliliği = Nq/Np metriği.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3x_ow1bkm0hso_h2ncwpe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Bates et al. (Rushton) — Classic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Columbia Üniversitesi Kimya Müh. — Np-Re diyagramları, Rushton türbini standart verileri. Temel referans.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bhbaz6fet7cnqefn8d1nf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Paul et al. (2004) — Handbook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Handbook of Industrial Mixing: Science and Practice (Wiley) — Tüm pervane tipleri için Np, Nq tablo ve grafikleri.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nb8w_vvynyasdp7ns7wve">
              <w:r>
                <w:rPr>
                  <w:rFonts w:ascii="Arial" w:cs="Arial" w:eastAsia="Arial" w:hAnsi="Arial"/>
                  <w:color w:val="1D4ED8"/>
                  <w:sz w:val="18"/>
                  <w:szCs w:val="18"/>
                  <w:u w:val="single"/>
                </w:rPr>
                <w:t xml:space="preserve">Gu et al. — Cowles CFD</w:t>
              </w:r>
            </w:hyperlink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IIETA Int. J. Heat Tech. — Cowles impeller CFD analizi boya karıştırma için. U ve V kanat geometrilerinin enerji karşılaştırması.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7. Simülasyon Sınırları ve Önemli Notlar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8"/>
              <w:left w:val="single" w:color="F59E0B" w:sz="4"/>
              <w:bottom w:val="single" w:color="F59E0B" w:sz="4"/>
              <w:right w:val="single" w:color="F59E0B" w:sz="4"/>
            </w:tcBorders>
            <w:shd w:fill="FFFBE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92400E"/>
                <w:sz w:val="18"/>
                <w:szCs w:val="18"/>
              </w:rPr>
              <w:t xml:space="preserve">Bu simülasyon bir mühendislik eğitim ve karşılaştırma aracıdır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Gerçek üretim kararları için CFD analizi, pilot ölçek deneyleri ve onaylı proses mühendisliği hesapları gereklidir. Simülasyon sonuçları gerçek ölçüm yerine geçemez.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Bilinen sınırlar: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2D üstten bakış simülasyonu; gerçek 3D akış deseni temsil edilmez.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Homojenlik değeri CoV yaklaşımıdır; deneysel iletkenlik probu veya ERT ölçümü değildir.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t₉₅ korelasyonu H/T≈1 ve türbülanslı rejim için geçerlidir (Re &gt; 10.000).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Çok fazlı sistemler (pigment süspansiyonu), non-Newtonyen reoloji ve viskoplastik boya tipleri modellenmemiştir.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Np ve Nq sabitleri türbülanslı rejim değerleridir; laminerde Re'ye bağımlı olarak değişir.</w:t>
      </w:r>
    </w:p>
    <w:p>
      <w:pPr>
        <w:spacing w:after="100" w:before="0"/>
      </w:pPr>
      <w:r>
        <w:t xml:space="preserve"/>
      </w:r>
    </w:p>
    <w:p>
      <w:pPr>
        <w:pBdr>
          <w:bottom w:val="single" w:color="CBD5E1" w:sz="4" w:space="1"/>
        </w:pBdr>
        <w:spacing w:after="160" w:before="160"/>
      </w:pPr>
      <w:r>
        <w:t xml:space="preserve"/>
      </w:r>
    </w:p>
    <w:p>
      <w:pPr>
        <w:spacing w:after="1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4A3B8"/>
          <w:sz w:val="16"/>
          <w:szCs w:val="16"/>
        </w:rPr>
        <w:t xml:space="preserve">Boya Karıştırma Simülatörü — Teknik Metodoloji Belgesi v4.0 | 2025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513"/>
      <w:gridCol w:w="4513"/>
    </w:tblGrid>
    <w:tr>
      <w:tc>
        <w:tcPr>
          <w:tcW w:type="dxa" w:w="4513"/>
          <w:tcBorders>
            <w:top w:val="none" w:color="FFFFFF" w:sz="0"/>
            <w:left w:val="none" w:color="FFFFFF" w:sz="0"/>
            <w:bottom w:val="single" w:color="CBD5E1" w:sz="4"/>
            <w:right w:val="none" w:color="FFFFFF" w:sz="0"/>
          </w:tcBorders>
          <w:shd w:fill="FFFFFF" w:val="clear"/>
          <w:tcMar>
            <w:top w:type="dxa" w:w="60"/>
            <w:left w:type="dxa" w:w="0"/>
            <w:bottom w:type="dxa" w:w="60"/>
            <w:right w:type="dxa" w:w="0"/>
          </w:tcMar>
        </w:tcPr>
        <w:p>
          <w:r>
            <w:rPr>
              <w:rFonts w:ascii="Arial" w:cs="Arial" w:eastAsia="Arial" w:hAnsi="Arial"/>
              <w:b/>
              <w:bCs/>
              <w:color w:val="D04A02"/>
              <w:sz w:val="18"/>
              <w:szCs w:val="18"/>
            </w:rPr>
            <w:t xml:space="preserve">BOYA KARIŞTIRMA SİMÜLATÖRÜ</w:t>
          </w:r>
        </w:p>
      </w:tc>
      <w:tc>
        <w:tcPr>
          <w:tcW w:type="dxa" w:w="4513"/>
          <w:tcBorders>
            <w:top w:val="none" w:color="FFFFFF" w:sz="0"/>
            <w:left w:val="none" w:color="FFFFFF" w:sz="0"/>
            <w:bottom w:val="single" w:color="CBD5E1" w:sz="4"/>
            <w:right w:val="none" w:color="FFFFFF" w:sz="0"/>
          </w:tcBorders>
          <w:shd w:fill="FFFFFF" w:val="clear"/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94A3B8"/>
              <w:sz w:val="16"/>
              <w:szCs w:val="16"/>
            </w:rPr>
            <w:t xml:space="preserve">Teknik Metodoloji Dokumani v4.0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D04A0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1-e2bivilaap7dzyzqxul" Type="http://schemas.openxmlformats.org/officeDocument/2006/relationships/hyperlink" Target="https://onlinelibrary.wiley.com/doi/book/10.1002/0471451452" TargetMode="External"/><Relationship Id="rIdti7qbonk4sugcdmyhl_9h" Type="http://schemas.openxmlformats.org/officeDocument/2006/relationships/hyperlink" Target="https://www.sciencedirect.com/science/article/abs/pii/S0009250911002089" TargetMode="External"/><Relationship Id="rIdjznwnosktnpjelzveq1vz" Type="http://schemas.openxmlformats.org/officeDocument/2006/relationships/hyperlink" Target="https://www.sciencedirect.com/science/article/abs/pii/S0009250997000729" TargetMode="External"/><Relationship Id="rIdh1_jcx87-hxc3l-lbnzvw" Type="http://schemas.openxmlformats.org/officeDocument/2006/relationships/hyperlink" Target="https://www.sciencedirect.com/science/article/abs/pii/S0263876223006019" TargetMode="External"/><Relationship Id="rId6zdfudyrv_hq1cenvlm3s" Type="http://schemas.openxmlformats.org/officeDocument/2006/relationships/hyperlink" Target="https://www.tandfonline.com/doi/abs/10.1080/00986440290124295" TargetMode="External"/><Relationship Id="rId7abwbp-chp107bfwg-oo9" Type="http://schemas.openxmlformats.org/officeDocument/2006/relationships/hyperlink" Target="https://www.sciencedirect.com/science/article/abs/pii/S0009250911002089" TargetMode="External"/><Relationship Id="rIdilikdpwaonghajkjpq66m" Type="http://schemas.openxmlformats.org/officeDocument/2006/relationships/hyperlink" Target="https://www.sciencedirect.com/science/article/pii/S0009250904009169" TargetMode="External"/><Relationship Id="rIdxg-gi3i8e2ajz3oi5jy0t" Type="http://schemas.openxmlformats.org/officeDocument/2006/relationships/hyperlink" Target="https://www.sciencedirect.com/science/article/pii/S2590140021000113" TargetMode="External"/><Relationship Id="rIdi6nn5hhasvrrxgj_q0nt0" Type="http://schemas.openxmlformats.org/officeDocument/2006/relationships/hyperlink" Target="https://www.mdpi.com/2227-9717/14/2/225" TargetMode="External"/><Relationship Id="rId3x_ow1bkm0hso_h2ncwpe" Type="http://schemas.openxmlformats.org/officeDocument/2006/relationships/hyperlink" Target="https://www.columbia.edu/~leonard/CHESite/mix.html" TargetMode="External"/><Relationship Id="rIdbhbaz6fet7cnqefn8d1nf" Type="http://schemas.openxmlformats.org/officeDocument/2006/relationships/hyperlink" Target="https://onlinelibrary.wiley.com/doi/book/10.1002/0471451452" TargetMode="External"/><Relationship Id="rIdnb8w_vvynyasdp7ns7wve" Type="http://schemas.openxmlformats.org/officeDocument/2006/relationships/hyperlink" Target="https://www.iieta.org/journals/ijht/paper/10.18280/ijht.420335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2026-04-24T08:07:20.653Z</dcterms:created>
  <dcterms:modified xsi:type="dcterms:W3CDTF">2026-04-24T08:07:20.654Z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