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D04A02"/>
          <w:sz w:val="56"/>
          <w:szCs w:val="56"/>
        </w:rPr>
        <w:t xml:space="preserve">BOYA KARIŞTIRMA SİMÜLATÖRÜ</w:t>
      </w:r>
    </w:p>
    <w:p>
      <w:pPr>
        <w:spacing w:after="200" w:before="0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Endüstriyel Karıştırıcı Simülasyonu — Teknik Metodoloji Belgesi</w:t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Versiyon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v4.0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Standart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Grenville-Nienow 2004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Dil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Türkçe / İngilizce</w:t>
            </w:r>
          </w:p>
        </w:tc>
        <w:tc>
          <w:tcPr>
            <w:tcW w:type="dxa" w:w="2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Güncelleme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Giriş ve Kapsam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 belge, Boya Karıştırma Simülatörü web uygulamasının hesaplama metodolojisini, homojenlik ölçüm yöntemlerini ve temel fizik denklemlerini endüstriyel literatür referanslarıyla birlikte açıklamaktadır.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Simülasyon, boya üretiminde kullanılan farklı tank tipleri, pervane konfigürasyonları ve dönüş hızlarının karşılaştırmalı analizini mühendisler için sağlar. Tüm hesaplama yöntemleri hakemli yayınlar ile doğrulanmıştır.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4A02" w:sz="8"/>
              <w:left w:val="single" w:color="D04A02" w:sz="4"/>
              <w:bottom w:val="single" w:color="D04A02" w:sz="4"/>
              <w:right w:val="single" w:color="D04A02" w:sz="4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04A02"/>
                <w:sz w:val="18"/>
                <w:szCs w:val="18"/>
              </w:rPr>
              <w:t xml:space="preserve">Hedef Kullanıcı Kitlesi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Boya ve kaplama endüstrisinde karıştırma sistemi tasarımı, optimizasyonu ve kalite kontrolü ile ilgilenen kimya mühendisleri, proses mühendisleri ve Ar-Ge uzmanları.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t₉₅ Karışma Süresi Kriteri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04A02"/>
          <w:sz w:val="24"/>
          <w:szCs w:val="24"/>
        </w:rPr>
        <w:t xml:space="preserve">2.1 Tanım ve Endüstriyel Standart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Karışma süresi (t₉₅), bir tanka eklenen tracer maddenin tankın tamamında ±95% kararlılığa (±5% sapma) ulaşması için geçen süredir. ±95'lik kriter endüstride en yaygın kabul gören standarttır.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8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Literatür Kaynağı — Grenville &amp; Nienow (2003/2004)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Türbülanslı akış rejiminde (Re &gt; 10.000) tek yüksek hızlı pervane tipleri için %95 homojenlik derecesinde ortalama K sabiti 5.2 olarak belirlenmiştir. Bu kriterin deneysel tekrarlanabilirliği ±%10 içindedir.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04A02"/>
          <w:sz w:val="24"/>
          <w:szCs w:val="24"/>
        </w:rPr>
        <w:t xml:space="preserve">2.2 Grenville-Nienow (2004) Korelasyonu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 uygulamada uygulanan teorik t₉₅ korelasyonu Grenville ve Nienow'un 2004 tarihli "Handbook of Industrial Mixing" çalışmasından alınmıştır: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6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2"/>
                <w:szCs w:val="22"/>
              </w:rPr>
              <w:t xml:space="preserve">t₉₅ × (P/V)^(1/3) × D^(2/3) / T = K ≈ 5.2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Grenville &amp; Nienow, 2004 — ±%10 standart sapma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Denklem yeniden düzenlendiğinde: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6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2"/>
                <w:szCs w:val="22"/>
              </w:rPr>
              <w:t xml:space="preserve">t₉₅ = 5.2 × T / (D^(2/3) × (P/V)^(1/3))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Uygulamada kullanılan hesaplama formu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Değişkenler: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t₉₅ = %95 homojenliğe ulaşma süresi (s)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 = Tank çapı (m)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 = Pervane çapı (m)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P/V = Birim hacim başına güç girdisi (W/m³)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 = 5.2 (türbülanslı rejim için ortalama; ±%10 sapma)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8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Uygulama Sınırı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 korelasyon H/T ≈ 1 olan standart tanklar ve türbülanslı rejim (Re &gt; 10.000) için geçerlidir. Yüksek en-boy oranlı tanklar için Rodgers et al. (2011) düzeltme faktörlerini içeren güncellenmiş korelasyon önerilir.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Homojenlik — Tanım ve Ölçüm Yöntemleri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04A02"/>
          <w:sz w:val="24"/>
          <w:szCs w:val="24"/>
        </w:rPr>
        <w:t xml:space="preserve">3.1 Homojenlik Nedir?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Homojenlik (homogeneity), bir karıştırma tankında tüm örnekleme noktalarındaki konsantrasyonların birbirine ne kadar yakın olduğunun ölçüsüdür. Makroskopik karışma (macromixing) düzeyinde değerlendirilir.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Mikromixing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(moleküler ölçek) ile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makromixing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(bulk akış) birbirinden farklı kavramlardır. Boya üretiminde homojenlik genellikle bulk akış düzeyinde yeterlidir.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04A02"/>
          <w:sz w:val="24"/>
          <w:szCs w:val="24"/>
        </w:rPr>
        <w:t xml:space="preserve">3.2 Deneysel Ölçüm Yöntemleri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Literatürde karışma süresi ölçümü için birçok teknik tanımlanmıştır (Melton &amp; Lipp, 2002; Rodgers et al., 2011):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Yöntem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Prensip</w:t>
            </w:r>
          </w:p>
        </w:tc>
        <w:tc>
          <w:tcPr>
            <w:tcW w:type="dxa" w:w="2826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Uygulama Alanı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Doğruluk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İletkenlik Probu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NaCl / KCl tracer; anlık iletkenlik ölçümü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Genel amaç; en yaygın endüstriyel yöntem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±%5 (±%10 tekr.)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Dye / Boya Renk Yöntemi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 indikatör boya (Thymolphthalein); renk değişimi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Boya endüstrisi; görsel veya fotometrik izleme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±%5-10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ERT (Elektrik Direnç Tomografisi)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Tank duvarı elektrot halkası; 3D konsantrasyon haritası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Ölü bölge tespiti; karışma döngüsü görselleştirme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&lt;%3 (non-invaziv)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CoV (Değişim Katsayısı)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Çok noktalı örnekleme; σ/μ hesabı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CFD doğrulama; bu simülasyonun yaklaşımı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Noktaya bağımlı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PIV (Particle Image Velocimetry)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Lazer ile parçacık hız alanı ölçümü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Araştırma; akış deseni doğrulama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&lt;%2 (pahalı)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3.2.1 İletkenlik Probu Yöntemi (Referans Metod)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Endüstriyel uygulamalarda en yaygın yöntemdir. Prosedür: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Tanka bilinen miktarda NaCl veya KCl tracer eklenir.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Birden fazla noktaya yerleştirilen iletkenlik probları zamana karşı konsantrasyon değişimini kaydeder.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Tüm ölçüm noktaları ±5% kararlılık bandına girdiğinde t₉₅ tamamdır.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Tracer ekleme noktası ve prob konumu sonucu etkiler; literatürde üst ekleme + alt ölçüm konservativdir.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3.2.2 Dye / Boya Renk Yöntemi (Boya Endüstrisi için Önerilen)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Boya üretiminde en pratik yöntemdir. pH indikatör boya (örn. Thymolphthalein, renksizden maviye dönüşür) tanka eklenir ve renk dağılımı görsel veya spektrofotometrik olarak izlenir.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8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Önemli Referans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Melton, L.A., Lipp, C.W., Spradling, R.W., Paulson, K.A. (2002). Determination of mixing time through color changes. Chemical Engineering Communications, 189, 322. Bu çalışma dye yöntemini boya endüstrisi için özellikle doğrulamıştır.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3.2.3 CoV (Değişim Katsayısı) ve Bu Simülasyonun Yaklaşımı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Değişim katsayısı, birden fazla örnekleme noktasından alınan konsantrasyonların standart sapmasının ortalamasına oranıdır: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6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2"/>
                <w:szCs w:val="22"/>
              </w:rPr>
              <w:t xml:space="preserve">CoV = σ / μ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CoV ≤ 0.05 ise %95 homojenlik kabul edilir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 web simülasyonunda homojenlik, parçacıkların bireysel "mixedness" değerlerinin ortalaması olarak hesaplanır; bu yaklaşım CoV'un görsel ve niteliksel karşılığıdır. Mutlak sayısal değer yerine karşılaştırmalı analizde kullanılması önerilir.</w:t>
      </w:r>
    </w:p>
    <w:p>
      <w:pPr>
        <w:spacing w:after="100" w:before="0"/>
      </w:pPr>
      <w:r>
        <w:t xml:space="preserve"/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Verimlilik Skoru Metodolojisi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04A02"/>
          <w:sz w:val="24"/>
          <w:szCs w:val="24"/>
        </w:rPr>
        <w:t xml:space="preserve">4.1 Hesaplama Prensibi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Verimlilik skoru (0-100), üç bileşenin ağırlıklı toplamından oluşur: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</w:t>
            </w:r>
          </w:p>
        </w:tc>
        <w:tc>
          <w:tcPr>
            <w:tcW w:type="dxa" w:w="4226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Homojenlik (CoV yaklaşımı)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%40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Anlık simülasyon homojenlik yüzdesi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Reynolds Sayısı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%35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min(100, Re/10.000 × 100)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Pompalama Verimliliği (Nq/Np)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%25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Birim güç başına sirkülasyon; min(25, η×40)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6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2"/>
                <w:szCs w:val="22"/>
              </w:rPr>
              <w:t xml:space="preserve">Skor = 0.40 × H(%) + 0.35 × min(100, Re/10000×100) + min(25, η× 40)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Maksimum 100 ile sınırlandırılmıştır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04A02"/>
          <w:sz w:val="24"/>
          <w:szCs w:val="24"/>
        </w:rPr>
        <w:t xml:space="preserve">4.2 Literatür Doğrulaması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Pompalama verimliliği (Nq/Np), Cooke et al. (2011) tarafından"characteristic parameter" olarak tanımlanmış; daha düşük enerji ile aktif bölgesinden yüksek akış sağlayan pervaneyi belirleyen endüstriyel bir metrik olarak kullanılmaktadır.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8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Nienow (1997) Uyarısı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Nienow (1997), eşit D/T oranında tüm pervane tiplerinin genel homojenizasyon için aynı enerji verimliliğine sahip olduğunu göstermiştir. Bu nedenle uygulama verimlilik skoru 'mutlak fiziksel karşılaştırma' değil, 'pratik operasyonel skor' olarak yorumlanmalıdır.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Pervane Tipleri ve Karakteristikleri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Uygulamada kullanılan Np (güç sayısı) ve Nq (pompalama sayısı) değerleri, standart referans kitaplarından (Paul et al., 2004 — Handbook of Industrial Mixing) alınmıştır: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6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Pervane Tipi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Np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Nq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Akış Tipi</w:t>
            </w:r>
          </w:p>
        </w:tc>
        <w:tc>
          <w:tcPr>
            <w:tcW w:type="dxa" w:w="2826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Boya Üretimi Kullanımı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Marine Propeller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0.35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0.50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Aksiyel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Standart homojenizasyon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Hydrofoil (HE3)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0.30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0.55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Aksiyel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Enerji verimli; hafif pigment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Düz Palet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2.10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0.70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Radyal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Yüksek viskoziteli bazlar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Cowles Diski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0.45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0.15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Radyal/Kesme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Pigment dispersiyonu (wetting)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Lenart Diski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0.55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0.40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Vorteks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Toz pigment ekleme aşaması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Anchor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0.40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0.10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Aksiyel/Duvar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Viskoplastik; ısı transferi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Literatür Referansları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Aşağıdaki tablo, uygulamada kullanılan hesaplama yöntemlerinin dayandığı temel akademik kaynaklara doğrudan erişim bağlantıları içermektedir.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04A02"/>
          <w:sz w:val="24"/>
          <w:szCs w:val="24"/>
        </w:rPr>
        <w:t xml:space="preserve">6.1 Temel Korelasyonlar ve Standartlar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6026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İçerik ve Kullanım Alanı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he_mjvnpgaavrqrarlqx">
              <w:r>
                <w:rPr>
                  <w:rFonts w:ascii="Arial" w:cs="Arial" w:eastAsia="Arial" w:hAnsi="Arial"/>
                  <w:color w:val="1D4ED8"/>
                  <w:sz w:val="18"/>
                  <w:szCs w:val="18"/>
                  <w:u w:val="single"/>
                </w:rPr>
                <w:t xml:space="preserve">Grenville &amp; Nienow (2004)</w:t>
              </w:r>
            </w:hyperlink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Handbook of Industrial Mixing, Ch.1 — t95 korelasyonu, K=5.2 sabiti. Bu uygulamanın teorik t95 hesabının doğrudan kaynağı.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_ggyvx94l13-ccs0k9io">
              <w:r>
                <w:rPr>
                  <w:rFonts w:ascii="Arial" w:cs="Arial" w:eastAsia="Arial" w:hAnsi="Arial"/>
                  <w:color w:val="1D4ED8"/>
                  <w:sz w:val="18"/>
                  <w:szCs w:val="18"/>
                  <w:u w:val="single"/>
                </w:rPr>
                <w:t xml:space="preserve">Rodgers et al. (2011)</w:t>
              </w:r>
            </w:hyperlink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Chem. Eng. Sci. 66(13) — H/T&gt;1 tanklar için t95 düzeltme faktörleri. Cowles diski, Rushton türbini, mixed-flow pervane verileri.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awufpnh2pgbb4ab_m-ws">
              <w:r>
                <w:rPr>
                  <w:rFonts w:ascii="Arial" w:cs="Arial" w:eastAsia="Arial" w:hAnsi="Arial"/>
                  <w:color w:val="1D4ED8"/>
                  <w:sz w:val="18"/>
                  <w:szCs w:val="18"/>
                  <w:u w:val="single"/>
                </w:rPr>
                <w:t xml:space="preserve">Nienow (1997)</w:t>
              </w:r>
            </w:hyperlink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Chem. Eng. Sci. 52 — Karışma verimliliği ve türbülans modeli. Eşit D/T'de pervane tiplerinin homojenizasyon verimliliğinin eşdeğerliği.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meigwk5eentbantrrzvd">
              <w:r>
                <w:rPr>
                  <w:rFonts w:ascii="Arial" w:cs="Arial" w:eastAsia="Arial" w:hAnsi="Arial"/>
                  <w:color w:val="1D4ED8"/>
                  <w:sz w:val="18"/>
                  <w:szCs w:val="18"/>
                  <w:u w:val="single"/>
                </w:rPr>
                <w:t xml:space="preserve">Fort &amp; Jirout (2011)</w:t>
              </w:r>
            </w:hyperlink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Chem. Eng. Res. Des. — Aksiyel pervane tipi bağımsız K sabiti. %95 ve %98 homojenlik karşılaştırması.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04A02"/>
          <w:sz w:val="24"/>
          <w:szCs w:val="24"/>
        </w:rPr>
        <w:t xml:space="preserve">6.2 Homojenlik Ölçüm Teknikleri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6026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Yöntem ve Katkısı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filreuxyj4sqn96d2x6l">
              <w:r>
                <w:rPr>
                  <w:rFonts w:ascii="Arial" w:cs="Arial" w:eastAsia="Arial" w:hAnsi="Arial"/>
                  <w:color w:val="1D4ED8"/>
                  <w:sz w:val="18"/>
                  <w:szCs w:val="18"/>
                  <w:u w:val="single"/>
                </w:rPr>
                <w:t xml:space="preserve">Melton et al. (2002)</w:t>
              </w:r>
            </w:hyperlink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Chem. Eng. Commun. 189, 322 — Renk değişimi ile karışma süresi ölçümü. Boya endüstrisi için dye yönteminin validasyonu.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wpvi9l1pyiiyt_otfnkj">
              <w:r>
                <w:rPr>
                  <w:rFonts w:ascii="Arial" w:cs="Arial" w:eastAsia="Arial" w:hAnsi="Arial"/>
                  <w:color w:val="1D4ED8"/>
                  <w:sz w:val="18"/>
                  <w:szCs w:val="18"/>
                  <w:u w:val="single"/>
                </w:rPr>
                <w:t xml:space="preserve">Rodgers et al. (2011) — ERT</w:t>
              </w:r>
            </w:hyperlink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Elektrik Direnç Tomografisi ile homojenlik haritalaması. Zoning (bölgelenme) tespiti ve ikinci pervane etkisi.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vlh6y0lv9uv05mnou_xw">
              <w:r>
                <w:rPr>
                  <w:rFonts w:ascii="Arial" w:cs="Arial" w:eastAsia="Arial" w:hAnsi="Arial"/>
                  <w:color w:val="1D4ED8"/>
                  <w:sz w:val="18"/>
                  <w:szCs w:val="18"/>
                  <w:u w:val="single"/>
                </w:rPr>
                <w:t xml:space="preserve">Montante et al. (2005)</w:t>
              </w:r>
            </w:hyperlink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Chem. Eng. Sci. 60 — CFD ile homojenizasyon eğrisi doğrulama. Newtonyen ve psödo-plastik akışkanlar.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py2auluub22gg3sctyjh">
              <w:r>
                <w:rPr>
                  <w:rFonts w:ascii="Arial" w:cs="Arial" w:eastAsia="Arial" w:hAnsi="Arial"/>
                  <w:color w:val="1D4ED8"/>
                  <w:sz w:val="18"/>
                  <w:szCs w:val="18"/>
                  <w:u w:val="single"/>
                </w:rPr>
                <w:t xml:space="preserve">Revisi et al. — CoV</w:t>
              </w:r>
            </w:hyperlink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Yeni yerel karışma süresi dağılımı değerlendirme yöntemi. CoV tabanlı homojenlik metrikleri.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04A02"/>
          <w:sz w:val="24"/>
          <w:szCs w:val="24"/>
        </w:rPr>
        <w:t xml:space="preserve">6.3 Pervane Karakterizasyonu ve Güç Sayıları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6026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02qj7fg8rqk3qufgtpzs">
              <w:r>
                <w:rPr>
                  <w:rFonts w:ascii="Arial" w:cs="Arial" w:eastAsia="Arial" w:hAnsi="Arial"/>
                  <w:color w:val="1D4ED8"/>
                  <w:sz w:val="18"/>
                  <w:szCs w:val="18"/>
                  <w:u w:val="single"/>
                </w:rPr>
                <w:t xml:space="preserve">Cooke et al. (2011) — CFD</w:t>
              </w:r>
            </w:hyperlink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Processes 14(2), 225 — Tubular baffles ile HE3, PBT, RT karşılaştırması. Pompalama verimliliği = Nq/Np metriği.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64xvaflycvk92ukfkfrlh">
              <w:r>
                <w:rPr>
                  <w:rFonts w:ascii="Arial" w:cs="Arial" w:eastAsia="Arial" w:hAnsi="Arial"/>
                  <w:color w:val="1D4ED8"/>
                  <w:sz w:val="18"/>
                  <w:szCs w:val="18"/>
                  <w:u w:val="single"/>
                </w:rPr>
                <w:t xml:space="preserve">Bates et al. (Rushton) — Classic</w:t>
              </w:r>
            </w:hyperlink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Columbia Üniversitesi Kimya Müh. — Np-Re diyagramları, Rushton türbini standart verileri. Temel referans.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vasptetw5qal82rznugw">
              <w:r>
                <w:rPr>
                  <w:rFonts w:ascii="Arial" w:cs="Arial" w:eastAsia="Arial" w:hAnsi="Arial"/>
                  <w:color w:val="1D4ED8"/>
                  <w:sz w:val="18"/>
                  <w:szCs w:val="18"/>
                  <w:u w:val="single"/>
                </w:rPr>
                <w:t xml:space="preserve">Paul et al. (2004) — Handbook</w:t>
              </w:r>
            </w:hyperlink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Handbook of Industrial Mixing: Science and Practice (Wiley) — Tüm pervane tipleri için Np, Nq tablo ve grafikleri.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akvjejcnzug16bakhq3a">
              <w:r>
                <w:rPr>
                  <w:rFonts w:ascii="Arial" w:cs="Arial" w:eastAsia="Arial" w:hAnsi="Arial"/>
                  <w:color w:val="1D4ED8"/>
                  <w:sz w:val="18"/>
                  <w:szCs w:val="18"/>
                  <w:u w:val="single"/>
                </w:rPr>
                <w:t xml:space="preserve">Gu et al. — Cowles CFD</w:t>
              </w:r>
            </w:hyperlink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IIETA Int. J. Heat Tech. — Cowles impeller CFD analizi boya karıştırma için. U ve V kanat geometrilerinin enerji karşılaştırması.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Simülasyon Sınırları ve Önemli Notlar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8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Bu simülasyon bir mühendislik eğitim ve karşılaştırma aracıdır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Gerçek üretim kararları için CFD analizi, pilot ölçek deneyleri ve onaylı proses mühendisliği hesapları gereklidir. Simülasyon sonuçları gerçek ölçüm yerine geçemez.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Bilinen sınırlar: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2D üstten bakış simülasyonu; gerçek 3D akış deseni temsil edilmez.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Homojenlik değeri CoV yaklaşımıdır; deneysel iletkenlik probu veya ERT ölçümü değildir.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t₉₅ korelasyonu H/T≈1 ve türbülanslı rejim için geçerlidir (Re &gt; 10.000).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Çok fazlı sistemler (pigment süspansiyonu), non-Newtonyen reoloji ve viskoplastik boya tipleri modellenmemiştir.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Np ve Nq sabitleri türbülanslı rejim değerleridir; laminerde Re'ye bağımlı olarak değişir.</w:t>
      </w:r>
    </w:p>
    <w:p>
      <w:pPr>
        <w:spacing w:after="100" w:before="0"/>
      </w:pPr>
      <w:r>
        <w:t xml:space="preserve"/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Tank Uygunluk Analizi — Kriter Tablosu ve Literatür Kaynakları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 bölüm, 'Tank Uygunluk Analizi' sekmesindeki her kriterin ne anlama geldiğini, hangi değerlerin kabul edildiğini ve bu eşiklerin hangi literatür kaynağına dayandığını açıklamaktadır.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04A02"/>
          <w:sz w:val="24"/>
          <w:szCs w:val="24"/>
        </w:rPr>
        <w:t xml:space="preserve">8.1 Kriterlerin Genel Yapısı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Her tank-ürün kombinasyonu 6 kriter üzerinden değerlendirilir. Her kriter ✅ UYGUN / ⚠ DİKKAT / ❌ SORUN olarak sınıflandırılır. Genel karar: en az bir ❌ varsa UYGUN DEĞİL, iki veya daha fazla ⚠ varsa ŞARTLI, aksi halde UYGUN.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04A02"/>
          <w:sz w:val="24"/>
          <w:szCs w:val="24"/>
        </w:rPr>
        <w:t xml:space="preserve">8.2 Kriter 1: Kapasite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026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UYGUN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%30–90 doluluk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Sipariş miktarı kullanılabilir kapasiteye uyuyor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⚠ DİKKAT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&lt;%30 doluluk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Çok az ürün — pervane boya yüzeyine yeterince dalmıyor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⚠ DİKKAT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&gt;%90 doluluk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Güvenlik payı az — taşma ve köpük riski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❌ SORUN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&gt;%105 (taşma)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Sipariş miktarı kapasiteyi aşıyor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8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Kaynak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Endüstri standardı: tank doluluk oranı %40–85 arasında tutulması önerilir. Alt sınır pervane geometrisine bağlıdır. Minimum sıvı seviyesi tank veri tablosundan alınmıştır.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04A02"/>
          <w:sz w:val="24"/>
          <w:szCs w:val="24"/>
        </w:rPr>
        <w:t xml:space="preserve">8.3 Kriter 2: Efektif Reynolds Sayısı (Metzner-Otto)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Non-Newtonyen boyalar için standart Reynolds sayısı yetersizdir. Metzner-Otto yöntemi, akış davranış endeksi n ve kıvam indeksi K ile efektif viskoziteyi hesaplar: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6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2"/>
                <w:szCs w:val="22"/>
              </w:rPr>
              <w:t xml:space="preserve">γ_av = ks × N    →    μ_eff = K × (ks·N)^(n−1)    →    Re_eff = ρ·N·D² / μ_eff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Metzner &amp; Otto (1957), AIChE Journal 3(1)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Pervane Tipi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Re_eff Aralığı</w:t>
            </w:r>
          </w:p>
        </w:tc>
        <w:tc>
          <w:tcPr>
            <w:tcW w:type="dxa" w:w="2826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Cowles / Lenart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UYGUN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10–500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Lamineer/geçiş: pigment laminar tabakalar arası ezilir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Cowles / Lenart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⚠ DİKKAT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&gt;500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Türbülans dispersiyon verimini düşürür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Marine Propeller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UYGUN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&gt;200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Geçiş/türbülanslı: homojenizasyon yeterli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Marine Propeller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⚠ DİKKAT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10–200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Lamineer sınırı — karışma zayıf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Marine Propeller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❌ SORUN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&lt;10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Tam lamineer — homojenizasyon çok zor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8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Kaynak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Metzner &amp; Otto (1957), AIChE J. 3(1):3–10. Dispersiyon için düşük Re: Oğla B. &amp; Gürcay Ö., Kansai Altan Boya / Ege Üniversitesi (2022), Chem. Eng. Res. Des. 187:219–230. 'Turbulence in high-speed mixing of dispersions is not wanted because pigment clusters are expected to be grinded between laminar flow layers.'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04A02"/>
          <w:sz w:val="24"/>
          <w:szCs w:val="24"/>
        </w:rPr>
        <w:t xml:space="preserve">8.4 Kriter 3: Motor Gücü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6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2"/>
                <w:szCs w:val="22"/>
              </w:rPr>
              <w:t xml:space="preserve">P_teorik = Np × ρ × N³ × D⁵    [W]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Teorik güç tüketimi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Motor gücü P_teorik'ten küçükse, motor belirtilen RPM'e ulaşamaz. Simülatör gerçek motor gücü ile hesaplamayı sınırlandırır ve maksimum ulaşılabilir RPM'i gösterir.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8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Kaynak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Paul E.L., Atiemo-Obeng V.A., Kresta S.M. (2004). Handbook of Industrial Mixing. Wiley-Blackwell. Ch. 1 — Güç sayısı Np ve türbülanslı rejim sabitleri.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04A02"/>
          <w:sz w:val="24"/>
          <w:szCs w:val="24"/>
        </w:rPr>
        <w:t xml:space="preserve">8.5 Kriter 4: Pervane Uç Hızı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6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2"/>
                <w:szCs w:val="22"/>
              </w:rPr>
              <w:t xml:space="preserve">v_tip = π × D × N    [m/s]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Pervane ucu çevresel hızı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Pervane Tipi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v_tip (m/s)</w:t>
            </w:r>
          </w:p>
        </w:tc>
        <w:tc>
          <w:tcPr>
            <w:tcW w:type="dxa" w:w="3026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Cowles (Sawtooth)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UYGUN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9–30 m/s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Standart dispersiyon aralığı (1800–6000 ft/dk)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Cowles (Sawtooth)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⚠ DİKKAT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&lt;9 m/s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Dispersiyon için yetersiz kesme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Lenart (tırtıklı)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UYGUN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9–25 m/s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Benzer sawtooth karakteri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Marine Propeller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UYGUN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1–6 m/s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Homojenizasyon için ideal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Marine Propeller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⚠ DİKKAT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6–10 m/s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Köpük ve hava girişi riski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Marine Propeller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❌ SORUN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&gt;10 m/s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Disperser hızı — homojenizasyon amacıyla uygunsuz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8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Kaynak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Dispersiyon: DisperseTech — 'Disperser manufacturers normally target between 4000 and 6000 fpm (feet per minute).' Polymer Innovation Blog (2024) — 'Typical tip speeds are in the range of 1800–6000 fpm (9–30 m/s).' Ölçek büyütme: Oğla &amp; Gürcay / Kansai Altan (2022) — 'Equal tip speed method gives the closest scale-up criterion for paint products.'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04A02"/>
          <w:sz w:val="24"/>
          <w:szCs w:val="24"/>
        </w:rPr>
        <w:t xml:space="preserve">8.6 Kriter 5: Pigment Süspansiyon Hızı (Zwietering Njs)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6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2"/>
                <w:szCs w:val="22"/>
              </w:rPr>
              <w:t xml:space="preserve">Njs = S × ν^0.1 × dp^0.2 × g^0.45 × (Δρ/ρ)^0.45 × X^0.13 / D^0.85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Zwietering (1958), Chem. Eng. Sci. 8:244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Njs: Pigmentin tanka dibine çökmeden askıda kalması için gereken minimum RPM. Bu değerin altında çalışılırsa alttan, ortadan ve üstten alınan numuneler farklı pigment konsantrasyonu ve renk verir.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8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Kaynak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Zwietering T.N. (1958). Suspending of solid particles in liquid by agitators. Chemical Engineering Science, 8(3–4), 244–253. — 60+ yıldır endüstri standardı.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04A02"/>
          <w:sz w:val="24"/>
          <w:szCs w:val="24"/>
        </w:rPr>
        <w:t xml:space="preserve">8.7 Kriter 6: Birim Hacme Güç (P/V)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Ölçek bağımsız enerji yoğunluğu. Aynı P/V, farklı boyuttaki tanklarda benzer karışma performansı sağlar (ölçek büyütme kriteri).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Pervane Tipi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P/V (W/m³)</w:t>
            </w:r>
          </w:p>
        </w:tc>
        <w:tc>
          <w:tcPr>
            <w:tcW w:type="dxa" w:w="3026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Agitator (prop.)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UYGUN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100–1000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Normal boya homojenizasyon aralığı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Agitator (prop.)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⚠ DİKKAT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&lt;100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Düşük enerji — pigment çökebilir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Agitator (prop.)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⚠ DİKKAT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1000–5000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Yüksek — hassas pigment riski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Cowles / Lenart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UYGUN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5.000–30.000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HP/10 galon dispersiyon standardı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Cowles / Lenart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⚠ DİKKAT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&lt;1.000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Yetersiz dispersiyon enerjisi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8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Kaynak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Agitator: chemical-engineering-review.com — P/V &lt;100 W/m³ (0.1 kW/m³) karıştırma tankı için çok düşük. Paul et al. (2004). Dispersiyon: Hockmeyer Equipment Corp. (2022) — '1 HP for every 10 gallons ≈ 20.000 W/m³'. PCI Magazine — 'A disperser is a high-powered, low-volume pump requiring ~10x more HP/gallon than an agitator.'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6"/>
          <w:szCs w:val="16"/>
        </w:rPr>
        <w:t xml:space="preserve">Boya Karıştırma Simülatörü — Teknik Metodoloji Belgesi v4.1 | 2025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single" w:color="CBD5E1" w:sz="4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D04A02"/>
              <w:sz w:val="18"/>
              <w:szCs w:val="18"/>
            </w:rPr>
            <w:t xml:space="preserve">BOYA KARIŞTIRMA SİMÜLATÖRÜ</w:t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single" w:color="CBD5E1" w:sz="4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6"/>
              <w:szCs w:val="16"/>
            </w:rPr>
            <w:t xml:space="preserve">Teknik Metodoloji Dokumani v4.0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D04A0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lhe_mjvnpgaavrqrarlqx" Type="http://schemas.openxmlformats.org/officeDocument/2006/relationships/hyperlink" Target="https://onlinelibrary.wiley.com/doi/book/10.1002/0471451452" TargetMode="External"/><Relationship Id="rIdi_ggyvx94l13-ccs0k9io" Type="http://schemas.openxmlformats.org/officeDocument/2006/relationships/hyperlink" Target="https://www.sciencedirect.com/science/article/abs/pii/S0009250911002089" TargetMode="External"/><Relationship Id="rIdwawufpnh2pgbb4ab_m-ws" Type="http://schemas.openxmlformats.org/officeDocument/2006/relationships/hyperlink" Target="https://www.sciencedirect.com/science/article/abs/pii/S0009250997000729" TargetMode="External"/><Relationship Id="rIdcmeigwk5eentbantrrzvd" Type="http://schemas.openxmlformats.org/officeDocument/2006/relationships/hyperlink" Target="https://www.sciencedirect.com/science/article/abs/pii/S0263876223006019" TargetMode="External"/><Relationship Id="rIdtfilreuxyj4sqn96d2x6l" Type="http://schemas.openxmlformats.org/officeDocument/2006/relationships/hyperlink" Target="https://www.tandfonline.com/doi/abs/10.1080/00986440290124295" TargetMode="External"/><Relationship Id="rIdkwpvi9l1pyiiyt_otfnkj" Type="http://schemas.openxmlformats.org/officeDocument/2006/relationships/hyperlink" Target="https://www.sciencedirect.com/science/article/abs/pii/S0009250911002089" TargetMode="External"/><Relationship Id="rIdfvlh6y0lv9uv05mnou_xw" Type="http://schemas.openxmlformats.org/officeDocument/2006/relationships/hyperlink" Target="https://www.sciencedirect.com/science/article/pii/S0009250904009169" TargetMode="External"/><Relationship Id="rIdypy2auluub22gg3sctyjh" Type="http://schemas.openxmlformats.org/officeDocument/2006/relationships/hyperlink" Target="https://www.sciencedirect.com/science/article/pii/S2590140021000113" TargetMode="External"/><Relationship Id="rIdy02qj7fg8rqk3qufgtpzs" Type="http://schemas.openxmlformats.org/officeDocument/2006/relationships/hyperlink" Target="https://www.mdpi.com/2227-9717/14/2/225" TargetMode="External"/><Relationship Id="rId64xvaflycvk92ukfkfrlh" Type="http://schemas.openxmlformats.org/officeDocument/2006/relationships/hyperlink" Target="https://www.columbia.edu/~leonard/CHESite/mix.html" TargetMode="External"/><Relationship Id="rIdpvasptetw5qal82rznugw" Type="http://schemas.openxmlformats.org/officeDocument/2006/relationships/hyperlink" Target="https://onlinelibrary.wiley.com/doi/book/10.1002/0471451452" TargetMode="External"/><Relationship Id="rId4akvjejcnzug16bakhq3a" Type="http://schemas.openxmlformats.org/officeDocument/2006/relationships/hyperlink" Target="https://www.iieta.org/journals/ijht/paper/10.18280/ijht.420335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2026-04-27T08:17:34.685Z</dcterms:created>
  <dcterms:modified xsi:type="dcterms:W3CDTF">2026-04-27T08:17:34.686Z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