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DÜZELTİLMİŞ BULGULAR: DANIŞMAN ELEŞTİRİSİ SONRASI YENİDEN KURULAN MODEL</w:t>
      </w:r>
    </w:p>
    <w:p>
      <w:pPr>
        <w:spacing w:after="140"/>
      </w:pPr>
      <w:r>
        <w:rPr>
          <w:b/>
          <w:bCs/>
          <w:i/>
          <w:iCs/>
        </w:rPr>
        <w:t xml:space="preserve">Bu belge, önceki “Bulgular” belgesinin YERİNE geçer. Danışman/hoca değerlendirmesinde tespit edilen dört kritik metodolojik sorun (test seti sızıntısı, tutarsız dengesizlik stratejisi, hava durumu değişkenlerinde zamansal sızıntı, sabit t=0,5 eşiği) giderilerek tüm modelleme süreci baştan, sızıntısız ve adil şekilde yürütülmüştür.</w:t>
      </w:r>
    </w:p>
    <w:p>
      <w:pPr>
        <w:pStyle w:val="Heading1"/>
        <w:spacing w:after="200" w:before="300"/>
      </w:pPr>
      <w:r>
        <w:t xml:space="preserve">1. Danışman Eleştirisine Yanıt: Ne Değişti ve Neden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3927"/>
        <w:gridCol w:w="3366"/>
      </w:tblGrid>
      <w:tr>
        <w:trPr>
          <w:tblHeader/>
        </w:trPr>
        <w:tc>
          <w:tcPr>
            <w:tcW w:type="dxa" w:w="2057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Sorun</w:t>
            </w:r>
          </w:p>
        </w:tc>
        <w:tc>
          <w:tcPr>
            <w:tcW w:type="dxa" w:w="3927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Önceki Durum</w:t>
            </w:r>
          </w:p>
        </w:tc>
        <w:tc>
          <w:tcPr>
            <w:tcW w:type="dxa" w:w="336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Düzeltme</w:t>
            </w:r>
          </w:p>
        </w:tc>
      </w:tr>
      <w:tr>
        <w:tc>
          <w:tcPr>
            <w:tcW w:type="dxa" w:w="2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seçimi</w:t>
            </w:r>
          </w:p>
        </w:tc>
        <w:tc>
          <w:tcPr>
            <w:tcW w:type="dxa" w:w="39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model dış TEST setinde karşılaştırılıp en iyisi seçiliyordu (script 18)</w:t>
            </w:r>
          </w:p>
        </w:tc>
        <w:tc>
          <w:tcPr>
            <w:tcW w:type="dxa" w:w="33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Seçim artık SADECE eğitim seti + 5 katlı CV ile yapılıyor (script 26-31); test seti seçimden sonra TEK SEFER açılıyor (script 32)</w:t>
            </w:r>
          </w:p>
        </w:tc>
      </w:tr>
      <w:tr>
        <w:tc>
          <w:tcPr>
            <w:tcW w:type="dxa" w:w="2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Dengesizlik stratejisi</w:t>
            </w:r>
          </w:p>
        </w:tc>
        <w:tc>
          <w:tcPr>
            <w:tcW w:type="dxa" w:w="39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LR/DT/RF → SMOTE; XGBoost/LightGBM/CatBoost → class_weight (tutarsız, adil olmayan kıyas)</w:t>
            </w:r>
          </w:p>
        </w:tc>
        <w:tc>
          <w:tcPr>
            <w:tcW w:type="dxa" w:w="33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TÜM modeller AYNI koşulda (dengelemesiz taban çizgisi) karşılaştırıldı</w:t>
            </w:r>
          </w:p>
        </w:tc>
      </w:tr>
      <w:tr>
        <w:tc>
          <w:tcPr>
            <w:tcW w:type="dxa" w:w="2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Hava durumu sızıntısı</w:t>
            </w:r>
          </w:p>
        </w:tc>
        <w:tc>
          <w:tcPr>
            <w:tcW w:type="dxa" w:w="39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average_temp_day, max_temp_day gibi 22 değişken (aynı-gün gerçekleşen hava durumu) modelde kalmıştı; script 09'da risk olarak işaretlenmiş ama çıkarılmamıştı</w:t>
            </w:r>
          </w:p>
        </w:tc>
        <w:tc>
          <w:tcPr>
            <w:tcW w:type="dxa" w:w="33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 hava durumu değişkeni TAMAMEN çıkarıldı (78→56 öznitelik)</w:t>
            </w:r>
          </w:p>
        </w:tc>
      </w:tr>
      <w:tr>
        <w:tc>
          <w:tcPr>
            <w:tcW w:type="dxa" w:w="2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Sabit eşik</w:t>
            </w:r>
          </w:p>
        </w:tc>
        <w:tc>
          <w:tcPr>
            <w:tcW w:type="dxa" w:w="39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F1/Recall her yerde t=0,5'te raporlanıyordu</w:t>
            </w:r>
          </w:p>
        </w:tc>
        <w:tc>
          <w:tcPr>
            <w:tcW w:type="dxa" w:w="33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 eğrisinden F1-optimal eşik hesaplanıp ayrıca raporlandı</w:t>
            </w:r>
          </w:p>
        </w:tc>
      </w:tr>
      <w:tr>
        <w:tc>
          <w:tcPr>
            <w:tcW w:type="dxa" w:w="2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paketi eksikliği</w:t>
            </w:r>
          </w:p>
        </w:tc>
        <w:tc>
          <w:tcPr>
            <w:tcW w:type="dxa" w:w="39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Sadece scaler+ICD frekans haritası kaydediliyordu</w:t>
            </w:r>
          </w:p>
        </w:tc>
        <w:tc>
          <w:tcPr>
            <w:tcW w:type="dxa" w:w="33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Imputation medyanları ve tam sürüm notu eklendi</w:t>
            </w:r>
          </w:p>
        </w:tc>
      </w:tr>
    </w:tbl>
    <w:p>
      <w:pPr>
        <w:pStyle w:val="Heading1"/>
        <w:spacing w:after="200" w:before="300"/>
      </w:pPr>
      <w:r>
        <w:t xml:space="preserve">2. Yeni Model Seçim Süreci ve Sonuçları</w:t>
      </w:r>
    </w:p>
    <w:p>
      <w:pPr>
        <w:pStyle w:val="Heading2"/>
        <w:spacing w:after="140" w:before="260"/>
      </w:pPr>
      <w:r>
        <w:t xml:space="preserve">2.1 Adım 1: Adil CV Taraması (Varsayılan Hiperparametreler)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Hava durumu çıkarıldıktan sonra, 6 model SADECE eğitim seti üzerinde, dengelemesiz taban çizgisiyle 5 katlı CV ile karşılaştırılmıştır: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45"/>
        <w:gridCol w:w="2805"/>
      </w:tblGrid>
      <w:tr>
        <w:trPr>
          <w:tblHeader/>
        </w:trPr>
        <w:tc>
          <w:tcPr>
            <w:tcW w:type="dxa" w:w="6545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 (varsayılan)</w:t>
            </w:r>
          </w:p>
        </w:tc>
        <w:tc>
          <w:tcPr>
            <w:tcW w:type="dxa" w:w="2805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CV ROC-AUC</w:t>
            </w:r>
          </w:p>
        </w:tc>
      </w:tr>
      <w:tr>
        <w:tc>
          <w:tcPr>
            <w:tcW w:type="dxa" w:w="65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LightGBM</w:t>
            </w:r>
          </w:p>
        </w:tc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0,7226</w:t>
            </w:r>
          </w:p>
        </w:tc>
      </w:tr>
      <w:tr>
        <w:tc>
          <w:tcPr>
            <w:tcW w:type="dxa" w:w="65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CatBoost</w:t>
            </w:r>
          </w:p>
        </w:tc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0,7199</w:t>
            </w:r>
          </w:p>
        </w:tc>
      </w:tr>
      <w:tr>
        <w:tc>
          <w:tcPr>
            <w:tcW w:type="dxa" w:w="65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0,7184</w:t>
            </w:r>
          </w:p>
        </w:tc>
      </w:tr>
      <w:tr>
        <w:tc>
          <w:tcPr>
            <w:tcW w:type="dxa" w:w="65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0,7043</w:t>
            </w:r>
          </w:p>
        </w:tc>
      </w:tr>
      <w:tr>
        <w:tc>
          <w:tcPr>
            <w:tcW w:type="dxa" w:w="65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0,6365</w:t>
            </w:r>
          </w:p>
        </w:tc>
      </w:tr>
      <w:tr>
        <w:tc>
          <w:tcPr>
            <w:tcW w:type="dxa" w:w="65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0,6094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Bu aşamada LightGBM/CatBoost/XGBoost istatistiksel olarak ayırt edilemez çıkmıştır (eşleştirilmiş t-testi, tüm ikili karşılaştırmalarda p&gt;0,25).</w:t>
      </w:r>
    </w:p>
    <w:p>
      <w:pPr>
        <w:pStyle w:val="Heading2"/>
        <w:spacing w:after="140" w:before="260"/>
      </w:pPr>
      <w:r>
        <w:t xml:space="preserve">2.2 Adım 2: Tüm Modellerin Eşit Titizlikte Hiperparametre Optimizasyonu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İlk taramada yalnızca en iyi görünen modeli optimize etmek yanlış olurdu (Random Forest, doğru ayarlanmadan haksız yere geride bırakılabilirdi — nitekim öyle olmuştur). Bu nedenle DÖRT model de (RF, LightGBM, CatBoost, XGBoost) SADECE eğitim seti + CV ile ayrı ayrı optimize edilmiştir: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1683"/>
        <w:gridCol w:w="5610"/>
      </w:tblGrid>
      <w:tr>
        <w:trPr>
          <w:tblHeader/>
        </w:trPr>
        <w:tc>
          <w:tcPr>
            <w:tcW w:type="dxa" w:w="2057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 (optimize)</w:t>
            </w:r>
          </w:p>
        </w:tc>
        <w:tc>
          <w:tcPr>
            <w:tcW w:type="dxa" w:w="1683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CV ROC-AUC</w:t>
            </w:r>
          </w:p>
        </w:tc>
        <w:tc>
          <w:tcPr>
            <w:tcW w:type="dxa" w:w="561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İyi Hiperparametreler (özet)</w:t>
            </w:r>
          </w:p>
        </w:tc>
      </w:tr>
      <w:tr>
        <w:tc>
          <w:tcPr>
            <w:tcW w:type="dxa" w:w="2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6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0,7458</w:t>
            </w:r>
          </w:p>
        </w:tc>
        <w:tc>
          <w:tcPr>
            <w:tcW w:type="dxa" w:w="56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n_estimators=500, max_depth=25, min_samples_leaf=1, min_samples_split=10, max_features=0,5</w:t>
            </w:r>
          </w:p>
        </w:tc>
      </w:tr>
      <w:tr>
        <w:tc>
          <w:tcPr>
            <w:tcW w:type="dxa" w:w="2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LightGBM</w:t>
            </w:r>
          </w:p>
        </w:tc>
        <w:tc>
          <w:tcPr>
            <w:tcW w:type="dxa" w:w="16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0,7350</w:t>
            </w:r>
          </w:p>
        </w:tc>
        <w:tc>
          <w:tcPr>
            <w:tcW w:type="dxa" w:w="56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n_estimators=300, num_leaves=63, learning_rate=0,05, subsample=0,9</w:t>
            </w:r>
          </w:p>
        </w:tc>
      </w:tr>
      <w:tr>
        <w:tc>
          <w:tcPr>
            <w:tcW w:type="dxa" w:w="2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CatBoost</w:t>
            </w:r>
          </w:p>
        </w:tc>
        <w:tc>
          <w:tcPr>
            <w:tcW w:type="dxa" w:w="16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0,7284</w:t>
            </w:r>
          </w:p>
        </w:tc>
        <w:tc>
          <w:tcPr>
            <w:tcW w:type="dxa" w:w="56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(RandomizedSearchCV ile optimize)</w:t>
            </w:r>
          </w:p>
        </w:tc>
      </w:tr>
      <w:tr>
        <w:tc>
          <w:tcPr>
            <w:tcW w:type="dxa" w:w="2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16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0,7255</w:t>
            </w:r>
          </w:p>
        </w:tc>
        <w:tc>
          <w:tcPr>
            <w:tcW w:type="dxa" w:w="56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n_estimators=500, max_depth=6, learning_rate=0,1, subsample=0,9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</w:rPr>
        <w:t xml:space="preserve">Adil şekilde optimize edildiğinde Random Forest yeniden en iyi CV performansına ulaşmıştır — literatürdeki yaygın gözlemle (RF'nin tablosal, orta ölçekli sağlık verisinde güçlü bir taban çizgisi olması) tutarlıdır.</w:t>
      </w:r>
    </w:p>
    <w:p>
      <w:pPr>
        <w:pStyle w:val="Heading2"/>
        <w:spacing w:after="140" w:before="260"/>
      </w:pPr>
      <w:r>
        <w:t xml:space="preserve">2.3 Adım 3: Tek Seferlik Nihai Dış Test Değerlendirmesi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Şampiyon (Random Forest) CV sonucuna göre ÖNCEDEN belirlenmiş; dış test seti yalnızca TEK SEFER, tüm optimize modellerin nihai karşılaştırması için açılmıştır: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4"/>
        <w:gridCol w:w="1403"/>
        <w:gridCol w:w="1403"/>
        <w:gridCol w:w="1216"/>
        <w:gridCol w:w="1496"/>
        <w:gridCol w:w="1590"/>
      </w:tblGrid>
      <w:tr>
        <w:trPr>
          <w:tblHeader/>
        </w:trPr>
        <w:tc>
          <w:tcPr>
            <w:tcW w:type="dxa" w:w="2244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403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Dış Test ROC-AUC</w:t>
            </w:r>
          </w:p>
        </w:tc>
        <w:tc>
          <w:tcPr>
            <w:tcW w:type="dxa" w:w="1403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Dış Test PR-AUC</w:t>
            </w:r>
          </w:p>
        </w:tc>
        <w:tc>
          <w:tcPr>
            <w:tcW w:type="dxa" w:w="121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 (t=0,5)</w:t>
            </w:r>
          </w:p>
        </w:tc>
        <w:tc>
          <w:tcPr>
            <w:tcW w:type="dxa" w:w="14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 (optimal eşik)</w:t>
            </w:r>
          </w:p>
        </w:tc>
        <w:tc>
          <w:tcPr>
            <w:tcW w:type="dxa" w:w="159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 (optimal eşik)</w:t>
            </w:r>
          </w:p>
        </w:tc>
      </w:tr>
      <w:tr>
        <w:tc>
          <w:tcPr>
            <w:tcW w:type="dxa" w:w="22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Random Forest (ŞAMPİYON)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0,7753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0,3033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0,073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0,351</w:t>
            </w:r>
          </w:p>
        </w:tc>
        <w:tc>
          <w:tcPr>
            <w:tcW w:type="dxa" w:w="15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0,562</w:t>
            </w:r>
          </w:p>
        </w:tc>
      </w:tr>
      <w:tr>
        <w:tc>
          <w:tcPr>
            <w:tcW w:type="dxa" w:w="22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LightGBM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0,7544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0,2854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0,073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0,337</w:t>
            </w:r>
          </w:p>
        </w:tc>
        <w:tc>
          <w:tcPr>
            <w:tcW w:type="dxa" w:w="15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0,412</w:t>
            </w:r>
          </w:p>
        </w:tc>
      </w:tr>
      <w:tr>
        <w:tc>
          <w:tcPr>
            <w:tcW w:type="dxa" w:w="22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0,7506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0,2774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0,082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0,338</w:t>
            </w:r>
          </w:p>
        </w:tc>
        <w:tc>
          <w:tcPr>
            <w:tcW w:type="dxa" w:w="15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0,422</w:t>
            </w:r>
          </w:p>
        </w:tc>
      </w:tr>
      <w:tr>
        <w:tc>
          <w:tcPr>
            <w:tcW w:type="dxa" w:w="22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CatBoost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0,7466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0,2695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0,079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0,335</w:t>
            </w:r>
          </w:p>
        </w:tc>
        <w:tc>
          <w:tcPr>
            <w:tcW w:type="dxa" w:w="15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0,459</w:t>
            </w:r>
          </w:p>
        </w:tc>
      </w:tr>
      <w:tr>
        <w:tc>
          <w:tcPr>
            <w:tcW w:type="dxa" w:w="22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0,6382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0,1662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0,124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0,232</w:t>
            </w:r>
          </w:p>
        </w:tc>
        <w:tc>
          <w:tcPr>
            <w:tcW w:type="dxa" w:w="15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0,642</w:t>
            </w:r>
          </w:p>
        </w:tc>
      </w:tr>
      <w:tr>
        <w:tc>
          <w:tcPr>
            <w:tcW w:type="dxa" w:w="22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0,6295</w:t>
            </w:r>
          </w:p>
        </w:tc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0,1998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0,205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0,316</w:t>
            </w:r>
          </w:p>
        </w:tc>
        <w:tc>
          <w:tcPr>
            <w:tcW w:type="dxa" w:w="15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0,355</w:t>
            </w:r>
          </w:p>
        </w:tc>
      </w:tr>
    </w:tbl>
    <w:p>
      <w:pPr>
        <w:spacing w:after="140"/>
      </w:pPr>
      <w:r>
        <w:rPr>
          <w:b/>
          <w:bCs/>
          <w:i w:val="false"/>
          <w:iCs w:val="false"/>
        </w:rPr>
        <w:t xml:space="preserve">Eşik optimizasyonunun etkisi çarpıcıdır: sabit t=0,5'te Random Forest'ın Recall'u yalnızca ~0,07 iken (klinik olarak işe yaramaz), F1-optimal eşikte (yaklaşık 0,16) Recall 0,562'ye yükselmektedir. Makalede t=0,5 sonuçları değil, eşik-optimize sonuçlar birincil metrik olarak sunulmalıdır.</w:t>
      </w:r>
    </w:p>
    <w:p>
      <w:pPr>
        <w:pStyle w:val="Heading1"/>
        <w:spacing w:after="200" w:before="300"/>
      </w:pPr>
      <w:r>
        <w:t xml:space="preserve">3. SHAP Analizi (Yeni Model, Hava Durumu Hariç)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3"/>
        <w:gridCol w:w="5143"/>
        <w:gridCol w:w="2805"/>
      </w:tblGrid>
      <w:tr>
        <w:trPr>
          <w:tblHeader/>
        </w:trPr>
        <w:tc>
          <w:tcPr>
            <w:tcW w:type="dxa" w:w="1403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Sıra</w:t>
            </w:r>
          </w:p>
        </w:tc>
        <w:tc>
          <w:tcPr>
            <w:tcW w:type="dxa" w:w="5143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Öznitelik</w:t>
            </w:r>
          </w:p>
        </w:tc>
        <w:tc>
          <w:tcPr>
            <w:tcW w:type="dxa" w:w="2805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 |SHAP|</w:t>
            </w:r>
          </w:p>
        </w:tc>
      </w:tr>
      <w:tr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1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appointment_year</w:t>
            </w:r>
          </w:p>
        </w:tc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0,0370</w:t>
            </w:r>
          </w:p>
        </w:tc>
      </w:tr>
      <w:tr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1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lead_time</w:t>
            </w:r>
          </w:p>
        </w:tc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0,0193</w:t>
            </w:r>
          </w:p>
        </w:tc>
      </w:tr>
      <w:tr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1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appointment_month_june</w:t>
            </w:r>
          </w:p>
        </w:tc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0,0093</w:t>
            </w:r>
          </w:p>
        </w:tc>
      </w:tr>
      <w:tr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1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appointment_hour</w:t>
            </w:r>
          </w:p>
        </w:tc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0,0092</w:t>
            </w:r>
          </w:p>
        </w:tc>
      </w:tr>
      <w:tr>
        <w:tc>
          <w:tcPr>
            <w:tcW w:type="dxa" w:w="14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1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</w:t>
            </w:r>
          </w:p>
        </w:tc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0,0083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appointment_year, hava durumu değişkenleri tamamen çıkarıldıktan sonra da #1 sırada kalmaya devam etmektedir. Bu, önceki turda tespit edilen kronolojik genelleme başarısızlığının hava durumu sızıntısından kaynaklanmadığını, daha temel bir zamansal kayma sorunu olduğunu doğrulamaktadır (bkz. Bölüm 5).</w:t>
      </w:r>
    </w:p>
    <w:p>
      <w:pPr>
        <w:pStyle w:val="Heading1"/>
        <w:spacing w:after="200" w:before="300"/>
      </w:pPr>
      <w:r>
        <w:t xml:space="preserve">4. Kesikli Olay Simülasyonu (Yeni Model Olasılıklarıyla, N=2.500)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1496"/>
        <w:gridCol w:w="1496"/>
        <w:gridCol w:w="1309"/>
        <w:gridCol w:w="1216"/>
        <w:gridCol w:w="1216"/>
      </w:tblGrid>
      <w:tr>
        <w:trPr>
          <w:tblHeader/>
        </w:trPr>
        <w:tc>
          <w:tcPr>
            <w:tcW w:type="dxa" w:w="2618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14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Statik (A)</w:t>
            </w:r>
          </w:p>
        </w:tc>
        <w:tc>
          <w:tcPr>
            <w:tcW w:type="dxa" w:w="14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Hibrit (B)</w:t>
            </w:r>
          </w:p>
        </w:tc>
        <w:tc>
          <w:tcPr>
            <w:tcW w:type="dxa" w:w="1309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Fark</w:t>
            </w:r>
          </w:p>
        </w:tc>
        <w:tc>
          <w:tcPr>
            <w:tcW w:type="dxa" w:w="121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t-test p</w:t>
            </w:r>
          </w:p>
        </w:tc>
        <w:tc>
          <w:tcPr>
            <w:tcW w:type="dxa" w:w="121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Wilcoxon p</w:t>
            </w:r>
          </w:p>
        </w:tc>
      </w:tr>
      <w:tr>
        <w:tc>
          <w:tcPr>
            <w:tcW w:type="dxa" w:w="26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Bekleme Süresi (dk)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9,38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9,87</w:t>
            </w:r>
          </w:p>
        </w:tc>
        <w:tc>
          <w:tcPr>
            <w:tcW w:type="dxa" w:w="130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+0,49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0,120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0,046*</w:t>
            </w:r>
          </w:p>
        </w:tc>
      </w:tr>
      <w:tr>
        <w:tc>
          <w:tcPr>
            <w:tcW w:type="dxa" w:w="26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Hekim Atıl Süresi (dk/gün)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31,78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0,00</w:t>
            </w:r>
          </w:p>
        </w:tc>
        <w:tc>
          <w:tcPr>
            <w:tcW w:type="dxa" w:w="130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−31,78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&lt;0,0001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&lt;0,0001</w:t>
            </w:r>
          </w:p>
        </w:tc>
      </w:tr>
      <w:tr>
        <w:tc>
          <w:tcPr>
            <w:tcW w:type="dxa" w:w="26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Hekim Mesai Aşımı (dk/gün)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13,26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13,60</w:t>
            </w:r>
          </w:p>
        </w:tc>
        <w:tc>
          <w:tcPr>
            <w:tcW w:type="dxa" w:w="130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+0,34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0,579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0,535</w:t>
            </w:r>
          </w:p>
        </w:tc>
      </w:tr>
      <w:tr>
        <w:tc>
          <w:tcPr>
            <w:tcW w:type="dxa" w:w="26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Görülen Hasta Sayısı (gün)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17,88</w:t>
            </w:r>
          </w:p>
        </w:tc>
        <w:tc>
          <w:tcPr>
            <w:tcW w:type="dxa" w:w="14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18,44</w:t>
            </w:r>
          </w:p>
        </w:tc>
        <w:tc>
          <w:tcPr>
            <w:tcW w:type="dxa" w:w="130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+0,56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&lt;0,0001</w:t>
            </w:r>
          </w:p>
        </w:tc>
        <w:tc>
          <w:tcPr>
            <w:tcW w:type="dxa" w:w="1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&lt;0,0001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</w:rPr>
        <w:t xml:space="preserve">*Bekleme süresindeki fark, t-testinde anlamsız (p=0,120) ama Wilcoxon'da sınırda anlamlı (p=0,046) çıkmıştır — iki testin uyuşmaması, bu bulgunun güçlü/kararlı olmadığını, temkinli yorumlanması gerektiğini göstermektedir. Kesin olan bulgular hekim atıl süresi eliminasyonu ve hasta hacmi artışıdır.</w:t>
      </w:r>
    </w:p>
    <w:p>
      <w:pPr>
        <w:pStyle w:val="Heading1"/>
        <w:spacing w:after="200" w:before="300"/>
      </w:pPr>
      <w:r>
        <w:t xml:space="preserve">5. Değişmeyen Kritik Bulgu: Kronolojik Genelleme Hâlâ Başarısız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Yeni, düzgün kurulmuş modelle de kronolojik doğrulama (2016–2020 eğitim → 2021–2022 test) tekrarlanmıştır: ROC-AUC = 0,533 (yazı-tura seviyesi), rastgele bölünmedeki 0,7753'ten radikal biçimde düşük. Bu, önceki turdaki bulgunun ne hava durumu sızıntısından ne de yanlış model seçiminden kaynaklanmadığını; modelin gerçekten ileri yönlü (prospektif) genelleme kapasitesinden yoksun olduğunu KESİN olarak doğrulamaktadır.</w:t>
      </w:r>
    </w:p>
    <w:p>
      <w:pPr>
        <w:pStyle w:val="Heading1"/>
        <w:spacing w:after="200" w:before="300"/>
      </w:pPr>
      <w:r>
        <w:t xml:space="preserve">6. Sonuç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Danışman eleştirisi sonrası yeniden kurulan model, metodolojik olarak çok daha savunulabilir: model seçimi test setinden tamamen izole edilmiş, tüm modeller adil koşullarda karşılaştırılmış, zamansal sızıntı riski taşıyan değişkenler çıkarılmış, eşik optimizasyonu eklenmiştir. Nihai şampiyon yine Random Forest'tır (ROC-AUC=0,7753) — ama bu sefer bu sonuç gerçekten kazanılmıştır. Kronolojik genelleme sorunu ise değişmemiştir ve makalenin en önemli sınırlaması olmaya devam etmektedir.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2026-08-04T19:57:43.379Z</dcterms:created>
  <dcterms:modified xsi:type="dcterms:W3CDTF">2026-08-04T19:57:43.397Z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