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/>
      </w:pPr>
      <w:r>
        <w:t xml:space="preserve">DENETİM RAPORU: NoShow-AI PROJESİNİN BAŞLANGIÇTAN BUGÜNE EVRİMİ</w:t>
      </w:r>
    </w:p>
    <w:p>
      <w:pPr>
        <w:spacing w:after="150"/>
      </w:pPr>
      <w:r>
        <w:rPr>
          <w:b w:val="false"/>
          <w:bCs w:val="false"/>
          <w:i/>
          <w:iCs/>
        </w:rPr>
        <w:t xml:space="preserve">Kapsam: İlk yüklenen model/rapor ile mevcut nihai model arasındaki tüm düzeltmeler, hataların nedenleri ve nasıl giderildiği; ardından bağımsız bir hakem gözüyle genel değerlendirme.</w:t>
      </w:r>
    </w:p>
    <w:p>
      <w:pPr>
        <w:pStyle w:val="Heading1"/>
        <w:spacing w:after="200" w:before="300"/>
      </w:pPr>
      <w:r>
        <w:t xml:space="preserve">1. BAŞLANGIÇ DURUMU (Session Başında)</w:t>
      </w:r>
    </w:p>
    <w:p>
      <w:pPr>
        <w:spacing w:after="150"/>
      </w:pPr>
      <w:r>
        <w:rPr>
          <w:b w:val="false"/>
          <w:bCs w:val="false"/>
          <w:i w:val="false"/>
          <w:iCs w:val="false"/>
        </w:rPr>
        <w:t xml:space="preserve">Sohbetin başında elimde iki şey vardı: (a) NoShow-AI kod tabanı (25 script, veri ön işleme → 6 model karşılaştırması → SHAP → basit bir simülasyon iskeleti) ve (b) bir "Uzman Yönetici Raporu" adlı metin. Bu raporun iddiaları: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Şampiyon model: Random Forest, Dış Test ROC-AUC=0,7934, PR-AUC=0,3475, Brier=0,0773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Simülasyon henüz koşturulmamıştı; "%20–40 bekleme süresi iyileşmesi" iddia ediliyordu ama hiçbir kanıt/kod yoktu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Derin öğrenme (MLP) hiç denenmemişti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Rapor, TÜBİTAK 2209-A başvurusundaki 4.812 rakamı ile kod tabanındaki 110.527/46.641/9.329 rakamları arasında bir çelişki olduğunu itiraf ediyordu</w:t>
      </w:r>
    </w:p>
    <w:p>
      <w:pPr>
        <w:spacing w:after="150"/>
      </w:pPr>
      <w:r>
        <w:rPr>
          <w:b w:val="false"/>
          <w:bCs w:val="false"/>
          <w:i w:val="false"/>
          <w:iCs w:val="false"/>
        </w:rPr>
        <w:t xml:space="preserve">Bu üç eksiklik ilk turda tarafımdan tespit edildi ve kullanıcı bunları gidermemi istedi. Süreç boyunca kullanıcı ayrıca bana, ChatGPT/başka bir kaynaktan üretilmiş 6 ayrı "hakem eleştirisi / risk raporu" belgesi daha iletti; her biri makul görünen ama bazen hatalı/uydurma sayılar içeriyordu. Bu raporun ikinci kısmı, bu belgelerin hangi iddialarının doğrulandığını, hangilerinin yanlış çıkıp düzeltildiğini de kapsıyor.</w:t>
      </w:r>
    </w:p>
    <w:p>
      <w:pPr>
        <w:pStyle w:val="Heading1"/>
        <w:spacing w:after="200" w:before="300"/>
      </w:pPr>
      <w:r>
        <w:t xml:space="preserve">2. MODELLEME: NE YANLIŞTI, NASIL DÜZELTİLDİ</w:t>
      </w:r>
    </w:p>
    <w:p>
      <w:pPr>
        <w:pStyle w:val="Heading2"/>
        <w:spacing w:after="150" w:before="280"/>
      </w:pPr>
      <w:r>
        <w:t xml:space="preserve">2.1 Aşırı Dallanma (Overfitting) — En Kritik Hata</w:t>
      </w:r>
    </w:p>
    <w:p>
      <w:pPr>
        <w:spacing w:after="150"/>
      </w:pPr>
      <w:r>
        <w:rPr>
          <w:b w:val="false"/>
          <w:bCs w:val="false"/>
          <w:i w:val="false"/>
          <w:iCs w:val="false"/>
        </w:rPr>
        <w:t xml:space="preserve">Sorun: Şampiyon Random Forest, sklearn varsayılan parametreleriyle (max_depth=None, min_samples_leaf=1) eğitilmişti. Tanı: ağaçlar ortalama 38,9 seviye derinliğe, ağaç başına ~5.385 yaprağa kadar dallanmış; Train ROC-AUC 0,9995 iken Test'te 0,7934'e düşüyordu (fark=0,2061) — klasik ezber belirtisi.</w:t>
      </w:r>
    </w:p>
    <w:p>
      <w:pPr>
        <w:spacing w:after="150"/>
      </w:pPr>
      <w:r>
        <w:rPr>
          <w:b w:val="false"/>
          <w:bCs w:val="false"/>
          <w:i w:val="false"/>
          <w:iCs w:val="false"/>
        </w:rPr>
        <w:t xml:space="preserve">Neden oldu: Kimse hiperparametre sınırlaması koymamıştı; "Random Forest overfit'e dayanıklıdır" genellemesine güvenilip bu doğrulanmamıştı.</w:t>
      </w:r>
    </w:p>
    <w:p>
      <w:pPr>
        <w:spacing w:after="150"/>
      </w:pPr>
      <w:r>
        <w:rPr>
          <w:b w:val="false"/>
          <w:bCs w:val="false"/>
          <w:i w:val="false"/>
          <w:iCs w:val="false"/>
        </w:rPr>
        <w:t xml:space="preserve">Nasıl düzeltildi: Sadece eğitim seti + 5 katlı Stratified CV ile (test seti hiç açılmadan) hiperparametre araması yapıldı. Asıl sorunun derinlik değil, varsayılan max_features=√p (78 öznitelikten yalnızca ~9'u) kısıtlaması olduğu bulundu. max_features=0,4'e çekilince hem eğitim-test farkı azaldı hem de dış test performansı arttı.</w:t>
      </w:r>
    </w:p>
    <w:p>
      <w:pPr>
        <w:pStyle w:val="Heading2"/>
        <w:spacing w:after="150" w:before="280"/>
      </w:pPr>
      <w:r>
        <w:t xml:space="preserve">2.2 "Overfitting Azaldı" İddiasının Kendisi de Yanlış Çerçevelenmişti</w:t>
      </w:r>
    </w:p>
    <w:p>
      <w:pPr>
        <w:spacing w:after="150"/>
      </w:pPr>
      <w:r>
        <w:rPr>
          <w:b w:val="false"/>
          <w:bCs w:val="false"/>
          <w:i w:val="false"/>
          <w:iCs w:val="false"/>
        </w:rPr>
        <w:t xml:space="preserve">Sorun: İlk düzeltmeden sonra "aradaki fark 0,206'dan 0,180'e indi, ezber önemli ölçüde azaldı" gibi iyimser bir dil kullanılmıştı. Bir dış belge bunun tersini iddia etti: "Δ=0,18 hâlâ çok yüksek, ezber neredeyse hiç engellenmedi."</w:t>
      </w:r>
    </w:p>
    <w:p>
      <w:pPr>
        <w:spacing w:after="150"/>
      </w:pPr>
      <w:r>
        <w:rPr>
          <w:b w:val="false"/>
          <w:bCs w:val="false"/>
          <w:i w:val="false"/>
          <w:iCs w:val="false"/>
        </w:rPr>
        <w:t xml:space="preserve">Nasıl çözüldü: Her iki iddia da tek başına eksikti. Out-of-Bag (OOB) skoru hesaplandı — Random Forest'a özgü, her ağacın kendi görmediği veri üzerindeki yansız performans tahmini. Sonuç: OOB=0,8024, yani Train'e (0,9955) değil Test'e (0,8153) çok yakın. Bu, yüksek Train skorunun bagging'in yapısal bir özelliği olduğunu, gerçek ezber olmadığını kanıtladı. Ayrıca diğer tüm modellerin (XGBoost Δ=0,182, CatBoost Δ=0,163, Decision Tree Δ=0,355, MLP Δ=0,306) Train-Test farkları da hesaplanarak RF'nin bu eksende aslında ortalamanın altında/normal olduğu gösterildi.</w:t>
      </w:r>
    </w:p>
    <w:p>
      <w:pPr>
        <w:pStyle w:val="Heading2"/>
        <w:spacing w:after="150" w:before="280"/>
      </w:pPr>
      <w:r>
        <w:t xml:space="preserve">2.3 Derin Öğrenme Hiç Denenmemişti, Sonra Da Adaletsiz Denendi</w:t>
      </w:r>
    </w:p>
    <w:p>
      <w:pPr>
        <w:spacing w:after="150"/>
      </w:pPr>
      <w:r>
        <w:rPr>
          <w:b w:val="false"/>
          <w:bCs w:val="false"/>
          <w:i w:val="false"/>
          <w:iCs w:val="false"/>
        </w:rPr>
        <w:t xml:space="preserve">Sorun 1: Başlangıçta MLP modeli listede yoktu — "neden derin öğrenme denenmedi" eleştirisine açık kapı.</w:t>
      </w:r>
    </w:p>
    <w:p>
      <w:pPr>
        <w:spacing w:after="150"/>
      </w:pPr>
      <w:r>
        <w:rPr>
          <w:b w:val="false"/>
          <w:bCs w:val="false"/>
          <w:i w:val="false"/>
          <w:iCs w:val="false"/>
        </w:rPr>
        <w:t xml:space="preserve">Düzeltme 1: MLP eklendi, ama önce sabit tek bir mimariyle (64,32) test edildi (ROC-AUC=0,6475) — bu da "adil koşullarda denenmedi" eleştirisine açıktı.</w:t>
      </w:r>
    </w:p>
    <w:p>
      <w:pPr>
        <w:spacing w:after="150"/>
      </w:pPr>
      <w:r>
        <w:rPr>
          <w:b w:val="false"/>
          <w:bCs w:val="false"/>
          <w:i w:val="false"/>
          <w:iCs w:val="false"/>
        </w:rPr>
        <w:t xml:space="preserve">Düzeltme 2: Sadece eğitim seti + CV ile gerçek bir hiperparametre araması (mimari, L2 katsayısı, öğrenme oranı) yapıldı. Sonuç: ROC-AUC 0,6475→0,6743'e yükseldi ama yine de tüm ağaç tabanlı modellerin belirgin biçimde gerisinde kaldı — savunma artık ampirik temelli.</w:t>
      </w:r>
    </w:p>
    <w:p>
      <w:pPr>
        <w:pStyle w:val="Heading2"/>
        <w:spacing w:after="150" w:before="280"/>
      </w:pPr>
      <w:r>
        <w:t xml:space="preserve">2.4 Sınıf Dengesizliği Ele Alınışı Sorgulanmıştı</w:t>
      </w:r>
    </w:p>
    <w:p>
      <w:pPr>
        <w:spacing w:after="150"/>
      </w:pPr>
      <w:r>
        <w:rPr>
          <w:b w:val="false"/>
          <w:bCs w:val="false"/>
          <w:i w:val="false"/>
          <w:iCs w:val="false"/>
        </w:rPr>
        <w:t xml:space="preserve">Sorun: Veri %90/%10 dengesiz; "class_weight veya SMOTE kullanılmadıysa bu bir eksikliktir" eleştirisi geldi.</w:t>
      </w:r>
    </w:p>
    <w:p>
      <w:pPr>
        <w:spacing w:after="150"/>
      </w:pPr>
      <w:r>
        <w:rPr>
          <w:b w:val="false"/>
          <w:bCs w:val="false"/>
          <w:i w:val="false"/>
          <w:iCs w:val="false"/>
        </w:rPr>
        <w:t xml:space="preserve">Test edildi: class_weight="balanced" denendi → Brier Skoru kötüleşti (0,077→0,182) çünkü olasılıkları saptırdı. Ardından 4 farklı SMOTE varyantı (düz SMOTE, Borderline-SMOTE, SMOTETomek, SMOTEENN) optimize modelin hiperparametreleriyle sızıntısız CV'de tek tek test edildi — dördü de dengelemesiz yaklaşımdan daha kötü çıktı (en "sofistike" yöntem SMOTEENN en kötü Brier'i verdi: 0,0985).</w:t>
      </w:r>
    </w:p>
    <w:p>
      <w:pPr>
        <w:spacing w:after="150"/>
      </w:pPr>
      <w:r>
        <w:rPr>
          <w:b w:val="false"/>
          <w:bCs w:val="false"/>
          <w:i w:val="false"/>
          <w:iCs w:val="false"/>
        </w:rPr>
        <w:t xml:space="preserve">Sonuç: Dengeleme yapılmaması artık bir eksiklik değil, 5 alternatifin (class_weight + 4 SMOTE varyantı) sistematik olarak test edilip elenmesiyle doğrulanmış bir tasarım kararı.</w:t>
      </w:r>
    </w:p>
    <w:p>
      <w:pPr>
        <w:pStyle w:val="Heading1"/>
        <w:spacing w:after="200" w:before="300"/>
      </w:pPr>
      <w:r>
        <w:t xml:space="preserve">3. SİMÜLASYON: EN BÜYÜK YANLIŞ BURADAYDI</w:t>
      </w:r>
    </w:p>
    <w:p>
      <w:pPr>
        <w:pStyle w:val="Heading2"/>
        <w:spacing w:after="150" w:before="280"/>
      </w:pPr>
      <w:r>
        <w:t xml:space="preserve">3.1 İlk Sonuç: İstatistiksel Olarak Sahte Bir Başarı Hikayesi</w:t>
      </w:r>
    </w:p>
    <w:p>
      <w:pPr>
        <w:spacing w:after="150"/>
      </w:pPr>
      <w:r>
        <w:rPr>
          <w:b w:val="false"/>
          <w:bCs w:val="false"/>
          <w:i w:val="false"/>
          <w:iCs w:val="false"/>
        </w:rPr>
        <w:t xml:space="preserve">Sorun: N=300 simüle klinik günüyle koşturulan ilk simülasyon, hasta bekleme süresinde "%9,4 iyileşme" gösterdi. Bu, TÜBİTAK metnindeki "%20-40 iyileşme" iddiasına yakın görünüp makaleye öyle yazılacaktı.</w:t>
      </w:r>
    </w:p>
    <w:p>
      <w:pPr>
        <w:spacing w:after="150"/>
      </w:pPr>
      <w:r>
        <w:rPr>
          <w:b w:val="false"/>
          <w:bCs w:val="false"/>
          <w:i w:val="false"/>
          <w:iCs w:val="false"/>
        </w:rPr>
        <w:t xml:space="preserve">Nasıl yakalandı: Eşleştirilmiş (paired) istatistiksel test uygulandı: p=0,304 — anlamlı DEĞİL. Güç analizi yapıldı: gerçek etki büyüklüğü (Cohen's d≈0,06) o kadar küçüktü ki, N=300 gün bunu tespit etmeye yetersizdi; %80 güçle p&lt;0,05 için en az ~2.209 gün gerekiyordu.</w:t>
      </w:r>
    </w:p>
    <w:p>
      <w:pPr>
        <w:spacing w:after="150"/>
      </w:pPr>
      <w:r>
        <w:rPr>
          <w:b w:val="false"/>
          <w:bCs w:val="false"/>
          <w:i w:val="false"/>
          <w:iCs w:val="false"/>
        </w:rPr>
        <w:t xml:space="preserve">Düzeltme: Simülasyon N=2.500 günle tekrarlandı. Gerçek tablo ortaya çıktı: hasta bekleme süresinde anlamlı fark YOK (p=0,181); hekim mesai aşımı aslında anlamlı şekilde KÖTÜLEŞİYOR (p=0,037); sadece hekim atıl süresi (%100 azalma, p&lt;0,000001) ve hasta hacmi (+%3,6, p&lt;0,000001) gerçek ve sağlam kazanımlar.</w:t>
      </w:r>
    </w:p>
    <w:p>
      <w:pPr>
        <w:pStyle w:val="Heading2"/>
        <w:spacing w:after="150" w:before="280"/>
      </w:pPr>
      <w:r>
        <w:t xml:space="preserve">3.2 Bunun Bir Tasarım Hatası mı Yoksa Yapısal Bir Sınır mı Olduğu Test Edildi</w:t>
      </w:r>
    </w:p>
    <w:p>
      <w:pPr>
        <w:spacing w:after="150"/>
      </w:pPr>
      <w:r>
        <w:rPr>
          <w:b w:val="false"/>
          <w:bCs w:val="false"/>
          <w:i w:val="false"/>
          <w:iCs w:val="false"/>
        </w:rPr>
        <w:t xml:space="preserve">Kodun kendisi incelendi: Politika B, yüksek riskli slotlara yedek hastayı KOŞULSUZ gönderiyordu (birincil hasta gelse de gelmese de). Bu, birincil hasta geldiğinde gereksiz bir ikinci hastayı sisteme sokup kuyruğu şişiriyordu — mesai aşımı kötüleşmesinin nedeni buydu.</w:t>
      </w:r>
    </w:p>
    <w:p>
      <w:pPr>
        <w:spacing w:after="150"/>
      </w:pPr>
      <w:r>
        <w:rPr>
          <w:b w:val="false"/>
          <w:bCs w:val="false"/>
          <w:i w:val="false"/>
          <w:iCs w:val="false"/>
        </w:rPr>
        <w:t xml:space="preserve">Düzeltme denendi: Yedek hasta yalnızca birincil hastanın check-in penceresinde gelmediği KESİNLEŞTİĞİNDE (gerçek zamanlı sinyal) çağrılacak şekilde yeniden tasarlandı (Politika C). Mesai aşımı yan etkisi giderildi (p=0,037→p=0,557) ama bekleme süresi yine anlamlı iyileşmedi (p=0,102).</w:t>
      </w:r>
    </w:p>
    <w:p>
      <w:pPr>
        <w:spacing w:after="150"/>
      </w:pPr>
      <w:r>
        <w:rPr>
          <w:b w:val="false"/>
          <w:bCs w:val="false"/>
          <w:i w:val="false"/>
          <w:iCs w:val="false"/>
        </w:rPr>
        <w:t xml:space="preserve">Sonuç: İki bağımsız tasarımın aynı null sonucu vermesi, bunun bir kodlama hatası değil, tek hekimli/sınırlı kapasiteli bir poliklinik ortamının yapısal bir sınırı olduğunu kanıtladı.</w:t>
      </w:r>
    </w:p>
    <w:p>
      <w:pPr>
        <w:pStyle w:val="Heading2"/>
        <w:spacing w:after="150" w:before="280"/>
      </w:pPr>
      <w:r>
        <w:t xml:space="preserve">3.3 İstatistiksel Yöntem Titizliği Eklendi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Wilcoxon signed-rank testi eklendi (t-testinin normallik varsayımına duyarlılığını kontrol etmek için) — sonuç tutarlı çıktı (p=0,077)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 kararın gerekçesi sonradan formalleştirildi: Shapiro-Wilk normallik testi çalıştırıldı, her iki dağılımın da normal olmadığı p&lt;10⁻⁵² düzeyinde kanıtlandı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DeLong testi ile Random Forest'ın CatBoost'a karşı ROC-AUC üstünlüğünün şansa bağlı olmadığı kanıtlandı (Z=7,56, p&lt;0,0001) — ilk denemede yanlış CatBoost parametreleriyle test edilmiş, resmi protokolle (auto_class_weights="Balanced") düzeltilmişti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2.000 tekrarlı bootstrap ile dış test metriklerinin (%95 güven aralığı) ve PR-AUC/Brier farklarının anlamlılığı doğrulandı</w:t>
      </w:r>
    </w:p>
    <w:p>
      <w:pPr>
        <w:pStyle w:val="Heading1"/>
        <w:spacing w:after="200" w:before="300"/>
      </w:pPr>
      <w:r>
        <w:t xml:space="preserve">4. SHAP AÇIKLANABİLİRLİK: METODOLOJİK HATALAR VE DÜZELTMELER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İlk script, SHAP'ı yanlışlıkla varsayılan (budanmamış) modelle yeniden eğitip çalıştırıyordu — optimize edilmiş şampiyon model kullanılmıyordu. Düzeltildi: gerçek şampiyon model + sadece dış test setinden örneklemle yeniden hesaplandı.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Bir dış belge "appointment_year #1 çıkması yanlış, literatürde hep lead_time #1'dir" iddia etti. Gerçek SHAP hesaplamasıyla appointment_year'ın gerçekten #1 olduğu doğrulandı (built-in feature_importances_ ölçütü ile karıştırılmıştı; MDI farklı, SHAP farklı sıralama verir).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N=500 örneklem boyutu "temsil yetersiz olabilir" eleştirisi aldı. N=2.000'e çıkarıldı + bağımsız 2. bir N=500 örneklemiyle çapraz doğrulandı; ilk 5 sıra her ikisinde de tutarlı çıktı.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Bir başka belge SHAP sıralamasını "1.lead_time(0,42) 2.appointment_year(0,28) 3.icd_frekans(0,15)" olarak iddia etti — bu tamamen uydurmaydı (hem sıra hem büyüklük); gerçek değerler appointment_year=0,033, lead_time=0,014 idi.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Çoklu-doğrusallık (multicollinearity) kontrolü hiç yapılmamıştı. Yapıldı: ilk 5 öznitelik arasında average_temp_day↔max_temp_day arasında yüksek korelasyon (r=0,877) bulundu; bu ikisinin göreli sıralamasının (3. vs 5.) güvenilmez olabileceği makaleye not düşüldü.</w:t>
      </w:r>
    </w:p>
    <w:p>
      <w:pPr>
        <w:pStyle w:val="Heading1"/>
        <w:spacing w:after="200" w:before="300"/>
      </w:pPr>
      <w:r>
        <w:t xml:space="preserve">5. VERİ VE SAYI TUTARLILIĞI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110.527 (ham) → 46.641 (temizlenmiş) → 37.312 (eğitim) + 9.329 (dış test) rakamları kod tabanında doğrulandı, tutarlı bulundu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TÜBİTAK başvurusundaki 4.812 rakamı, kullanıcının netleştirmesiyle (proje artık makaleye çevrildi, TÜBİTAK'a başvurulmadı) makaleden tamamen çıkarıldı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PR-AUC'un naif taban çizgisiyle (pozitif sınıf oranı=%9,99) karşılaştırması eklendi: 0,4076 / 0,0999 = 4,08 kat ampirik iyileşme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Kohort seçim akışı yalnızca metin olarak değil, gerçek bir görsel akış şeması (Şekil 1) olarak üretilip belgeye gömüldü</w:t>
      </w:r>
    </w:p>
    <w:p>
      <w:pPr>
        <w:pStyle w:val="Heading1"/>
        <w:spacing w:after="200" w:before="300"/>
      </w:pPr>
      <w:r>
        <w:t xml:space="preserve">6. TEKRARLANABİLİRLİK (REPRODUCIBILITY)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requirements.txt yalnızca alt sınır (≥) belirtiyordu; kullanılan tam sürümler (numpy 2.4.4, scikit-learn 1.8.0, vb.) çıkarılıp requirements-lock.txt olarak eklendi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Model paketinin resmi bir sklearn Pipeline nesnesi olmadığı ama fonksiyonel olarak aynı işi gördüğü (ICD frekans haritası + sütun sırası + model birlikte kaydedildi) dürüstçe belgelendi</w:t>
      </w:r>
    </w:p>
    <w:p>
      <w:pPr>
        <w:pStyle w:val="Heading1"/>
        <w:spacing w:after="200" w:before="300"/>
      </w:pPr>
      <w:r>
        <w:t xml:space="preserve">7. TEKRARLAYAN BİR DESEN: DIŞ BELGELERDEKİ UYDURMA SAYILAR</w:t>
      </w:r>
    </w:p>
    <w:p>
      <w:pPr>
        <w:spacing w:after="150"/>
      </w:pPr>
      <w:r>
        <w:rPr>
          <w:b w:val="false"/>
          <w:bCs w:val="false"/>
          <w:i w:val="false"/>
          <w:iCs w:val="false"/>
        </w:rPr>
        <w:t xml:space="preserve">Süreç boyunca paylaşılan "hakem eleştirisi" belgelerinin bazıları, kulağa profesyonel gelen ama gerçek kodla çalıştırıldığında YANLIŞ çıkan sayılar içeriyordu. Bunların hiçbiri sorgulanmadan makaleye kopyalanmadı; hepsi gerçek hesaplamayla test edildi: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3"/>
        <w:gridCol w:w="3553"/>
        <w:gridCol w:w="2244"/>
      </w:tblGrid>
      <w:tr>
        <w:trPr>
          <w:tblHeader/>
        </w:trPr>
        <w:tc>
          <w:tcPr>
            <w:tcW w:type="dxa" w:w="3553"/>
            <w:shd w:fill="2F549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İddia Edilen (Belgede)</w:t>
            </w:r>
          </w:p>
        </w:tc>
        <w:tc>
          <w:tcPr>
            <w:tcW w:type="dxa" w:w="3553"/>
            <w:shd w:fill="2F549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Gerçek (Hesaplanan)</w:t>
            </w:r>
          </w:p>
        </w:tc>
        <w:tc>
          <w:tcPr>
            <w:tcW w:type="dxa" w:w="2244"/>
            <w:shd w:fill="2F549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Konu</w:t>
            </w:r>
          </w:p>
        </w:tc>
      </w:tr>
      <w:tr>
        <w:tc>
          <w:tcPr>
            <w:tcW w:type="dxa" w:w="355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Train ROC-AUC=0,8412, Δ=0,0259</w:t>
            </w:r>
          </w:p>
        </w:tc>
        <w:tc>
          <w:tcPr>
            <w:tcW w:type="dxa" w:w="355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Train ROC-AUC=0,9955, Δ=0,1802</w:t>
            </w:r>
          </w:p>
        </w:tc>
        <w:tc>
          <w:tcPr>
            <w:tcW w:type="dxa" w:w="224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Overfitting azalma miktarı</w:t>
            </w:r>
          </w:p>
        </w:tc>
      </w:tr>
      <w:tr>
        <w:tc>
          <w:tcPr>
            <w:tcW w:type="dxa" w:w="355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Pozitif sınıf oranı=%9,74, çarpan=4,18x</w:t>
            </w:r>
          </w:p>
        </w:tc>
        <w:tc>
          <w:tcPr>
            <w:tcW w:type="dxa" w:w="355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%9,99, çarpan=4,08x</w:t>
            </w:r>
          </w:p>
        </w:tc>
        <w:tc>
          <w:tcPr>
            <w:tcW w:type="dxa" w:w="224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PR-AUC taban çizgisi</w:t>
            </w:r>
          </w:p>
        </w:tc>
      </w:tr>
      <w:tr>
        <w:tc>
          <w:tcPr>
            <w:tcW w:type="dxa" w:w="355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Wilcoxon p=0,181</w:t>
            </w:r>
          </w:p>
        </w:tc>
        <w:tc>
          <w:tcPr>
            <w:tcW w:type="dxa" w:w="355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Wilcoxon p=0,077 (t-testin p'siyle karıştırılmış)</w:t>
            </w:r>
          </w:p>
        </w:tc>
        <w:tc>
          <w:tcPr>
            <w:tcW w:type="dxa" w:w="224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Simülasyon anlamlılığı</w:t>
            </w:r>
          </w:p>
        </w:tc>
      </w:tr>
      <w:tr>
        <w:tc>
          <w:tcPr>
            <w:tcW w:type="dxa" w:w="355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SHAP: 1.lead_time(0,42) 2.appointment_year(0,28) 3.icd_frekans(0,15)</w:t>
            </w:r>
          </w:p>
        </w:tc>
        <w:tc>
          <w:tcPr>
            <w:tcW w:type="dxa" w:w="355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1.appointment_year(0,033) 2.lead_time(0,014) 3.average_temp_day(0,010)</w:t>
            </w:r>
          </w:p>
        </w:tc>
        <w:tc>
          <w:tcPr>
            <w:tcW w:type="dxa" w:w="224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SHAP sıralaması</w:t>
            </w:r>
          </w:p>
        </w:tc>
      </w:tr>
      <w:tr>
        <w:tc>
          <w:tcPr>
            <w:tcW w:type="dxa" w:w="355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CatBoost AUC karşılaştırması (ilk deneme)</w:t>
            </w:r>
          </w:p>
        </w:tc>
        <w:tc>
          <w:tcPr>
            <w:tcW w:type="dxa" w:w="355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Yanlış CatBoost parametresiyle test edilmiş, düzeltildi</w:t>
            </w:r>
          </w:p>
        </w:tc>
        <w:tc>
          <w:tcPr>
            <w:tcW w:type="dxa" w:w="224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DeLong testi</w:t>
            </w:r>
          </w:p>
        </w:tc>
      </w:tr>
    </w:tbl>
    <w:p>
      <w:pPr>
        <w:spacing w:after="150"/>
      </w:pPr>
      <w:r>
        <w:rPr>
          <w:b w:val="false"/>
          <w:bCs w:val="false"/>
          <w:i/>
          <w:iCs/>
        </w:rPr>
        <w:t xml:space="preserve">Bu tablo, sürecin sadece "eksiklikleri kapatma" değil, "her önerilen düzeltmeyi de ayrıca doğrulama" disipliniyle yürütüldüğünü göstermektedir.</w:t>
      </w:r>
    </w:p>
    <w:p>
      <w:pPr>
        <w:pStyle w:val="Heading1"/>
        <w:spacing w:after="200" w:before="300"/>
      </w:pPr>
      <w:r>
        <w:t xml:space="preserve">8. BAŞLANGIÇ vs. ŞİMDİKİ MODEL — ÖZET TABLO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5"/>
        <w:gridCol w:w="3086"/>
        <w:gridCol w:w="3460"/>
      </w:tblGrid>
      <w:tr>
        <w:trPr>
          <w:tblHeader/>
        </w:trPr>
        <w:tc>
          <w:tcPr>
            <w:tcW w:type="dxa" w:w="2805"/>
            <w:shd w:fill="2F549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Metrik / Konu</w:t>
            </w:r>
          </w:p>
        </w:tc>
        <w:tc>
          <w:tcPr>
            <w:tcW w:type="dxa" w:w="3086"/>
            <w:shd w:fill="2F549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Başlangıç</w:t>
            </w:r>
          </w:p>
        </w:tc>
        <w:tc>
          <w:tcPr>
            <w:tcW w:type="dxa" w:w="3460"/>
            <w:shd w:fill="2F549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Şimdi</w:t>
            </w:r>
          </w:p>
        </w:tc>
      </w:tr>
      <w:tr>
        <w:tc>
          <w:tcPr>
            <w:tcW w:type="dxa" w:w="280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Şampiyon model hiperparametreleri</w:t>
            </w:r>
          </w:p>
        </w:tc>
        <w:tc>
          <w:tcPr>
            <w:tcW w:type="dxa" w:w="308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Varsayılan (sınırsız derinlik)</w:t>
            </w:r>
          </w:p>
        </w:tc>
        <w:tc>
          <w:tcPr>
            <w:tcW w:type="dxa" w:w="3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max_depth=25, max_features=0,4, min_samples_leaf=2 (CV ile optimize)</w:t>
            </w:r>
          </w:p>
        </w:tc>
      </w:tr>
      <w:tr>
        <w:tc>
          <w:tcPr>
            <w:tcW w:type="dxa" w:w="280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Dış Test ROC-AUC</w:t>
            </w:r>
          </w:p>
        </w:tc>
        <w:tc>
          <w:tcPr>
            <w:tcW w:type="dxa" w:w="308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0,7934</w:t>
            </w:r>
          </w:p>
        </w:tc>
        <w:tc>
          <w:tcPr>
            <w:tcW w:type="dxa" w:w="3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0,8153 (%95 GA: 0,801–0,830)</w:t>
            </w:r>
          </w:p>
        </w:tc>
      </w:tr>
      <w:tr>
        <w:tc>
          <w:tcPr>
            <w:tcW w:type="dxa" w:w="280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Dış Test PR-AUC</w:t>
            </w:r>
          </w:p>
        </w:tc>
        <w:tc>
          <w:tcPr>
            <w:tcW w:type="dxa" w:w="308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0,3475</w:t>
            </w:r>
          </w:p>
        </w:tc>
        <w:tc>
          <w:tcPr>
            <w:tcW w:type="dxa" w:w="3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0,4076 (%95 GA: 0,377–0,440)</w:t>
            </w:r>
          </w:p>
        </w:tc>
      </w:tr>
      <w:tr>
        <w:tc>
          <w:tcPr>
            <w:tcW w:type="dxa" w:w="280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Dış Test Brier</w:t>
            </w:r>
          </w:p>
        </w:tc>
        <w:tc>
          <w:tcPr>
            <w:tcW w:type="dxa" w:w="308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0,0773</w:t>
            </w:r>
          </w:p>
        </w:tc>
        <w:tc>
          <w:tcPr>
            <w:tcW w:type="dxa" w:w="3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0,0738 (%95 GA: 0,070–0,078)</w:t>
            </w:r>
          </w:p>
        </w:tc>
      </w:tr>
      <w:tr>
        <w:tc>
          <w:tcPr>
            <w:tcW w:type="dxa" w:w="280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Train-Test farkı</w:t>
            </w:r>
          </w:p>
        </w:tc>
        <w:tc>
          <w:tcPr>
            <w:tcW w:type="dxa" w:w="308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0,2061 (kanıtsız "overfit" damgası)</w:t>
            </w:r>
          </w:p>
        </w:tc>
        <w:tc>
          <w:tcPr>
            <w:tcW w:type="dxa" w:w="3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0,1802, OOB=0,8024 ile gerçek genelleme kanıtlanmış</w:t>
            </w:r>
          </w:p>
        </w:tc>
      </w:tr>
      <w:tr>
        <w:tc>
          <w:tcPr>
            <w:tcW w:type="dxa" w:w="280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Derin öğrenme (MLP)</w:t>
            </w:r>
          </w:p>
        </w:tc>
        <w:tc>
          <w:tcPr>
            <w:tcW w:type="dxa" w:w="308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Yok</w:t>
            </w:r>
          </w:p>
        </w:tc>
        <w:tc>
          <w:tcPr>
            <w:tcW w:type="dxa" w:w="3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Var, hiperparametre aramalı, ROC-AUC=0,6743</w:t>
            </w:r>
          </w:p>
        </w:tc>
      </w:tr>
      <w:tr>
        <w:tc>
          <w:tcPr>
            <w:tcW w:type="dxa" w:w="280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Sınıf dengesizliği çözümü</w:t>
            </w:r>
          </w:p>
        </w:tc>
        <w:tc>
          <w:tcPr>
            <w:tcW w:type="dxa" w:w="308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Belirsiz/tartışılmamış</w:t>
            </w:r>
          </w:p>
        </w:tc>
        <w:tc>
          <w:tcPr>
            <w:tcW w:type="dxa" w:w="3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 strateji (class_weight+4 SMOTE varyantı) test edilip elendi</w:t>
            </w:r>
          </w:p>
        </w:tc>
      </w:tr>
      <w:tr>
        <w:tc>
          <w:tcPr>
            <w:tcW w:type="dxa" w:w="280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Simülasyon</w:t>
            </w:r>
          </w:p>
        </w:tc>
        <w:tc>
          <w:tcPr>
            <w:tcW w:type="dxa" w:w="308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Koşturulmamış, "%20–40" iddiası kanıtsız</w:t>
            </w:r>
          </w:p>
        </w:tc>
        <w:tc>
          <w:tcPr>
            <w:tcW w:type="dxa" w:w="3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N=2.500, istatistiksel testli: bekleme süresi anlamsız (p=0,18), atıl süre -%100 (p&lt;0,001), hasta hacmi +%3,6 (p&lt;0,001)</w:t>
            </w:r>
          </w:p>
        </w:tc>
      </w:tr>
      <w:tr>
        <w:tc>
          <w:tcPr>
            <w:tcW w:type="dxa" w:w="280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SHAP</w:t>
            </w:r>
          </w:p>
        </w:tc>
        <w:tc>
          <w:tcPr>
            <w:tcW w:type="dxa" w:w="308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Yok</w:t>
            </w:r>
          </w:p>
        </w:tc>
        <w:tc>
          <w:tcPr>
            <w:tcW w:type="dxa" w:w="3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N=2.000+kararlılık kontrolü, korelasyon uyarılı, doğru model üzerinde</w:t>
            </w:r>
          </w:p>
        </w:tc>
      </w:tr>
      <w:tr>
        <w:tc>
          <w:tcPr>
            <w:tcW w:type="dxa" w:w="280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İstatistiksel testler</w:t>
            </w:r>
          </w:p>
        </w:tc>
        <w:tc>
          <w:tcPr>
            <w:tcW w:type="dxa" w:w="308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Yok</w:t>
            </w:r>
          </w:p>
        </w:tc>
        <w:tc>
          <w:tcPr>
            <w:tcW w:type="dxa" w:w="3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t-test, Wilcoxon, Shapiro-Wilk, DeLong, 2x bootstrap</w:t>
            </w:r>
          </w:p>
        </w:tc>
      </w:tr>
      <w:tr>
        <w:tc>
          <w:tcPr>
            <w:tcW w:type="dxa" w:w="280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Veri sayısı tutarlılığı</w:t>
            </w:r>
          </w:p>
        </w:tc>
        <w:tc>
          <w:tcPr>
            <w:tcW w:type="dxa" w:w="308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4.812 vs 110.527 çelişkisi (rapor kendi kabul etmişti)</w:t>
            </w:r>
          </w:p>
        </w:tc>
        <w:tc>
          <w:tcPr>
            <w:tcW w:type="dxa" w:w="3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Tutarlı, görsel kohort akış şemasıyla belgelenmiş</w:t>
            </w:r>
          </w:p>
        </w:tc>
      </w:tr>
      <w:tr>
        <w:tc>
          <w:tcPr>
            <w:tcW w:type="dxa" w:w="280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Tekrarlanabilirlik</w:t>
            </w:r>
          </w:p>
        </w:tc>
        <w:tc>
          <w:tcPr>
            <w:tcW w:type="dxa" w:w="308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requirements.txt (alt sınır)</w:t>
            </w:r>
          </w:p>
        </w:tc>
        <w:tc>
          <w:tcPr>
            <w:tcW w:type="dxa" w:w="3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+requirements-lock.txt (tam sürümler)</w:t>
            </w:r>
          </w:p>
        </w:tc>
      </w:tr>
    </w:tbl>
    <w:p>
      <w:pPr>
        <w:pStyle w:val="Heading1"/>
        <w:spacing w:after="200" w:before="300"/>
      </w:pPr>
      <w:r>
        <w:t xml:space="preserve">9. HAKEM GÖZÜYLE GENEL DEĞERLENDİRME</w:t>
      </w:r>
    </w:p>
    <w:p>
      <w:pPr>
        <w:spacing w:after="150"/>
      </w:pPr>
      <w:r>
        <w:rPr>
          <w:b/>
          <w:bCs/>
          <w:i w:val="false"/>
          <w:iCs w:val="false"/>
        </w:rPr>
        <w:t xml:space="preserve">Bir dergi hakemi olsam, bu çalışmaya şu anda “Minor Revision” (küçük revizyonla kabul) notu verirdim — sohbetin başındaki halinin “Major Revision, ciddi şüpheyle” düzeyinde olduğunu düşünürsek büyük bir mesafe kat edilmiş.</w:t>
      </w:r>
    </w:p>
    <w:p>
      <w:pPr>
        <w:pStyle w:val="Heading2"/>
        <w:spacing w:after="150" w:before="280"/>
      </w:pPr>
      <w:r>
        <w:t xml:space="preserve">9.1 Neden Artık Güveniyorum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Sızıntısız protokol (train+CV / test tek seferlik) baştan sona tutarlı uygulanmış, sadece iddia edilmemiş, her seferinde kodla doğrulanmış.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Kendi olumlu bulgularını çürütmeye çalışmış bir ekip görüyorum: %9,4 bekleme süresi iyileşmesini kabul edip geçmek yerine güç analizi yapıp N=2.500'e çıkarmışlar ve gürültü olduğunu kendileri bulmuşlar. Bu, çoğu makalede hakemin bulup reddettiği türden bir hata; burada yazarlar bulmuş.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Modelin “iyi” görünen sonuçları (Brier düşüklüğü, kalibrasyon) sadece iddia edilmemiş, güvenilirlik eğrisi ve OOB skoruyla bağımsız olarak doğrulanmış.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Alternatif hipotezler (SMOTE varyantları, class_weight, politika yeniden tasarımı) gerçekten test edilmiş, sadece varsayılmamış.</w:t>
      </w:r>
    </w:p>
    <w:p>
      <w:pPr>
        <w:pStyle w:val="Heading2"/>
        <w:spacing w:after="150" w:before="280"/>
      </w:pPr>
      <w:r>
        <w:t xml:space="preserve">9.2 Hâlâ Dikkat Çekeceğim Noktalar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Tek veri kaynağı, tek coğrafya (Brezilya) — literatürde norm olsa da, dış geçerlilik hâlâ test edilmemiş bir varsayım.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SHAP hâlâ N=9.329'un tamamında değil, N=2.000 örneklemde (hesaplama maliyeti nedeniyle) — kararlılık kanıtlandı ama “tam” değil.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appointment_year'ın #1 öznitelik olması, modelin canlı bir sistemde (2026+) ne sıklıkla yeniden eğitilmesi gerektiği konusunda hâlâ ampirik olmayan (teorik) bir öneri içeriyor — concept drift henüz gerçek zamanlı veriyle test edilmedi.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Nihai model paketi resmi bir sklearn Pipeline nesnesi değil; işlevsel olarak yeterli ama bazı hakemler bunu “eksik mühendislik” olarak görebilir.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Politika C (koşullu aktivasyon) simülasyonu sadece bir kez, tek bir grace-period parametresiyle (5 dk) test edildi; bu parametrenin duyarlılık analizi yapılmadı.</w:t>
      </w:r>
    </w:p>
    <w:p>
      <w:pPr>
        <w:pStyle w:val="Heading2"/>
        <w:spacing w:after="150" w:before="280"/>
      </w:pPr>
      <w:r>
        <w:t xml:space="preserve">9.3 Sonuç</w:t>
      </w:r>
    </w:p>
    <w:p>
      <w:pPr>
        <w:spacing w:after="150"/>
      </w:pPr>
      <w:r>
        <w:rPr>
          <w:b/>
          <w:bCs/>
          <w:i w:val="false"/>
          <w:iCs w:val="false"/>
        </w:rPr>
        <w:t xml:space="preserve">Bu, “mükemmel sonuçlar bulduk” diyen değil, “iddialarımızı kırmaya çalıştık ve kırılamayanları raporluyoruz” diyen bir çalışma — ve bir hakem için ikincisi çok daha ikna edicidir.</w:t>
      </w:r>
    </w:p>
    <w:p>
      <w:pPr>
        <w:pStyle w:val="Heading1"/>
        <w:spacing w:after="200" w:before="300"/>
      </w:pPr>
      <w:r>
        <w:t xml:space="preserve">EK (SONRADAN EKLENEN): KRİTİK BULGU — PROSPEKTİF GEÇERLİLİK ÇÖKÜŞÜ</w:t>
      </w:r>
    </w:p>
    <w:p>
      <w:pPr>
        <w:spacing w:after="150"/>
      </w:pPr>
      <w:r>
        <w:rPr>
          <w:b/>
          <w:bCs/>
          <w:i w:val="false"/>
          <w:iCs w:val="false"/>
        </w:rPr>
        <w:t xml:space="preserve">Bu rapor tamamlandıktan SONRA, bağımsız bir ikinci incelemenin (başka bir oturumda aynı proje üzerinde yapılan bir hakem analizinin) uyarısı üzerine ek bir test yapılmıştır: rastgele train/test bölünmesi yerine GERÇEK bir kronolojik (zamana dayalı) bölünme denenmiştir.</w:t>
      </w:r>
    </w:p>
    <w:p>
      <w:pPr>
        <w:spacing w:after="150"/>
      </w:pPr>
      <w:r>
        <w:rPr>
          <w:b w:val="false"/>
          <w:bCs w:val="false"/>
          <w:i/>
          <w:iCs/>
        </w:rPr>
        <w:t xml:space="preserve">appointment_year (2016–2022) boyunca no-show oranı %4'ten %20'ye monoton artmaktadır. Rastgele bölünmede train/test setlerinin yıl dağılımı neredeyse özdeştir (ikisinde de tüm yıllardan karışık örnekler var) — yani model, “geleceği” hiç görmeden test edilmemiştir.</w:t>
      </w:r>
    </w:p>
    <w:p>
      <w:pPr>
        <w:spacing w:after="150"/>
      </w:pPr>
      <w:r>
        <w:rPr>
          <w:b/>
          <w:bCs/>
          <w:i w:val="false"/>
          <w:iCs w:val="false"/>
        </w:rPr>
        <w:t xml:space="preserve">Gerçek kronolojik test sonucu (2016–2020 eğitim → 2021–2022 test): ROC-AUC = 0,526 (yazı-tura seviyesi), rastgele bölünmedeki 0,8153'ten radikal biçimde düşük. Genişleyen pencere doğrulaması (2018–2022 arası her yıl için ayrı ayrı) ortalama ROC-AUC≈0,50–0,53 vermiştir — eğitim verisi miktarı 19.964'ten 45.974 satıra çıksa da, yalnızca yakın geçmişle eğitilse de bu sonuç değişmemiştir. appointment_year modelden çıkarıldığında da performans aynı kalmıştır (≈0,53).</w:t>
      </w:r>
    </w:p>
    <w:p>
      <w:pPr>
        <w:spacing w:after="150"/>
      </w:pPr>
      <w:r>
        <w:rPr>
          <w:b/>
          <w:bCs/>
          <w:i w:val="false"/>
          <w:iCs w:val="false"/>
        </w:rPr>
        <w:t xml:space="preserve">Sonuç: Bu raporda ve makalede raporlanan 0,8153 ROC-AUC, modelin gelecekteki hastaları tahmin etme kapasitesini değil, karışık bir zaman diliminde enterpolasyon başarısını yansıtmaktadır. Bu, projenin en kritik ve en son bulgusudur; “prospektif doğrulanmış CDSS” gibi ifadeler makaleden çıkarılmalı, model geçmişe dönük/kesitsel bir analiz aracı olarak yeniden çerçevelendirilmelidir. Detaylar için bkz. raporlar/Makale_Bulgular_Bolumu.docx Bölüm 3.5.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2026-08-03T09:56:59.560Z</dcterms:created>
  <dcterms:modified xsi:type="dcterms:W3CDTF">2026-08-03T09:56:59.561Z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