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pPr>
      <w:r>
        <w:t xml:space="preserve">HAKEM KARŞISINDA SAVUNMA REHBERİ</w:t>
      </w:r>
    </w:p>
    <w:p>
      <w:pPr>
        <w:spacing w:after="140"/>
      </w:pPr>
      <w:r>
        <w:rPr>
          <w:b w:val="false"/>
          <w:bCs w:val="false"/>
          <w:i/>
          <w:iCs/>
        </w:rPr>
        <w:t xml:space="preserve">Amaç: Makale değerlendirmesi/savunması sırasında sıkça sorulacak sorulara hazır, kanıta dayalı cevaplar; proaktif olarak vurgulanması gereken güç noktaları; ve kaçınılması gereken ifadeler.</w:t>
      </w:r>
    </w:p>
    <w:p>
      <w:pPr>
        <w:pStyle w:val="Heading1"/>
        <w:spacing w:after="200" w:before="300"/>
      </w:pPr>
      <w:r>
        <w:t xml:space="preserve">1. AÇILIŞTA PROAKTİF VURGULANACAK 5 GÜÇ NOKTASI</w:t>
      </w:r>
    </w:p>
    <w:p>
      <w:pPr>
        <w:spacing w:after="140"/>
      </w:pPr>
      <w:r>
        <w:rPr>
          <w:b w:val="false"/>
          <w:bCs w:val="false"/>
          <w:i w:val="false"/>
          <w:iCs w:val="false"/>
        </w:rPr>
        <w:t xml:space="preserve">Hakem sormadan önce, Yöntem/Tartışma bölümlerinde kendiniz öne çıkarın:</w:t>
      </w:r>
    </w:p>
    <w:p>
      <w:pPr>
        <w:pStyle w:val="ListParagraph"/>
        <w:numPr>
          <w:ilvl w:val="0"/>
          <w:numId w:val="1"/>
        </w:numPr>
        <w:spacing w:after="80"/>
      </w:pPr>
      <w:r>
        <w:t xml:space="preserve">Sızıntısız protokol: Hiperparametre araması SADECE eğitim seti + CV üzerinde yapıldı; saklı dış test seti (N=9.329) yalnızca tek seferlik nihai değerlendirme için açıldı. Bunu her tabloda/şekilde tekrar belirtin.</w:t>
      </w:r>
    </w:p>
    <w:p>
      <w:pPr>
        <w:pStyle w:val="ListParagraph"/>
        <w:numPr>
          <w:ilvl w:val="0"/>
          <w:numId w:val="1"/>
        </w:numPr>
        <w:spacing w:after="80"/>
      </w:pPr>
      <w:r>
        <w:t xml:space="preserve">Kendi olumlu bulgunuzu çürütmeye çalıştınız: İlk simülasyonda görünen "%9,4 bekleme süresi iyileşmesi"ni güç analiziyle sınayıp N=2.500'e çıkardınız ve istatistiksel olarak anlamsız çıktığını siz buldunuz, hakem bulmadı. Bunu bir zayıflık gibi değil, metodolojik olgunluk kanıtı olarak sunun.</w:t>
      </w:r>
    </w:p>
    <w:p>
      <w:pPr>
        <w:pStyle w:val="ListParagraph"/>
        <w:numPr>
          <w:ilvl w:val="0"/>
          <w:numId w:val="1"/>
        </w:numPr>
        <w:spacing w:after="80"/>
      </w:pPr>
      <w:r>
        <w:t xml:space="preserve">Kalibrasyon bağımsız doğrulandı: Sadece düşük Brier Skoru değil, 10 kantil-binli güvenilirlik eğrisi VE Out-of-Bag skoru (0,8024) ile modelin gerçekten iyi genellediği çapraz kanıtlandı.</w:t>
      </w:r>
    </w:p>
    <w:p>
      <w:pPr>
        <w:pStyle w:val="ListParagraph"/>
        <w:numPr>
          <w:ilvl w:val="0"/>
          <w:numId w:val="1"/>
        </w:numPr>
        <w:spacing w:after="80"/>
      </w:pPr>
      <w:r>
        <w:t xml:space="preserve">Alternatifler varsayılmadı, test edildi: class_weight, 4 SMOTE varyantı, 2 farklı simülasyon politika tasarımı, MLP hiperparametre araması — hepsi gerçekten koşturulup karşılaştırıldı.</w:t>
      </w:r>
    </w:p>
    <w:p>
      <w:pPr>
        <w:pStyle w:val="ListParagraph"/>
        <w:numPr>
          <w:ilvl w:val="0"/>
          <w:numId w:val="1"/>
        </w:numPr>
        <w:spacing w:after="80"/>
      </w:pPr>
      <w:r>
        <w:t xml:space="preserve">Tek bir metriğe değil, çoklu kanıta dayalı model seçimi: ROC-AUC + PR-AUC + Brier + DeLong testi + bootstrap GA birlikte kullanıldı; F1'in en yüksek olduğu model şampiyon seçilmedi, gerekçesi açık.</w:t>
      </w:r>
    </w:p>
    <w:p>
      <w:pPr>
        <w:pStyle w:val="Heading1"/>
        <w:spacing w:after="200" w:before="300"/>
      </w:pPr>
      <w:r>
        <w:t xml:space="preserve">2. MUHTEMEL HAKEM SORULARI VE HAZIR CEVAPLAR</w:t>
      </w:r>
    </w:p>
    <w:p>
      <w:pPr>
        <w:pStyle w:val="Heading2"/>
        <w:spacing w:after="140" w:before="260"/>
      </w:pPr>
      <w:r>
        <w:t xml:space="preserve">S1: "Neden hasta bekleme süresinde anlamlı iyileşme yok, sistem gerçekten işe yarıyor mu?"</w:t>
      </w:r>
    </w:p>
    <w:p>
      <w:pPr>
        <w:spacing w:after="140"/>
      </w:pPr>
      <w:r>
        <w:rPr>
          <w:b w:val="false"/>
          <w:bCs w:val="false"/>
          <w:i/>
          <w:iCs/>
        </w:rPr>
        <w:t xml:space="preserve">Cevap: Sistemin kanıtlanmış katkısı hasta bekleme süresi değil, kapasite/kaynak kullanım verimliliğidir. Hekim atıl süresi tamamen ortadan kalkmış (p&lt;0,001) ve günlük hasta hacmi %3,6 artmıştır (p&lt;0,001) — bunlar idari/mali açıdan doğrudan değerli, istatistiksel olarak sağlam bulgulardır. Bekleme süresinde etki olmaması, iki bağımsız politika tasarımıyla (koşulsuz ve koşullu aktivasyon) doğrulanmış yapısal bir sonuçtur, uygulama hatası değildir.</w:t>
      </w:r>
    </w:p>
    <w:p>
      <w:pPr>
        <w:pStyle w:val="Heading2"/>
        <w:spacing w:after="140" w:before="260"/>
      </w:pPr>
      <w:r>
        <w:t xml:space="preserve">S2: "Tek bir ülkeden/bölgeden veri kullanmışsınız, sonuçlar başka sağlık sistemlerine genellenebilir mi?"</w:t>
      </w:r>
    </w:p>
    <w:p>
      <w:pPr>
        <w:spacing w:after="140"/>
      </w:pPr>
      <w:r>
        <w:rPr>
          <w:b w:val="false"/>
          <w:bCs w:val="false"/>
          <w:i/>
          <w:iCs/>
        </w:rPr>
        <w:t xml:space="preserve">Cevap: Bu, no-show tahmini literatüründe yerleşik bir sınırlamadır (Barrera Ferro ve ark. 2020 tek ülke, Hathaway ve ark. 2025 tek hastane, Liu ve ark. 2022 tek merkez). Çalışmamız (N=110.527) bu literatürdeki çoğu çalışmadan daha büyük ve çok merkezlidir. Dış geçerlilik açıkça Sınırlamalar bölümünde belirtilmiş, gelecek çalışma olarak bağımsız ikinci veri setinde doğrulama önerilmiştir.</w:t>
      </w:r>
    </w:p>
    <w:p>
      <w:pPr>
        <w:pStyle w:val="Heading2"/>
        <w:spacing w:after="140" w:before="260"/>
      </w:pPr>
      <w:r>
        <w:t xml:space="preserve">S3: "ROC-AUC'unuz (0,8153) literatürdeki bazı çalışmalardan (0,90+) düşük, neden?"</w:t>
      </w:r>
    </w:p>
    <w:p>
      <w:pPr>
        <w:spacing w:after="140"/>
      </w:pPr>
      <w:r>
        <w:rPr>
          <w:b w:val="false"/>
          <w:bCs w:val="false"/>
          <w:i/>
          <w:iCs/>
        </w:rPr>
        <w:t xml:space="preserve">Cevap: 0,90 üzeri skor alan çalışmalar (Hathaway ve ark. 2025; Liu ve ark. 2022) hastanın bireysel geçmiş no-show oranı/sayısı gibi çok güçlü prediktörlere sahip zengin EMR altyapılarına dayanır. Bizim veri setimizde böyle bir değişken yok; sadece zamansal/takvimsel/meteorolojik özniteliklerle bu skora ulaşılması, kısıtlı veri koşulları altında iyimserlikten uzak (unbiased), metodolojik olarak beklenen bir sonuçtur.</w:t>
      </w:r>
    </w:p>
    <w:p>
      <w:pPr>
        <w:pStyle w:val="Heading2"/>
        <w:spacing w:after="140" w:before="260"/>
      </w:pPr>
      <w:r>
        <w:t xml:space="preserve">S4: "Random Forest'ın Train skoru hâlâ çok yüksek (0,9955), gerçekten ezber yok mu?"</w:t>
      </w:r>
    </w:p>
    <w:p>
      <w:pPr>
        <w:spacing w:after="140"/>
      </w:pPr>
      <w:r>
        <w:rPr>
          <w:b w:val="false"/>
          <w:bCs w:val="false"/>
          <w:i/>
          <w:iCs/>
        </w:rPr>
        <w:t xml:space="preserve">Cevap: Out-of-Bag (OOB) skoru — Random Forest'a özgü, her ağacın kendi görmediği veriyle hesaplanan yansız bir genelleme tahmini — 0,8024 çıkmıştır; bu, Train skoruna değil dış test skoruna (0,8153) çok yakındır. Yüksek Train skoru bagging mimarisinin beklenen bir özelliğidir (her ağaç kendi bootstrap örneklemine yakından uyar), gerçek ezber göstergesi değildir. Ayrıca aynı fark diğer tüm modellerde de mevcuttur (XGBoost Δ=0,182), RF'ye özgü değildir.</w:t>
      </w:r>
    </w:p>
    <w:p>
      <w:pPr>
        <w:pStyle w:val="Heading2"/>
        <w:spacing w:after="140" w:before="260"/>
      </w:pPr>
      <w:r>
        <w:t xml:space="preserve">S5: "Neden SMOTE veya class_weight kullanmadınız, veriniz dengesiz?"</w:t>
      </w:r>
    </w:p>
    <w:p>
      <w:pPr>
        <w:spacing w:after="140"/>
      </w:pPr>
      <w:r>
        <w:rPr>
          <w:b w:val="false"/>
          <w:bCs w:val="false"/>
          <w:i/>
          <w:iCs/>
        </w:rPr>
        <w:t xml:space="preserve">Cevap: Class_weight="balanced" ve 4 farklı SMOTE varyantı (düz, Borderline, SMOTETomek, SMOTEENN) sistematik olarak sızıntısız CV ile test edilmiştir; hepsi dengelemesiz yaklaşımdan daha kötü performans (özellikle kalibrasyonda) göstermiştir. Dengeleme yapılmaması, atlanmış değil, beş alternatifin test edilip elenmesiyle ampirik olarak doğrulanmış bir tasarım kararıdır.</w:t>
      </w:r>
    </w:p>
    <w:p>
      <w:pPr>
        <w:pStyle w:val="Heading2"/>
        <w:spacing w:after="140" w:before="260"/>
      </w:pPr>
      <w:r>
        <w:t xml:space="preserve">S6: "Derin öğrenme neden bu kadar zayıf, adil denendi mi?"</w:t>
      </w:r>
    </w:p>
    <w:p>
      <w:pPr>
        <w:spacing w:after="140"/>
      </w:pPr>
      <w:r>
        <w:rPr>
          <w:b w:val="false"/>
          <w:bCs w:val="false"/>
          <w:i/>
          <w:iCs/>
        </w:rPr>
        <w:t xml:space="preserve">Cevap: MLP, tek bir keyfi mimariyle değil; mimari (1-3 katman, 32-128 nöron), L2 regularizasyon katsayısı ve öğrenme oranı üzerinde sızıntısız bir hiperparametre aramasıyla optimize edilmiştir (ROC-AUC 0,6475→0,6743). Bu veri setinin boyutu (37K satır, 78 öznitelik çoğunlukla düşük boyutlu/yoğun) derin öğrenmenin avantaj sağlayacağı bir rejim değildir; ağaç tabanlı yöntemlerin üstünlüğü literatürle (tablosal veri için) tutarlıdır.</w:t>
      </w:r>
    </w:p>
    <w:p>
      <w:pPr>
        <w:pStyle w:val="Heading2"/>
        <w:spacing w:after="140" w:before="260"/>
      </w:pPr>
      <w:r>
        <w:t xml:space="preserve">S7: "SHAP analizinizi neden tüm dış test setinde (N=9.329) değil, N=2.000'de yaptınız?"</w:t>
      </w:r>
    </w:p>
    <w:p>
      <w:pPr>
        <w:spacing w:after="140"/>
      </w:pPr>
      <w:r>
        <w:rPr>
          <w:b w:val="false"/>
          <w:bCs w:val="false"/>
          <w:i/>
          <w:iCs/>
        </w:rPr>
        <w:t xml:space="preserve">Cevap: TreeExplainer'ın N=9.329 için hesaplama süresi tek çekirdekli ortamda ~95 dakikadır. Bunun yerine örneklem N=500'den N=2.000'e (4 kat) çıkarılmış VE bağımsız ikinci bir N=500 örneklemiyle çapraz doğrulanmıştır; ilk 5 sıradaki öznitelikler ve göreli büyüklükleri her iki örneklemde de tutarlı çıkmıştır — küresel sıralamanın örnekleme rastlantısına duyarlı olmadığı ampirik olarak gösterilmiştir.</w:t>
      </w:r>
    </w:p>
    <w:p>
      <w:pPr>
        <w:pStyle w:val="Heading2"/>
        <w:spacing w:after="140" w:before="260"/>
      </w:pPr>
      <w:r>
        <w:t xml:space="preserve">S8: "appointment_year'ın en önemli değişken olması, modelin canlı sistemde güvenilir olacağı anlamına mı geliyor?"</w:t>
      </w:r>
    </w:p>
    <w:p>
      <w:pPr>
        <w:spacing w:after="140"/>
      </w:pPr>
      <w:r>
        <w:rPr>
          <w:b w:val="false"/>
          <w:bCs w:val="false"/>
          <w:i/>
          <w:iCs/>
        </w:rPr>
        <w:t xml:space="preserve">Cevap: Hayır, tam tersini işaret ediyor ve bunu makalede açıkça belirtiyoruz: appointment_year'ın baskınlığı, modelin periyodik olarak (örn. yıllık) sızıntısız protokolle yeniden eğitilmesi (re-fit) gerektiğini gösteren bir concept drift uyarı sinyalidir. Bu, Sınırlamalar/Gelecek Çalışma bölümünde ayrı bir alt başlıkla ("Concept Drift ve Model Güncelleme Protokolü") ele alınmıştır.</w:t>
      </w:r>
    </w:p>
    <w:p>
      <w:pPr>
        <w:pStyle w:val="Heading2"/>
        <w:spacing w:after="140" w:before="260"/>
      </w:pPr>
      <w:r>
        <w:t xml:space="preserve">S9 (GÜNCEL, EN KRİTİK): "ROC-AUC=0,8153 rastgele bir bölünmeden geliyor; modelin gerçekten geleceği tahmin ettiğine dair kanıtınız var mı?"</w:t>
      </w:r>
    </w:p>
    <w:p>
      <w:pPr>
        <w:spacing w:after="140"/>
      </w:pPr>
      <w:r>
        <w:rPr>
          <w:b w:val="false"/>
          <w:bCs w:val="false"/>
          <w:i/>
          <w:iCs/>
        </w:rPr>
        <w:t xml:space="preserve">Cevap: Bu soru sorulmadan makale gönderilmemelidir. Gerçek kronolojik doğrulama (2016–2020 eğitim → 2021–2022 test) yapılmış ve ROC-AUC 0,526'ya (yazı-tura seviyesi) düşmüştür; genişleyen pencere ve yakın-geçmiş pencere varyantlarının hiçbiri bunu düzeltmemiştir. Bu, mevcut haliyle modelin prospektif/canlı dağıtım için KANITLANMAMIŞ olduğu anlamına gelir. Makalede bu, gizlenecek bir sonuç değil, ayrı bir bölüm (bkz. Bulgular 3.5) olarak sunulmalı ve modelin katkısı “kesitsel risk faktörü analizi” olarak çerçevelendirilmelidir; “prospektif doğrulanmış CDSS” iddiası kaldırılmalıdır.</w:t>
      </w:r>
    </w:p>
    <w:p>
      <w:pPr>
        <w:pStyle w:val="Heading1"/>
        <w:spacing w:after="200" w:before="300"/>
      </w:pPr>
      <w:r>
        <w:t xml:space="preserve">3. KAÇINILMASI GEREKEN İFADELER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488"/>
        <w:gridCol w:w="4862"/>
      </w:tblGrid>
      <w:tr>
        <w:trPr>
          <w:tblHeader/>
        </w:trPr>
        <w:tc>
          <w:tcPr>
            <w:tcW w:type="dxa" w:w="4488"/>
            <w:shd w:fill="2F5496" w:val="clear"/>
            <w:tcMar>
              <w:top w:type="dxa" w:w="80"/>
              <w:left w:type="dxa" w:w="120"/>
              <w:bottom w:type="dxa" w:w="80"/>
              <w:right w:type="dxa" w:w="120"/>
            </w:tcMar>
          </w:tcPr>
          <w:p>
            <w:pPr>
              <w:jc w:val="center"/>
            </w:pPr>
            <w:r>
              <w:rPr>
                <w:b/>
                <w:bCs/>
                <w:color w:val="FFFFFF"/>
                <w:sz w:val="19"/>
                <w:szCs w:val="19"/>
              </w:rPr>
              <w:t xml:space="preserve">YAZMAYIN</w:t>
            </w:r>
          </w:p>
        </w:tc>
        <w:tc>
          <w:tcPr>
            <w:tcW w:type="dxa" w:w="4862"/>
            <w:shd w:fill="2F5496" w:val="clear"/>
            <w:tcMar>
              <w:top w:type="dxa" w:w="80"/>
              <w:left w:type="dxa" w:w="120"/>
              <w:bottom w:type="dxa" w:w="80"/>
              <w:right w:type="dxa" w:w="120"/>
            </w:tcMar>
          </w:tcPr>
          <w:p>
            <w:pPr>
              <w:jc w:val="center"/>
            </w:pPr>
            <w:r>
              <w:rPr>
                <w:b/>
                <w:bCs/>
                <w:color w:val="FFFFFF"/>
                <w:sz w:val="19"/>
                <w:szCs w:val="19"/>
              </w:rPr>
              <w:t xml:space="preserve">Bunun yerine YAZIN</w:t>
            </w:r>
          </w:p>
        </w:tc>
      </w:tr>
      <w:tr>
        <w:tc>
          <w:tcPr>
            <w:tcW w:type="dxa" w:w="4488"/>
            <w:tcMar>
              <w:top w:type="dxa" w:w="80"/>
              <w:left w:type="dxa" w:w="120"/>
              <w:bottom w:type="dxa" w:w="80"/>
              <w:right w:type="dxa" w:w="120"/>
            </w:tcMar>
          </w:tcPr>
          <w:p>
            <w:pPr>
              <w:jc w:val="left"/>
            </w:pPr>
            <w:r>
              <w:rPr>
                <w:b w:val="false"/>
                <w:bCs w:val="false"/>
                <w:color w:val="000000"/>
                <w:sz w:val="19"/>
                <w:szCs w:val="19"/>
              </w:rPr>
              <w:t xml:space="preserve">"Sistemimiz bekleme süresini %9,4 azaltmaktadır"</w:t>
            </w:r>
          </w:p>
        </w:tc>
        <w:tc>
          <w:tcPr>
            <w:tcW w:type="dxa" w:w="4862"/>
            <w:tcMar>
              <w:top w:type="dxa" w:w="80"/>
              <w:left w:type="dxa" w:w="120"/>
              <w:bottom w:type="dxa" w:w="80"/>
              <w:right w:type="dxa" w:w="120"/>
            </w:tcMar>
          </w:tcPr>
          <w:p>
            <w:pPr>
              <w:jc w:val="left"/>
            </w:pPr>
            <w:r>
              <w:rPr>
                <w:b w:val="false"/>
                <w:bCs w:val="false"/>
                <w:color w:val="000000"/>
                <w:sz w:val="19"/>
                <w:szCs w:val="19"/>
              </w:rPr>
              <w:t xml:space="preserve">"Sistem hekim atıl süresini ortadan kaldırmış (p&lt;0,001) ve hasta hacmini %3,6 artırmıştır (p&lt;0,001); bekleme süresinde anlamlı değişim gözlenmemiştir (p=0,18)"</w:t>
            </w:r>
          </w:p>
        </w:tc>
      </w:tr>
      <w:tr>
        <w:tc>
          <w:tcPr>
            <w:tcW w:type="dxa" w:w="4488"/>
            <w:tcMar>
              <w:top w:type="dxa" w:w="80"/>
              <w:left w:type="dxa" w:w="120"/>
              <w:bottom w:type="dxa" w:w="80"/>
              <w:right w:type="dxa" w:w="120"/>
            </w:tcMar>
          </w:tcPr>
          <w:p>
            <w:pPr>
              <w:jc w:val="left"/>
            </w:pPr>
            <w:r>
              <w:rPr>
                <w:b w:val="false"/>
                <w:bCs w:val="false"/>
                <w:color w:val="000000"/>
                <w:sz w:val="19"/>
                <w:szCs w:val="19"/>
              </w:rPr>
              <w:t xml:space="preserve">"Overfitting tamamen çözülmüştür"</w:t>
            </w:r>
          </w:p>
        </w:tc>
        <w:tc>
          <w:tcPr>
            <w:tcW w:type="dxa" w:w="4862"/>
            <w:tcMar>
              <w:top w:type="dxa" w:w="80"/>
              <w:left w:type="dxa" w:w="120"/>
              <w:bottom w:type="dxa" w:w="80"/>
              <w:right w:type="dxa" w:w="120"/>
            </w:tcMar>
          </w:tcPr>
          <w:p>
            <w:pPr>
              <w:jc w:val="left"/>
            </w:pPr>
            <w:r>
              <w:rPr>
                <w:b w:val="false"/>
                <w:bCs w:val="false"/>
                <w:color w:val="000000"/>
                <w:sz w:val="19"/>
                <w:szCs w:val="19"/>
              </w:rPr>
              <w:t xml:space="preserve">"Regularizasyon, OOB ve dış test performansını iyileştirmiş; Train-Test farkı ölçülü şekilde daralmıştır"</w:t>
            </w:r>
          </w:p>
        </w:tc>
      </w:tr>
      <w:tr>
        <w:tc>
          <w:tcPr>
            <w:tcW w:type="dxa" w:w="4488"/>
            <w:tcMar>
              <w:top w:type="dxa" w:w="80"/>
              <w:left w:type="dxa" w:w="120"/>
              <w:bottom w:type="dxa" w:w="80"/>
              <w:right w:type="dxa" w:w="120"/>
            </w:tcMar>
          </w:tcPr>
          <w:p>
            <w:pPr>
              <w:jc w:val="left"/>
            </w:pPr>
            <w:r>
              <w:rPr>
                <w:b w:val="false"/>
                <w:bCs w:val="false"/>
                <w:color w:val="000000"/>
                <w:sz w:val="19"/>
                <w:szCs w:val="19"/>
              </w:rPr>
              <w:t xml:space="preserve">"appointment_year no-show'a sebep olmaktadır"</w:t>
            </w:r>
          </w:p>
        </w:tc>
        <w:tc>
          <w:tcPr>
            <w:tcW w:type="dxa" w:w="4862"/>
            <w:tcMar>
              <w:top w:type="dxa" w:w="80"/>
              <w:left w:type="dxa" w:w="120"/>
              <w:bottom w:type="dxa" w:w="80"/>
              <w:right w:type="dxa" w:w="120"/>
            </w:tcMar>
          </w:tcPr>
          <w:p>
            <w:pPr>
              <w:jc w:val="left"/>
            </w:pPr>
            <w:r>
              <w:rPr>
                <w:b w:val="false"/>
                <w:bCs w:val="false"/>
                <w:color w:val="000000"/>
                <w:sz w:val="19"/>
                <w:szCs w:val="19"/>
              </w:rPr>
              <w:t xml:space="preserve">"Model, tahmininde en yüksek ağırlığı appointment_year'a vermektedir" (nedensellik değil korelasyon dili)</w:t>
            </w:r>
          </w:p>
        </w:tc>
      </w:tr>
      <w:tr>
        <w:tc>
          <w:tcPr>
            <w:tcW w:type="dxa" w:w="4488"/>
            <w:tcMar>
              <w:top w:type="dxa" w:w="80"/>
              <w:left w:type="dxa" w:w="120"/>
              <w:bottom w:type="dxa" w:w="80"/>
              <w:right w:type="dxa" w:w="120"/>
            </w:tcMar>
          </w:tcPr>
          <w:p>
            <w:pPr>
              <w:jc w:val="left"/>
            </w:pPr>
            <w:r>
              <w:rPr>
                <w:b w:val="false"/>
                <w:bCs w:val="false"/>
                <w:color w:val="000000"/>
                <w:sz w:val="19"/>
                <w:szCs w:val="19"/>
              </w:rPr>
              <w:t xml:space="preserve">"En iyi model kesin olarak Random Forest'tır"</w:t>
            </w:r>
          </w:p>
        </w:tc>
        <w:tc>
          <w:tcPr>
            <w:tcW w:type="dxa" w:w="4862"/>
            <w:tcMar>
              <w:top w:type="dxa" w:w="80"/>
              <w:left w:type="dxa" w:w="120"/>
              <w:bottom w:type="dxa" w:w="80"/>
              <w:right w:type="dxa" w:w="120"/>
            </w:tcMar>
          </w:tcPr>
          <w:p>
            <w:pPr>
              <w:jc w:val="left"/>
            </w:pPr>
            <w:r>
              <w:rPr>
                <w:b w:val="false"/>
                <w:bCs w:val="false"/>
                <w:color w:val="000000"/>
                <w:sz w:val="19"/>
                <w:szCs w:val="19"/>
              </w:rPr>
              <w:t xml:space="preserve">"Random Forest, ROC-AUC/PR-AUC/Brier üçlüsünde ve DeLong testiyle doğrulanmış istatistiksel üstünlükle şampiyon seçilmiştir"</w:t>
            </w:r>
          </w:p>
        </w:tc>
      </w:tr>
      <w:tr>
        <w:tc>
          <w:tcPr>
            <w:tcW w:type="dxa" w:w="4488"/>
            <w:tcMar>
              <w:top w:type="dxa" w:w="80"/>
              <w:left w:type="dxa" w:w="120"/>
              <w:bottom w:type="dxa" w:w="80"/>
              <w:right w:type="dxa" w:w="120"/>
            </w:tcMar>
          </w:tcPr>
          <w:p>
            <w:pPr>
              <w:jc w:val="left"/>
            </w:pPr>
            <w:r>
              <w:rPr>
                <w:b w:val="false"/>
                <w:bCs w:val="false"/>
                <w:color w:val="000000"/>
                <w:sz w:val="19"/>
                <w:szCs w:val="19"/>
              </w:rPr>
              <w:t xml:space="preserve">"Veri setimiz [X ülkesi] için genellenebilir"</w:t>
            </w:r>
          </w:p>
        </w:tc>
        <w:tc>
          <w:tcPr>
            <w:tcW w:type="dxa" w:w="4862"/>
            <w:tcMar>
              <w:top w:type="dxa" w:w="80"/>
              <w:left w:type="dxa" w:w="120"/>
              <w:bottom w:type="dxa" w:w="80"/>
              <w:right w:type="dxa" w:w="120"/>
            </w:tcMar>
          </w:tcPr>
          <w:p>
            <w:pPr>
              <w:jc w:val="left"/>
            </w:pPr>
            <w:r>
              <w:rPr>
                <w:b w:val="false"/>
                <w:bCs w:val="false"/>
                <w:color w:val="000000"/>
                <w:sz w:val="19"/>
                <w:szCs w:val="19"/>
              </w:rPr>
              <w:t xml:space="preserve">"Bulgular tek bir coğrafi bölgeyle sınırlıdır; genellenebilirlik test edilmemiştir"</w:t>
            </w:r>
          </w:p>
        </w:tc>
      </w:tr>
      <w:tr>
        <w:tc>
          <w:tcPr>
            <w:tcW w:type="dxa" w:w="4488"/>
            <w:tcMar>
              <w:top w:type="dxa" w:w="80"/>
              <w:left w:type="dxa" w:w="120"/>
              <w:bottom w:type="dxa" w:w="80"/>
              <w:right w:type="dxa" w:w="120"/>
            </w:tcMar>
          </w:tcPr>
          <w:p>
            <w:pPr>
              <w:jc w:val="left"/>
            </w:pPr>
            <w:r>
              <w:rPr>
                <w:b w:val="false"/>
                <w:bCs w:val="false"/>
                <w:color w:val="000000"/>
                <w:sz w:val="19"/>
                <w:szCs w:val="19"/>
              </w:rPr>
              <w:t xml:space="preserve">"Prospektif olarak doğrulanmış bir CDSS geliştirdik"</w:t>
            </w:r>
          </w:p>
        </w:tc>
        <w:tc>
          <w:tcPr>
            <w:tcW w:type="dxa" w:w="4862"/>
            <w:tcMar>
              <w:top w:type="dxa" w:w="80"/>
              <w:left w:type="dxa" w:w="120"/>
              <w:bottom w:type="dxa" w:w="80"/>
              <w:right w:type="dxa" w:w="120"/>
            </w:tcMar>
          </w:tcPr>
          <w:p>
            <w:pPr>
              <w:jc w:val="left"/>
            </w:pPr>
            <w:r>
              <w:rPr>
                <w:b w:val="false"/>
                <w:bCs w:val="false"/>
                <w:color w:val="000000"/>
                <w:sz w:val="19"/>
                <w:szCs w:val="19"/>
              </w:rPr>
              <w:t xml:space="preserve">"Model, mevcut haliyle kesitsel/retrospektif risk faktörü analizi için geçerlidir; prospektif geçerlilik test edilmiş ve doğrulanamamıştır (bkz. Bölüm 3.5)"</w:t>
            </w:r>
          </w:p>
        </w:tc>
      </w:tr>
    </w:tbl>
    <w:p>
      <w:pPr>
        <w:pStyle w:val="Heading1"/>
        <w:spacing w:after="200" w:before="300"/>
      </w:pPr>
      <w:r>
        <w:t xml:space="preserve">4. SUNUM/SAVUNMA SIRASINDA STRATEJİ</w:t>
      </w:r>
    </w:p>
    <w:p>
      <w:pPr>
        <w:pStyle w:val="ListParagraph"/>
        <w:numPr>
          <w:ilvl w:val="0"/>
          <w:numId w:val="1"/>
        </w:numPr>
        <w:spacing w:after="80"/>
      </w:pPr>
      <w:r>
        <w:t xml:space="preserve">Zayıf noktayı hakem sormadan siz söyleyin — "biz de bunu fark ettik, şöyle test ettik" cümlesi, "bunu düşünmemiştik" izleniminden çok daha güçlüdür.</w:t>
      </w:r>
    </w:p>
    <w:p>
      <w:pPr>
        <w:pStyle w:val="ListParagraph"/>
        <w:numPr>
          <w:ilvl w:val="0"/>
          <w:numId w:val="1"/>
        </w:numPr>
        <w:spacing w:after="80"/>
      </w:pPr>
      <w:r>
        <w:t xml:space="preserve">Her sayısal iddianın yanına p-değeri veya güven aralığı ekleyin; "iyileşti" gibi niteliksel ifadeler tek başına bırakılmamalı.</w:t>
      </w:r>
    </w:p>
    <w:p>
      <w:pPr>
        <w:pStyle w:val="ListParagraph"/>
        <w:numPr>
          <w:ilvl w:val="0"/>
          <w:numId w:val="1"/>
        </w:numPr>
        <w:spacing w:after="80"/>
      </w:pPr>
      <w:r>
        <w:t xml:space="preserve">Rakamlar arasında en ufak bir tutarsızlık (örn. bir tabloda 0,7934 başka yerde 0,79) fark edilirse tüm çalışmanın güvenilirliği sorgulanır — makalenin son halini teslim etmeden önce tüm rakamları script çıktılarıyla tek tek çapraz kontrol edin.</w:t>
      </w:r>
    </w:p>
    <w:p>
      <w:pPr>
        <w:pStyle w:val="ListParagraph"/>
        <w:numPr>
          <w:ilvl w:val="0"/>
          <w:numId w:val="1"/>
        </w:numPr>
        <w:spacing w:after="80"/>
      </w:pPr>
      <w:r>
        <w:t xml:space="preserve">"Sınırlamalar" bölümünü savunmacı değil, sistematik tutun: her sınırlama için (a) ne test edildi, (b) neden hâlâ sınırlama olarak kaldığı, (c) gelecek çalışma önerisi — üç cümlelik bir kalıp kullanın.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2026-08-03T09:56:59.838Z</dcterms:created>
  <dcterms:modified xsi:type="dcterms:W3CDTF">2026-08-03T09:56:59.838Z</dcterms:modified>
</cp:coreProperties>
</file>

<file path=docProps/custom.xml><?xml version="1.0" encoding="utf-8"?>
<Properties xmlns="http://schemas.openxmlformats.org/officeDocument/2006/custom-properties" xmlns:vt="http://schemas.openxmlformats.org/officeDocument/2006/docPropsVTypes"/>
</file>