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jc w:val="center"/>
      </w:pPr>
      <w:r>
        <w:rPr>
          <w:b/>
          <w:bCs/>
          <w:sz w:val="30"/>
          <w:szCs w:val="30"/>
        </w:rPr>
        <w:t xml:space="preserve">Hasta Randevu Devamsızlığı (No-Show) Tahmininde Performans Düşüşünün Ayrıştırılması: Hasta Sızıntısı ve Zamansal Kayma Bileşenleri Üzerine Bir Vaka Çalışması</w:t>
      </w:r>
    </w:p>
    <w:p>
      <w:pPr>
        <w:spacing w:after="150" w:line="274"/>
        <w:jc w:val="center"/>
      </w:pPr>
      <w:r>
        <w:rPr>
          <w:b w:val="false"/>
          <w:bCs w:val="false"/>
          <w:i/>
          <w:iCs/>
          <w:sz w:val="22"/>
          <w:szCs w:val="22"/>
        </w:rPr>
        <w:t xml:space="preserve">Rastgele, Hasta-Ayrık ve Kronolojik Doğrulama Stratejilerinin Raporlanan Performans Üzerindeki Etkisi</w:t>
      </w:r>
    </w:p>
    <w:p>
      <w:pPr>
        <w:spacing w:after="110"/>
        <w:jc w:val="center"/>
      </w:pPr>
      <w:r>
        <w:rPr>
          <w:sz w:val="20"/>
          <w:szCs w:val="20"/>
        </w:rPr>
        <w:t xml:space="preserve">Aylin Cer¹, [İkinci Yazar]², [Danışman]³</w:t>
      </w:r>
    </w:p>
    <w:p>
      <w:pPr>
        <w:spacing w:after="300"/>
        <w:jc w:val="center"/>
      </w:pPr>
      <w:r>
        <w:rPr>
          <w:i/>
          <w:iCs/>
          <w:sz w:val="18"/>
          <w:szCs w:val="18"/>
        </w:rPr>
        <w:t xml:space="preserve">¹ ² ³ [Kurum / Bölüm bilgileri]  |  Sorumlu yazar: [e-posta]</w:t>
      </w:r>
    </w:p>
    <w:p>
      <w:pPr>
        <w:pStyle w:val="Heading1"/>
        <w:spacing w:after="150" w:before="300"/>
      </w:pPr>
      <w:r>
        <w:t xml:space="preserve">Öz</w:t>
      </w:r>
    </w:p>
    <w:p>
      <w:pPr>
        <w:spacing w:after="110" w:line="274"/>
        <w:jc w:val="both"/>
      </w:pPr>
      <w:r>
        <w:rPr>
          <w:b/>
          <w:bCs/>
        </w:rPr>
        <w:t xml:space="preserve">Amaç: </w:t>
      </w:r>
      <w:r>
        <w:t xml:space="preserve">Sağlık hizmetlerinde randevu devamsızlığı (no-show) önemli bir operasyonel sorundur. Bu çalışma, çok yıllı (2016–2022) bir rehabilitasyon merkezi verisinde makine öğrenmesi tabanlı bir devamsızlık tahmin modeli geliştirmeyi ve —literatürdeki yaygın uygulamanın aksine— modelin performansını üç farklı doğrulama stratejisiyle (rastgele, hasta-ayrık ve kronolojik) karşılaştırarak raporlanan başarının ne kadarının gerçek genelleme, ne kadarının veri sızıntısı kaynaklı olduğunu ayrıştırmayı amaçlamaktadır.</w:t>
      </w:r>
    </w:p>
    <w:p>
      <w:pPr>
        <w:spacing w:after="110" w:line="274"/>
        <w:jc w:val="both"/>
      </w:pPr>
      <w:r>
        <w:rPr>
          <w:b/>
          <w:bCs/>
        </w:rPr>
        <w:t xml:space="preserve">Yöntem: </w:t>
      </w:r>
      <w:r>
        <w:t xml:space="preserve">46.641 randevu kaydı, veri sızıntısını önleyecek biçimde (tüm ön işleme parametreleri yalnızca eğitim setinden öğrenilerek) işlenmiştir. Dört topluluk algoritması eşit koşullarda ve yalnızca eğitim seti üzerinde çapraz doğrulama ile optimize edilmiş; sınıflandırma eşiği de eğitim setinde seçilip test setine sabit uygulanmıştır. Şampiyon model, saklı dış test setinde tek kez değerlendirilmiştir. Performans üç bölme stratejisiyle ölçülmüştür: (i) satır-rastgele, (ii) hasta-ayrık (GroupShuffleSplit, vekil hasta kimliğine göre gruplanmış) ve (iii) kronolojik (2016–2020 → 2021–2022). Her strateji, türetilmiş vekil hasta geçmişi öznitelikleriyle ve onlarsız tekrarlanmıştır.</w:t>
      </w:r>
    </w:p>
    <w:p>
      <w:pPr>
        <w:spacing w:after="110" w:line="274"/>
        <w:jc w:val="both"/>
      </w:pPr>
      <w:r>
        <w:rPr>
          <w:b/>
          <w:bCs/>
        </w:rPr>
        <w:t xml:space="preserve">Bulgular: </w:t>
      </w:r>
      <w:r>
        <w:t xml:space="preserve">Şampiyon model (Random Forest), satır-rastgele bölünmede ROC-AUC=0,775 (%95 GA 0,760–0,791) elde etmiştir. Aynı model, hasta-ayrık bölünmede 0,658'e (0,638–0,677), gerçek kronolojik bölünmede ise 0,548'e (0,532–0,563) gerilemiştir. Böylece toplam 0,227'lik düşüşün yaklaşık yarısı (−0,117) hasta sızıntısına, diğer yarısı (−0,110) zamansal kaymaya atfedilebilmektedir. Türetilmiş hasta geçmişi öznitelikleri hiçbir stratejide performansı iyileştirmemiştir. Kronolojik çöküşün mekanizması; no-show taban oranının yıllar içinde %4,0'tan %20,4'e monoton artışı (prior/label shift), modelin ortalama tahmininin gerçek tabanın üzerinde kalması (kalibrasyon bozulması) ve takvim özniteliklerine bağımlılık ile açıklanmıştır.</w:t>
      </w:r>
    </w:p>
    <w:p>
      <w:pPr>
        <w:spacing w:after="110" w:line="274"/>
        <w:jc w:val="both"/>
      </w:pPr>
      <w:r>
        <w:rPr>
          <w:b/>
          <w:bCs/>
        </w:rPr>
        <w:t xml:space="preserve">Sonuç: </w:t>
      </w:r>
      <w:r>
        <w:t xml:space="preserve">Devamsızlık tahmininde rastgele bölünmeyle raporlanan yüksek performanslar iki ayrı iyimserlik kaynağı içermektedir: hasta sızıntısı ve zamansal kaymanın göz ardı edilmesi. Bulgular, klinik tahmin modeli literatüründe hem hasta-ayrık hem kronolojik doğrulamanın rutin olarak raporlanması gerektiğini vurgulamaktadır.</w:t>
      </w:r>
    </w:p>
    <w:p>
      <w:pPr>
        <w:spacing w:after="110" w:line="274"/>
        <w:jc w:val="both"/>
      </w:pPr>
      <w:r>
        <w:rPr>
          <w:b/>
          <w:bCs/>
        </w:rPr>
        <w:t xml:space="preserve">Anahtar Kelimeler: </w:t>
      </w:r>
      <w:r>
        <w:t xml:space="preserve">randevu devamsızlığı, no-show, makine öğrenmesi, veri sızıntısı, hasta-ayrık doğrulama, kronolojik doğrulama, veri kayması, Random Forest</w:t>
      </w:r>
    </w:p>
    <w:p>
      <w:r>
        <w:br w:type="page"/>
      </w:r>
    </w:p>
    <w:p>
      <w:pPr>
        <w:pStyle w:val="Heading1"/>
        <w:spacing w:after="150" w:before="300"/>
      </w:pPr>
      <w:r>
        <w:t xml:space="preserve">1. Giriş</w:t>
      </w:r>
    </w:p>
    <w:p>
      <w:pPr>
        <w:spacing w:after="150" w:line="274"/>
        <w:jc w:val="both"/>
      </w:pPr>
      <w:r>
        <w:rPr>
          <w:b w:val="false"/>
          <w:bCs w:val="false"/>
          <w:i w:val="false"/>
          <w:iCs w:val="false"/>
        </w:rPr>
        <w:t xml:space="preserve">Hasta randevu devamsızlığı (no-show), planlanan bir randevuya hastanın önceden haber vermeksizin gelmemesidir ve sağlık sistemlerinde hekim atıl zamanına, bekleme listelerinin uzamasına ve kaynak israfına yol açan yaygın bir operasyonel sorundur. Bu nedenle devamsızlığın önceden tahmini, aşırı rezervasyon ve hatırlatma sistemleri gibi müdahaleleri hedeflemek için önemli bir karar destek aracı olarak görülmektedir.</w:t>
      </w:r>
    </w:p>
    <w:p>
      <w:pPr>
        <w:spacing w:after="150" w:line="274"/>
        <w:jc w:val="both"/>
      </w:pPr>
      <w:r>
        <w:rPr>
          <w:b w:val="false"/>
          <w:bCs w:val="false"/>
          <w:i w:val="false"/>
          <w:iCs w:val="false"/>
        </w:rPr>
        <w:t xml:space="preserve">Son on yılda makine öğrenmesi yöntemleri devamsızlık tahmini için yoğun biçimde uygulanmış ve birçok çalışma yüksek ayırt edicilik değerleri raporlamıştır. Ancak bu literatürün büyük bölümü performansı değerlendirirken verinin rastgele bölünmesine dayanmaktadır. Rastgele bölünmenin iki gizli iyimserlik kaynağı vardır. Birincisi, aynı hastanın farklı randevuları hem eğitim hem test setine düşebildiğinden model hasta-düzeyi eğilimleri ezberleyebilir (hasta sızıntısı). İkincisi, farklı dönemlere ait kayıtlar karıştığından, devamsızlık davranışı zamanla değişiyorsa model gelecekteki dağılımı önceden görmüş olur (zamansal kayma).</w:t>
      </w:r>
    </w:p>
    <w:p>
      <w:pPr>
        <w:spacing w:after="150" w:line="274"/>
        <w:jc w:val="both"/>
      </w:pPr>
      <w:r>
        <w:rPr>
          <w:b w:val="false"/>
          <w:bCs w:val="false"/>
          <w:i w:val="false"/>
          <w:iCs w:val="false"/>
        </w:rPr>
        <w:t xml:space="preserve">Klinik tahmin modelleri metodolojisinde, bir modelin gerçek dünya faydasının ancak zamansal veya dış doğrulama ile ortaya konabileceği vurgulanmaktadır. Buna karşın devamsızlık tahmini literatüründe ne kronolojik doğrulama ne de hasta-ayrık doğrulama yaygın olarak raporlanmaktadır. Dahası, bu iki iyimserlik kaynağını birbirinden ayıran bir çalışma bilgimiz dahilinde bulunmamaktadır.</w:t>
      </w:r>
    </w:p>
    <w:p>
      <w:pPr>
        <w:spacing w:after="150" w:line="274"/>
        <w:jc w:val="both"/>
      </w:pPr>
      <w:r>
        <w:rPr>
          <w:b w:val="false"/>
          <w:bCs w:val="false"/>
          <w:i w:val="false"/>
          <w:iCs w:val="false"/>
        </w:rPr>
        <w:t xml:space="preserve">Bu çalışma, tek bir rehabilitasyon merkezine ait çok yıllı (2016–2022) gerçek veri üzerinde bu boşluğu doğrudan ele almaktadır. Katkılarımız: (i) veri sızıntısına karşı titiz bir metodoloji (ön işleme yalnızca eğitimden öğrenilir, model ve eşik seçimi test setinden izole edilir, tüm algoritmalar eşit optimize edilir); (ii) aynı model ve veride satır-rastgele, hasta-ayrık ve kronolojik doğrulamanın doğrudan karşılaştırılması ve performans düşüşünün hasta-sızıntısı ile zamansal-kayma bileşenlerine ayrıştırılması; (iii) çöküş mekanizmasının prior kayması, kalibrasyon bozulması ve takvim bağımlılığı olarak nicelleştirilmesi.</w:t>
      </w:r>
    </w:p>
    <w:p>
      <w:pPr>
        <w:spacing w:after="150" w:line="274"/>
        <w:jc w:val="both"/>
      </w:pPr>
      <w:r>
        <w:rPr>
          <w:b w:val="false"/>
          <w:bCs w:val="false"/>
          <w:i w:val="false"/>
          <w:iCs w:val="false"/>
        </w:rPr>
        <w:t xml:space="preserve">Çalışmanın geri kalanı şu şekilde düzenlenmiştir: İkinci bölümde ilgili literatür, üçüncü bölümde veri ve yöntem, dördüncü bölümde bulgular, beşinci bölümde tartışma, altıncı bölümde sınırlamalar ve yedinci bölümde sonuç sunulmaktadır.</w:t>
      </w:r>
    </w:p>
    <w:p>
      <w:r>
        <w:br w:type="page"/>
      </w:r>
    </w:p>
    <w:p>
      <w:pPr>
        <w:pStyle w:val="Heading1"/>
        <w:spacing w:after="150" w:before="300"/>
      </w:pPr>
      <w:r>
        <w:t xml:space="preserve">2. İlgili Çalışmalar</w:t>
      </w:r>
    </w:p>
    <w:p>
      <w:pPr>
        <w:pStyle w:val="Heading2"/>
        <w:spacing w:after="110" w:before="220"/>
      </w:pPr>
      <w:r>
        <w:t xml:space="preserve">2.1 Makine Öğrenmesiyle Devamsızlık Tahmini</w:t>
      </w:r>
    </w:p>
    <w:p>
      <w:pPr>
        <w:spacing w:after="150" w:line="274"/>
        <w:jc w:val="both"/>
      </w:pPr>
      <w:r>
        <w:rPr>
          <w:b w:val="false"/>
          <w:bCs w:val="false"/>
          <w:i w:val="false"/>
          <w:iCs w:val="false"/>
        </w:rPr>
        <w:t xml:space="preserve">Randevu devamsızlığının makine öğrenmesiyle tahmini son on yılda genişleyen bir alandır. Çalışmalar farklı klinik bağlamlarda ve ülkelerde yürütülmüş; genel olarak ROC-AUC 0,70–0,90 aralığında performanslar raporlanmıştır. Bu literatürde tekrarlanan önemli bir bulgu, hastanın geçmiş devamsızlık davranışının en güçlü tek tahmin edici olmasıdır; ancak hasta düzeyinde geçmiş bilgisinin bulunmadığı veri setlerinde bu sinyal kullanılamamakta ve performans yapısal olarak sınırlanmaktadır.</w:t>
      </w:r>
    </w:p>
    <w:p>
      <w:pPr>
        <w:pStyle w:val="Heading2"/>
        <w:spacing w:after="110" w:before="220"/>
      </w:pPr>
      <w:r>
        <w:t xml:space="preserve">2.2 Veri Sızıntısı ve Tekrarlanabilirlik</w:t>
      </w:r>
    </w:p>
    <w:p>
      <w:pPr>
        <w:spacing w:after="150" w:line="274"/>
        <w:jc w:val="both"/>
      </w:pPr>
      <w:r>
        <w:rPr>
          <w:b w:val="false"/>
          <w:bCs w:val="false"/>
          <w:i w:val="false"/>
          <w:iCs w:val="false"/>
        </w:rPr>
        <w:t xml:space="preserve">Makine öğrenmesi uygulamalarında veri sızıntısı, test bilgisinin eğitim sürecine istemsizce dahil olması ve performansın olduğundan yüksek raporlanmasıdır. Sağlık alanındaki tahmin modellerinde sızıntı; ön işleme parametrelerinin tüm veriden öğrenilmesi, model veya eşik seçiminin test setinde yapılması, geleceğe ait bilginin özniteliklere sızması ya da aynı bireyin hem eğitim hem test setinde bulunması (hasta/grup sızıntısı) biçiminde ortaya çıkabilir.</w:t>
      </w:r>
    </w:p>
    <w:p>
      <w:pPr>
        <w:pStyle w:val="Heading2"/>
        <w:spacing w:after="110" w:before="220"/>
      </w:pPr>
      <w:r>
        <w:t xml:space="preserve">2.3 Zamansal Kayma ve Doğrulama Stratejisi</w:t>
      </w:r>
    </w:p>
    <w:p>
      <w:pPr>
        <w:spacing w:after="150" w:line="274"/>
        <w:jc w:val="both"/>
      </w:pPr>
      <w:r>
        <w:rPr>
          <w:b w:val="false"/>
          <w:bCs w:val="false"/>
          <w:i w:val="false"/>
          <w:iCs w:val="false"/>
        </w:rPr>
        <w:t xml:space="preserve">Klinik tahmin modellerinin performansı, veri kayması (dataset shift) nedeniyle zaman içinde bozulabilir. Metodoloji literatürü, genellenebilirliğin ancak zamansal veya dış doğrulama ile ortaya konabileceğini vurgular. Devamsızlık tahmini özelinde bu tür doğrulamalar nadiren raporlanmaktadır; bu çalışmanın temel motivasyonu bu boşluktur.</w:t>
      </w:r>
    </w:p>
    <w:p>
      <w:pPr>
        <w:spacing w:after="70" w:before="60"/>
      </w:pPr>
      <w:r>
        <w:rPr>
          <w:b/>
          <w:bCs/>
          <w:sz w:val="17"/>
          <w:szCs w:val="17"/>
        </w:rPr>
        <w:t xml:space="preserve">Tablo 1. Bu çalışmanın literatürdeki boşluğa göre konumu.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3740"/>
        <w:gridCol w:w="3553"/>
      </w:tblGrid>
      <w:tr>
        <w:trPr>
          <w:tblHeader/>
        </w:trPr>
        <w:tc>
          <w:tcPr>
            <w:tcW w:type="dxa" w:w="2057"/>
            <w:shd w:fill="2F5496" w:val="clear"/>
            <w:tcMar>
              <w:top w:type="dxa" w:w="60"/>
              <w:left w:type="dxa" w:w="100"/>
              <w:bottom w:type="dxa" w:w="60"/>
              <w:right w:type="dxa" w:w="100"/>
            </w:tcMar>
          </w:tcPr>
          <w:p>
            <w:pPr>
              <w:jc w:val="center"/>
            </w:pPr>
            <w:r>
              <w:rPr>
                <w:b/>
                <w:bCs/>
                <w:color w:val="FFFFFF"/>
                <w:sz w:val="17"/>
                <w:szCs w:val="17"/>
              </w:rPr>
              <w:t xml:space="preserve">Konu</w:t>
            </w:r>
          </w:p>
        </w:tc>
        <w:tc>
          <w:tcPr>
            <w:tcW w:type="dxa" w:w="3740"/>
            <w:shd w:fill="2F5496" w:val="clear"/>
            <w:tcMar>
              <w:top w:type="dxa" w:w="60"/>
              <w:left w:type="dxa" w:w="100"/>
              <w:bottom w:type="dxa" w:w="60"/>
              <w:right w:type="dxa" w:w="100"/>
            </w:tcMar>
          </w:tcPr>
          <w:p>
            <w:pPr>
              <w:jc w:val="center"/>
            </w:pPr>
            <w:r>
              <w:rPr>
                <w:b/>
                <w:bCs/>
                <w:color w:val="FFFFFF"/>
                <w:sz w:val="17"/>
                <w:szCs w:val="17"/>
              </w:rPr>
              <w:t xml:space="preserve">Literatürdeki Yaygın Uygulama</w:t>
            </w:r>
          </w:p>
        </w:tc>
        <w:tc>
          <w:tcPr>
            <w:tcW w:type="dxa" w:w="3553"/>
            <w:shd w:fill="2F5496" w:val="clear"/>
            <w:tcMar>
              <w:top w:type="dxa" w:w="60"/>
              <w:left w:type="dxa" w:w="100"/>
              <w:bottom w:type="dxa" w:w="60"/>
              <w:right w:type="dxa" w:w="100"/>
            </w:tcMar>
          </w:tcPr>
          <w:p>
            <w:pPr>
              <w:jc w:val="center"/>
            </w:pPr>
            <w:r>
              <w:rPr>
                <w:b/>
                <w:bCs/>
                <w:color w:val="FFFFFF"/>
                <w:sz w:val="17"/>
                <w:szCs w:val="17"/>
              </w:rPr>
              <w:t xml:space="preserve">Bu Çalışma</w:t>
            </w:r>
          </w:p>
        </w:tc>
      </w:tr>
      <w:tr>
        <w:tc>
          <w:tcPr>
            <w:tcW w:type="dxa" w:w="2057"/>
            <w:tcMar>
              <w:top w:type="dxa" w:w="60"/>
              <w:left w:type="dxa" w:w="100"/>
              <w:bottom w:type="dxa" w:w="60"/>
              <w:right w:type="dxa" w:w="100"/>
            </w:tcMar>
          </w:tcPr>
          <w:p>
            <w:pPr>
              <w:jc w:val="left"/>
            </w:pPr>
            <w:r>
              <w:rPr>
                <w:b w:val="false"/>
                <w:bCs w:val="false"/>
                <w:color w:val="000000"/>
                <w:sz w:val="17"/>
                <w:szCs w:val="17"/>
              </w:rPr>
              <w:t xml:space="preserve">Doğrulama stratejisi</w:t>
            </w:r>
          </w:p>
        </w:tc>
        <w:tc>
          <w:tcPr>
            <w:tcW w:type="dxa" w:w="3740"/>
            <w:tcMar>
              <w:top w:type="dxa" w:w="60"/>
              <w:left w:type="dxa" w:w="100"/>
              <w:bottom w:type="dxa" w:w="60"/>
              <w:right w:type="dxa" w:w="100"/>
            </w:tcMar>
          </w:tcPr>
          <w:p>
            <w:pPr>
              <w:jc w:val="center"/>
            </w:pPr>
            <w:r>
              <w:rPr>
                <w:b w:val="false"/>
                <w:bCs w:val="false"/>
                <w:color w:val="000000"/>
                <w:sz w:val="17"/>
                <w:szCs w:val="17"/>
              </w:rPr>
              <w:t xml:space="preserve">Çoğunlukla satır-rastgele</w:t>
            </w:r>
          </w:p>
        </w:tc>
        <w:tc>
          <w:tcPr>
            <w:tcW w:type="dxa" w:w="3553"/>
            <w:tcMar>
              <w:top w:type="dxa" w:w="60"/>
              <w:left w:type="dxa" w:w="100"/>
              <w:bottom w:type="dxa" w:w="60"/>
              <w:right w:type="dxa" w:w="100"/>
            </w:tcMar>
          </w:tcPr>
          <w:p>
            <w:pPr>
              <w:jc w:val="center"/>
            </w:pPr>
            <w:r>
              <w:rPr>
                <w:b w:val="false"/>
                <w:bCs w:val="false"/>
                <w:color w:val="000000"/>
                <w:sz w:val="17"/>
                <w:szCs w:val="17"/>
              </w:rPr>
              <w:t xml:space="preserve">Satır-rastgele + hasta-ayrık + kronolojik</w:t>
            </w:r>
          </w:p>
        </w:tc>
      </w:tr>
      <w:tr>
        <w:tc>
          <w:tcPr>
            <w:tcW w:type="dxa" w:w="2057"/>
            <w:tcMar>
              <w:top w:type="dxa" w:w="60"/>
              <w:left w:type="dxa" w:w="100"/>
              <w:bottom w:type="dxa" w:w="60"/>
              <w:right w:type="dxa" w:w="100"/>
            </w:tcMar>
          </w:tcPr>
          <w:p>
            <w:pPr>
              <w:jc w:val="left"/>
            </w:pPr>
            <w:r>
              <w:rPr>
                <w:b w:val="false"/>
                <w:bCs w:val="false"/>
                <w:color w:val="000000"/>
                <w:sz w:val="17"/>
                <w:szCs w:val="17"/>
              </w:rPr>
              <w:t xml:space="preserve">Düşüşün kaynağı</w:t>
            </w:r>
          </w:p>
        </w:tc>
        <w:tc>
          <w:tcPr>
            <w:tcW w:type="dxa" w:w="3740"/>
            <w:tcMar>
              <w:top w:type="dxa" w:w="60"/>
              <w:left w:type="dxa" w:w="100"/>
              <w:bottom w:type="dxa" w:w="60"/>
              <w:right w:type="dxa" w:w="100"/>
            </w:tcMar>
          </w:tcPr>
          <w:p>
            <w:pPr>
              <w:jc w:val="center"/>
            </w:pPr>
            <w:r>
              <w:rPr>
                <w:b w:val="false"/>
                <w:bCs w:val="false"/>
                <w:color w:val="000000"/>
                <w:sz w:val="17"/>
                <w:szCs w:val="17"/>
              </w:rPr>
              <w:t xml:space="preserve">Ayrıştırılmaz</w:t>
            </w:r>
          </w:p>
        </w:tc>
        <w:tc>
          <w:tcPr>
            <w:tcW w:type="dxa" w:w="3553"/>
            <w:tcMar>
              <w:top w:type="dxa" w:w="60"/>
              <w:left w:type="dxa" w:w="100"/>
              <w:bottom w:type="dxa" w:w="60"/>
              <w:right w:type="dxa" w:w="100"/>
            </w:tcMar>
          </w:tcPr>
          <w:p>
            <w:pPr>
              <w:jc w:val="center"/>
            </w:pPr>
            <w:r>
              <w:rPr>
                <w:b w:val="false"/>
                <w:bCs w:val="false"/>
                <w:color w:val="000000"/>
                <w:sz w:val="17"/>
                <w:szCs w:val="17"/>
              </w:rPr>
              <w:t xml:space="preserve">Hasta sızıntısı vs zamansal kayma ayrımı</w:t>
            </w:r>
          </w:p>
        </w:tc>
      </w:tr>
      <w:tr>
        <w:tc>
          <w:tcPr>
            <w:tcW w:type="dxa" w:w="2057"/>
            <w:tcMar>
              <w:top w:type="dxa" w:w="60"/>
              <w:left w:type="dxa" w:w="100"/>
              <w:bottom w:type="dxa" w:w="60"/>
              <w:right w:type="dxa" w:w="100"/>
            </w:tcMar>
          </w:tcPr>
          <w:p>
            <w:pPr>
              <w:jc w:val="left"/>
            </w:pPr>
            <w:r>
              <w:rPr>
                <w:b w:val="false"/>
                <w:bCs w:val="false"/>
                <w:color w:val="000000"/>
                <w:sz w:val="17"/>
                <w:szCs w:val="17"/>
              </w:rPr>
              <w:t xml:space="preserve">Eşik seçimi</w:t>
            </w:r>
          </w:p>
        </w:tc>
        <w:tc>
          <w:tcPr>
            <w:tcW w:type="dxa" w:w="3740"/>
            <w:tcMar>
              <w:top w:type="dxa" w:w="60"/>
              <w:left w:type="dxa" w:w="100"/>
              <w:bottom w:type="dxa" w:w="60"/>
              <w:right w:type="dxa" w:w="100"/>
            </w:tcMar>
          </w:tcPr>
          <w:p>
            <w:pPr>
              <w:jc w:val="center"/>
            </w:pPr>
            <w:r>
              <w:rPr>
                <w:b w:val="false"/>
                <w:bCs w:val="false"/>
                <w:color w:val="000000"/>
                <w:sz w:val="17"/>
                <w:szCs w:val="17"/>
              </w:rPr>
              <w:t xml:space="preserve">Sıklıkla test setinde</w:t>
            </w:r>
          </w:p>
        </w:tc>
        <w:tc>
          <w:tcPr>
            <w:tcW w:type="dxa" w:w="3553"/>
            <w:tcMar>
              <w:top w:type="dxa" w:w="60"/>
              <w:left w:type="dxa" w:w="100"/>
              <w:bottom w:type="dxa" w:w="60"/>
              <w:right w:type="dxa" w:w="100"/>
            </w:tcMar>
          </w:tcPr>
          <w:p>
            <w:pPr>
              <w:jc w:val="center"/>
            </w:pPr>
            <w:r>
              <w:rPr>
                <w:b w:val="false"/>
                <w:bCs w:val="false"/>
                <w:color w:val="000000"/>
                <w:sz w:val="17"/>
                <w:szCs w:val="17"/>
              </w:rPr>
              <w:t xml:space="preserve">Yalnızca eğitim setinde, test'e sabit</w:t>
            </w:r>
          </w:p>
        </w:tc>
      </w:tr>
      <w:tr>
        <w:tc>
          <w:tcPr>
            <w:tcW w:type="dxa" w:w="2057"/>
            <w:tcMar>
              <w:top w:type="dxa" w:w="60"/>
              <w:left w:type="dxa" w:w="100"/>
              <w:bottom w:type="dxa" w:w="60"/>
              <w:right w:type="dxa" w:w="100"/>
            </w:tcMar>
          </w:tcPr>
          <w:p>
            <w:pPr>
              <w:jc w:val="left"/>
            </w:pPr>
            <w:r>
              <w:rPr>
                <w:b w:val="false"/>
                <w:bCs w:val="false"/>
                <w:color w:val="000000"/>
                <w:sz w:val="17"/>
                <w:szCs w:val="17"/>
              </w:rPr>
              <w:t xml:space="preserve">Model seçimi</w:t>
            </w:r>
          </w:p>
        </w:tc>
        <w:tc>
          <w:tcPr>
            <w:tcW w:type="dxa" w:w="3740"/>
            <w:tcMar>
              <w:top w:type="dxa" w:w="60"/>
              <w:left w:type="dxa" w:w="100"/>
              <w:bottom w:type="dxa" w:w="60"/>
              <w:right w:type="dxa" w:w="100"/>
            </w:tcMar>
          </w:tcPr>
          <w:p>
            <w:pPr>
              <w:jc w:val="center"/>
            </w:pPr>
            <w:r>
              <w:rPr>
                <w:b w:val="false"/>
                <w:bCs w:val="false"/>
                <w:color w:val="000000"/>
                <w:sz w:val="17"/>
                <w:szCs w:val="17"/>
              </w:rPr>
              <w:t xml:space="preserve">Sıklıkla test setinde</w:t>
            </w:r>
          </w:p>
        </w:tc>
        <w:tc>
          <w:tcPr>
            <w:tcW w:type="dxa" w:w="3553"/>
            <w:tcMar>
              <w:top w:type="dxa" w:w="60"/>
              <w:left w:type="dxa" w:w="100"/>
              <w:bottom w:type="dxa" w:w="60"/>
              <w:right w:type="dxa" w:w="100"/>
            </w:tcMar>
          </w:tcPr>
          <w:p>
            <w:pPr>
              <w:jc w:val="center"/>
            </w:pPr>
            <w:r>
              <w:rPr>
                <w:b w:val="false"/>
                <w:bCs w:val="false"/>
                <w:color w:val="000000"/>
                <w:sz w:val="17"/>
                <w:szCs w:val="17"/>
              </w:rPr>
              <w:t xml:space="preserve">Yalnızca eğitim + çapraz doğrulama</w:t>
            </w:r>
          </w:p>
        </w:tc>
      </w:tr>
      <w:tr>
        <w:tc>
          <w:tcPr>
            <w:tcW w:type="dxa" w:w="2057"/>
            <w:tcMar>
              <w:top w:type="dxa" w:w="60"/>
              <w:left w:type="dxa" w:w="100"/>
              <w:bottom w:type="dxa" w:w="60"/>
              <w:right w:type="dxa" w:w="100"/>
            </w:tcMar>
          </w:tcPr>
          <w:p>
            <w:pPr>
              <w:jc w:val="left"/>
            </w:pPr>
            <w:r>
              <w:rPr>
                <w:b w:val="false"/>
                <w:bCs w:val="false"/>
                <w:color w:val="000000"/>
                <w:sz w:val="17"/>
                <w:szCs w:val="17"/>
              </w:rPr>
              <w:t xml:space="preserve">Performansın yorumu</w:t>
            </w:r>
          </w:p>
        </w:tc>
        <w:tc>
          <w:tcPr>
            <w:tcW w:type="dxa" w:w="3740"/>
            <w:tcMar>
              <w:top w:type="dxa" w:w="60"/>
              <w:left w:type="dxa" w:w="100"/>
              <w:bottom w:type="dxa" w:w="60"/>
              <w:right w:type="dxa" w:w="100"/>
            </w:tcMar>
          </w:tcPr>
          <w:p>
            <w:pPr>
              <w:jc w:val="center"/>
            </w:pPr>
            <w:r>
              <w:rPr>
                <w:b w:val="false"/>
                <w:bCs w:val="false"/>
                <w:color w:val="000000"/>
                <w:sz w:val="17"/>
                <w:szCs w:val="17"/>
              </w:rPr>
              <w:t xml:space="preserve">Tek (iyimser) sayı</w:t>
            </w:r>
          </w:p>
        </w:tc>
        <w:tc>
          <w:tcPr>
            <w:tcW w:type="dxa" w:w="3553"/>
            <w:tcMar>
              <w:top w:type="dxa" w:w="60"/>
              <w:left w:type="dxa" w:w="100"/>
              <w:bottom w:type="dxa" w:w="60"/>
              <w:right w:type="dxa" w:w="100"/>
            </w:tcMar>
          </w:tcPr>
          <w:p>
            <w:pPr>
              <w:jc w:val="center"/>
            </w:pPr>
            <w:r>
              <w:rPr>
                <w:b w:val="false"/>
                <w:bCs w:val="false"/>
                <w:color w:val="000000"/>
                <w:sz w:val="17"/>
                <w:szCs w:val="17"/>
              </w:rPr>
              <w:t xml:space="preserve">Üç strateji, güven aralıklarıyla</w:t>
            </w:r>
          </w:p>
        </w:tc>
      </w:tr>
    </w:tbl>
    <w:p>
      <w:r>
        <w:br w:type="page"/>
      </w:r>
    </w:p>
    <w:p>
      <w:pPr>
        <w:pStyle w:val="Heading1"/>
        <w:spacing w:after="150" w:before="300"/>
      </w:pPr>
      <w:r>
        <w:t xml:space="preserve">3. Veri ve Yöntem</w:t>
      </w:r>
    </w:p>
    <w:p>
      <w:pPr>
        <w:pStyle w:val="Heading2"/>
        <w:spacing w:after="110" w:before="220"/>
      </w:pPr>
      <w:r>
        <w:t xml:space="preserve">3.1 Veri Seti</w:t>
      </w:r>
    </w:p>
    <w:p>
      <w:pPr>
        <w:spacing w:after="150" w:line="274"/>
        <w:jc w:val="both"/>
      </w:pPr>
      <w:r>
        <w:rPr>
          <w:b w:val="false"/>
          <w:bCs w:val="false"/>
          <w:i w:val="false"/>
          <w:iCs w:val="false"/>
        </w:rPr>
        <w:t xml:space="preserve">Veri seti, güney Brezilya'da bir üniversiteye bağlı fiziksel ve zihinsel rehabilitasyon merkezine ait 2016–2022 dönemini kapsayan randevu kayıtlarından oluşmaktadır (ham veri 49.593 kayıt; temizleme sonrası 46.641). Her kayıt uzmanlık alanı, yaş, cinsiyet, engellilik durumu, ICD tanı kodu, şehir, randevu tarihi/saati ve meteorolojik değişkenleri içermektedir. Hedef değişken randevuya gelinip gelinmediğidir. Veri setinde doğrudan hasta tanımlayıcısı bulunmamaktadır. Veri toplama etik kurul onayı kapsamında yürütülmüş ve LGPD'ye uygun anonimleştirilmiştir. Genel devamsızlık oranı yaklaşık %10 olup, oranın yıllar içinde %4,0'tan %20,4'e monoton arttığı gözlenmiştir.</w:t>
      </w:r>
    </w:p>
    <w:p>
      <w:pPr>
        <w:pStyle w:val="Heading2"/>
        <w:spacing w:after="110" w:before="220"/>
      </w:pPr>
      <w:r>
        <w:t xml:space="preserve">3.2 Ön İşleme ve Sızıntı Önleme</w:t>
      </w:r>
    </w:p>
    <w:p>
      <w:pPr>
        <w:spacing w:after="150" w:line="274"/>
        <w:jc w:val="both"/>
      </w:pPr>
      <w:r>
        <w:rPr>
          <w:b w:val="false"/>
          <w:bCs w:val="false"/>
          <w:i w:val="false"/>
          <w:iCs w:val="false"/>
        </w:rPr>
        <w:t xml:space="preserve">Veri, önce eğitim (%80) ve saklı dış test (%20) olarak hedef değişkene göre tabakalı biçimde bölünmüştür. Eksik değer doldurma medyanları, ICD frekans kodlaması ve kategorik kodlama dahil tüm ön işleme parametreleri yalnızca eğitim setinden öğrenilmiştir. Randevu gününe ait gerçekleşmiş meteorolojik değerler, randevu anında yalnızca tahmin olarak mevcut olacağından (zamansal sızıntı riski) 22 hava durumu değişkeni modelden çıkarılmış; nihai öznitelik seti 56 değişkenden oluşmuştur.</w:t>
      </w:r>
    </w:p>
    <w:p>
      <w:pPr>
        <w:pStyle w:val="Heading2"/>
        <w:spacing w:after="110" w:before="220"/>
      </w:pPr>
      <w:r>
        <w:t xml:space="preserve">3.3 Model ve Eşik Seçimi</w:t>
      </w:r>
    </w:p>
    <w:p>
      <w:pPr>
        <w:spacing w:after="150" w:line="274"/>
        <w:jc w:val="both"/>
      </w:pPr>
      <w:r>
        <w:rPr>
          <w:b w:val="false"/>
          <w:bCs w:val="false"/>
          <w:i w:val="false"/>
          <w:iCs w:val="false"/>
        </w:rPr>
        <w:t xml:space="preserve">Dört topluluk algoritması (Random Forest, XGBoost, LightGBM, CatBoost) ile iki temel model, tutarlı bir koşulda ve yalnızca eğitim seti üzerinde 5 katlı çapraz doğrulama ile değerlendirilmiştir. Dört topluluk algoritmasının her biri ayrı ayrı ve eşit titizlikte hiperparametre optimizasyonuna tabi tutulmuş; şampiyon yalnızca çapraz doğrulama sonucuna göre belirlenmiştir. Saklı dış test seti seçime dahil edilmemiştir. Sınıflandırma eşiği de —dengesiz veride sabit 0,5 yanıltıcı olduğundan— eğitim setinde çapraz doğrulama ile F1'i en üst düzeye çıkaran değer olarak seçilip test setine sabit uygulanmıştır; böylece eşik seçimi test etiketlerinden sızmamıştır.</w:t>
      </w:r>
    </w:p>
    <w:p>
      <w:pPr>
        <w:pStyle w:val="Heading2"/>
        <w:spacing w:after="110" w:before="220"/>
      </w:pPr>
      <w:r>
        <w:t xml:space="preserve">3.4 Üç Doğrulama Stratejisi</w:t>
      </w:r>
    </w:p>
    <w:p>
      <w:pPr>
        <w:spacing w:after="150" w:line="274"/>
        <w:jc w:val="both"/>
      </w:pPr>
      <w:r>
        <w:rPr>
          <w:b w:val="false"/>
          <w:bCs w:val="false"/>
          <w:i w:val="false"/>
          <w:iCs w:val="false"/>
        </w:rPr>
        <w:t xml:space="preserve">Çalışmanın merkezindeki karşılaştırma için performans üç bölme stratejisiyle ölçülmüştür. Satır-rastgele bölünmede kayıtlar tabakalı biçimde %80/20 ayrılır; aynı hasta iki tarafta bulunabilir. Hasta-ayrık bölünmede GroupShuffleSplit ile vekil hasta kimliğine göre gruplama yapılır; böylece aynı hasta yalnızca tek tarafta bulunur ve hasta sızıntısı ortadan kalkar. Kronolojik bölünmede 2016–2020 eğitim, 2021–2022 test olarak kullanılır; bu hem hasta-ayrık hem de zamansal kaymaya maruzdur. Bu üç strateji birlikte, performans düşüşünün hasta sızıntısı ve zamansal kayma bileşenlerine ayrıştırılmasını sağlar.</w:t>
      </w:r>
    </w:p>
    <w:p>
      <w:pPr>
        <w:pStyle w:val="Heading2"/>
        <w:spacing w:after="110" w:before="220"/>
      </w:pPr>
      <w:r>
        <w:t xml:space="preserve">3.5 Vekil Hasta Geçmişi Öznitelikleri</w:t>
      </w:r>
    </w:p>
    <w:p>
      <w:pPr>
        <w:spacing w:after="150" w:line="274"/>
        <w:jc w:val="both"/>
      </w:pPr>
      <w:r>
        <w:rPr>
          <w:b w:val="false"/>
          <w:bCs w:val="false"/>
          <w:i w:val="false"/>
          <w:iCs w:val="false"/>
        </w:rPr>
        <w:t xml:space="preserve">Doğrudan hasta kimliği bulunmadığından, doğum tarihi–cinsiyet–şehir kombinasyonundan bir vekil (proxy) hasta kimliği oluşturulmuştur. Bu vekil kimlik üzerinden her randevu için sızıntısız biçimde —yalnızca o randevudan önceki randevular kullanılarak, kümülatif toplamdan kaydın kendi etiketi çıkarılarak— geçmiş randevu sayısı, geçmiş devamsızlık sayısı, geçmiş devamsızlık oranı ve ilk-ziyaret göstergesi türetilmiştir. Vekil kimliğin güvenilirliği bağımsız bir değişken (hizmete giriş tarihi) ile doğrulanmıştır.</w:t>
      </w:r>
    </w:p>
    <w:p>
      <w:r>
        <w:br w:type="page"/>
      </w:r>
    </w:p>
    <w:p>
      <w:pPr>
        <w:pStyle w:val="Heading1"/>
        <w:spacing w:after="150" w:before="300"/>
      </w:pPr>
      <w:r>
        <w:t xml:space="preserve">4. Bulgular</w:t>
      </w:r>
    </w:p>
    <w:p>
      <w:pPr>
        <w:pStyle w:val="Heading2"/>
        <w:spacing w:after="110" w:before="220"/>
      </w:pPr>
      <w:r>
        <w:t xml:space="preserve">4.1 Model Seçimi ve Rastgele Doğrulama Performansı</w:t>
      </w:r>
    </w:p>
    <w:p>
      <w:pPr>
        <w:spacing w:after="150" w:line="274"/>
        <w:jc w:val="both"/>
      </w:pPr>
      <w:r>
        <w:rPr>
          <w:b w:val="false"/>
          <w:bCs w:val="false"/>
          <w:i w:val="false"/>
          <w:iCs w:val="false"/>
        </w:rPr>
        <w:t xml:space="preserve">Yalnızca eğitim seti üzerinde çapraz doğrulama ile yapılan adil karşılaştırmada dört topluluk algoritması eşit titizlikte optimize edildiğinde en yüksek performansı Random Forest sağlamıştır. Şampiyon Random Forest, saklı dış test setinde satır-rastgele bölünmede ROC-AUC=0,775, PR-AUC=0,295 elde etmiştir. Eğitim setinde seçilip test'e sabit uygulanan F1-optimal eşikte duyarlılık (recall) 0,52 düzeyindedir; bu değer, sabit 0,5 eşiğindeki 0,07'ye kıyasla klinik kullanılabilirliği artırır. Not: eşik test setinden değil eğitim setinden seçildiğinden, bu duyarlılık değeri iyimser yönde yanlı değildir.</w:t>
      </w:r>
    </w:p>
    <w:p>
      <w:pPr>
        <w:spacing w:after="70" w:before="60"/>
      </w:pPr>
      <w:r>
        <w:rPr>
          <w:b/>
          <w:bCs/>
          <w:sz w:val="17"/>
          <w:szCs w:val="17"/>
        </w:rPr>
        <w:t xml:space="preserve">Tablo 2. Dış test performansı — tüm modeller eşit optimize edilmiş (satır-rastgele bölünme).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40"/>
        <w:gridCol w:w="1683"/>
        <w:gridCol w:w="1683"/>
        <w:gridCol w:w="2244"/>
      </w:tblGrid>
      <w:tr>
        <w:trPr>
          <w:tblHeader/>
        </w:trPr>
        <w:tc>
          <w:tcPr>
            <w:tcW w:type="dxa" w:w="3740"/>
            <w:shd w:fill="2F5496" w:val="clear"/>
            <w:tcMar>
              <w:top w:type="dxa" w:w="60"/>
              <w:left w:type="dxa" w:w="100"/>
              <w:bottom w:type="dxa" w:w="60"/>
              <w:right w:type="dxa" w:w="100"/>
            </w:tcMar>
          </w:tcPr>
          <w:p>
            <w:pPr>
              <w:jc w:val="center"/>
            </w:pPr>
            <w:r>
              <w:rPr>
                <w:b/>
                <w:bCs/>
                <w:color w:val="FFFFFF"/>
                <w:sz w:val="17"/>
                <w:szCs w:val="17"/>
              </w:rPr>
              <w:t xml:space="preserve">Model</w:t>
            </w:r>
          </w:p>
        </w:tc>
        <w:tc>
          <w:tcPr>
            <w:tcW w:type="dxa" w:w="1683"/>
            <w:shd w:fill="2F5496" w:val="clear"/>
            <w:tcMar>
              <w:top w:type="dxa" w:w="60"/>
              <w:left w:type="dxa" w:w="100"/>
              <w:bottom w:type="dxa" w:w="60"/>
              <w:right w:type="dxa" w:w="100"/>
            </w:tcMar>
          </w:tcPr>
          <w:p>
            <w:pPr>
              <w:jc w:val="center"/>
            </w:pPr>
            <w:r>
              <w:rPr>
                <w:b/>
                <w:bCs/>
                <w:color w:val="FFFFFF"/>
                <w:sz w:val="17"/>
                <w:szCs w:val="17"/>
              </w:rPr>
              <w:t xml:space="preserve">ROC-AUC</w:t>
            </w:r>
          </w:p>
        </w:tc>
        <w:tc>
          <w:tcPr>
            <w:tcW w:type="dxa" w:w="1683"/>
            <w:shd w:fill="2F5496" w:val="clear"/>
            <w:tcMar>
              <w:top w:type="dxa" w:w="60"/>
              <w:left w:type="dxa" w:w="100"/>
              <w:bottom w:type="dxa" w:w="60"/>
              <w:right w:type="dxa" w:w="100"/>
            </w:tcMar>
          </w:tcPr>
          <w:p>
            <w:pPr>
              <w:jc w:val="center"/>
            </w:pPr>
            <w:r>
              <w:rPr>
                <w:b/>
                <w:bCs/>
                <w:color w:val="FFFFFF"/>
                <w:sz w:val="17"/>
                <w:szCs w:val="17"/>
              </w:rPr>
              <w:t xml:space="preserve">PR-AUC</w:t>
            </w:r>
          </w:p>
        </w:tc>
        <w:tc>
          <w:tcPr>
            <w:tcW w:type="dxa" w:w="2244"/>
            <w:shd w:fill="2F5496" w:val="clear"/>
            <w:tcMar>
              <w:top w:type="dxa" w:w="60"/>
              <w:left w:type="dxa" w:w="100"/>
              <w:bottom w:type="dxa" w:w="60"/>
              <w:right w:type="dxa" w:w="100"/>
            </w:tcMar>
          </w:tcPr>
          <w:p>
            <w:pPr>
              <w:jc w:val="center"/>
            </w:pPr>
            <w:r>
              <w:rPr>
                <w:b/>
                <w:bCs/>
                <w:color w:val="FFFFFF"/>
                <w:sz w:val="17"/>
                <w:szCs w:val="17"/>
              </w:rPr>
              <w:t xml:space="preserve">Recall (eğitimde seçilen eşik)</w:t>
            </w:r>
          </w:p>
        </w:tc>
      </w:tr>
      <w:tr>
        <w:tc>
          <w:tcPr>
            <w:tcW w:type="dxa" w:w="3740"/>
            <w:tcMar>
              <w:top w:type="dxa" w:w="60"/>
              <w:left w:type="dxa" w:w="100"/>
              <w:bottom w:type="dxa" w:w="60"/>
              <w:right w:type="dxa" w:w="100"/>
            </w:tcMar>
          </w:tcPr>
          <w:p>
            <w:pPr>
              <w:jc w:val="left"/>
            </w:pPr>
            <w:r>
              <w:rPr>
                <w:b w:val="false"/>
                <w:bCs w:val="false"/>
                <w:color w:val="000000"/>
                <w:sz w:val="17"/>
                <w:szCs w:val="17"/>
              </w:rPr>
              <w:t xml:space="preserve">Random Forest (şampiyon)</w:t>
            </w:r>
          </w:p>
        </w:tc>
        <w:tc>
          <w:tcPr>
            <w:tcW w:type="dxa" w:w="1683"/>
            <w:tcMar>
              <w:top w:type="dxa" w:w="60"/>
              <w:left w:type="dxa" w:w="100"/>
              <w:bottom w:type="dxa" w:w="60"/>
              <w:right w:type="dxa" w:w="100"/>
            </w:tcMar>
          </w:tcPr>
          <w:p>
            <w:pPr>
              <w:jc w:val="center"/>
            </w:pPr>
            <w:r>
              <w:rPr>
                <w:b w:val="false"/>
                <w:bCs w:val="false"/>
                <w:color w:val="000000"/>
                <w:sz w:val="17"/>
                <w:szCs w:val="17"/>
              </w:rPr>
              <w:t xml:space="preserve">0,775</w:t>
            </w:r>
          </w:p>
        </w:tc>
        <w:tc>
          <w:tcPr>
            <w:tcW w:type="dxa" w:w="1683"/>
            <w:tcMar>
              <w:top w:type="dxa" w:w="60"/>
              <w:left w:type="dxa" w:w="100"/>
              <w:bottom w:type="dxa" w:w="60"/>
              <w:right w:type="dxa" w:w="100"/>
            </w:tcMar>
          </w:tcPr>
          <w:p>
            <w:pPr>
              <w:jc w:val="center"/>
            </w:pPr>
            <w:r>
              <w:rPr>
                <w:b w:val="false"/>
                <w:bCs w:val="false"/>
                <w:color w:val="000000"/>
                <w:sz w:val="17"/>
                <w:szCs w:val="17"/>
              </w:rPr>
              <w:t xml:space="preserve">0,295</w:t>
            </w:r>
          </w:p>
        </w:tc>
        <w:tc>
          <w:tcPr>
            <w:tcW w:type="dxa" w:w="2244"/>
            <w:tcMar>
              <w:top w:type="dxa" w:w="60"/>
              <w:left w:type="dxa" w:w="100"/>
              <w:bottom w:type="dxa" w:w="60"/>
              <w:right w:type="dxa" w:w="100"/>
            </w:tcMar>
          </w:tcPr>
          <w:p>
            <w:pPr>
              <w:jc w:val="center"/>
            </w:pPr>
            <w:r>
              <w:rPr>
                <w:b w:val="false"/>
                <w:bCs w:val="false"/>
                <w:color w:val="000000"/>
                <w:sz w:val="17"/>
                <w:szCs w:val="17"/>
              </w:rPr>
              <w:t xml:space="preserve">0,521</w:t>
            </w:r>
          </w:p>
        </w:tc>
      </w:tr>
      <w:tr>
        <w:tc>
          <w:tcPr>
            <w:tcW w:type="dxa" w:w="3740"/>
            <w:tcMar>
              <w:top w:type="dxa" w:w="60"/>
              <w:left w:type="dxa" w:w="100"/>
              <w:bottom w:type="dxa" w:w="60"/>
              <w:right w:type="dxa" w:w="100"/>
            </w:tcMar>
          </w:tcPr>
          <w:p>
            <w:pPr>
              <w:jc w:val="left"/>
            </w:pPr>
            <w:r>
              <w:rPr>
                <w:b w:val="false"/>
                <w:bCs w:val="false"/>
                <w:color w:val="000000"/>
                <w:sz w:val="17"/>
                <w:szCs w:val="17"/>
              </w:rPr>
              <w:t xml:space="preserve">LightGBM</w:t>
            </w:r>
          </w:p>
        </w:tc>
        <w:tc>
          <w:tcPr>
            <w:tcW w:type="dxa" w:w="1683"/>
            <w:tcMar>
              <w:top w:type="dxa" w:w="60"/>
              <w:left w:type="dxa" w:w="100"/>
              <w:bottom w:type="dxa" w:w="60"/>
              <w:right w:type="dxa" w:w="100"/>
            </w:tcMar>
          </w:tcPr>
          <w:p>
            <w:pPr>
              <w:jc w:val="center"/>
            </w:pPr>
            <w:r>
              <w:rPr>
                <w:b w:val="false"/>
                <w:bCs w:val="false"/>
                <w:color w:val="000000"/>
                <w:sz w:val="17"/>
                <w:szCs w:val="17"/>
              </w:rPr>
              <w:t xml:space="preserve">0,754</w:t>
            </w:r>
          </w:p>
        </w:tc>
        <w:tc>
          <w:tcPr>
            <w:tcW w:type="dxa" w:w="1683"/>
            <w:tcMar>
              <w:top w:type="dxa" w:w="60"/>
              <w:left w:type="dxa" w:w="100"/>
              <w:bottom w:type="dxa" w:w="60"/>
              <w:right w:type="dxa" w:w="100"/>
            </w:tcMar>
          </w:tcPr>
          <w:p>
            <w:pPr>
              <w:jc w:val="center"/>
            </w:pPr>
            <w:r>
              <w:rPr>
                <w:b w:val="false"/>
                <w:bCs w:val="false"/>
                <w:color w:val="000000"/>
                <w:sz w:val="17"/>
                <w:szCs w:val="17"/>
              </w:rPr>
              <w:t xml:space="preserve">0,285</w:t>
            </w:r>
          </w:p>
        </w:tc>
        <w:tc>
          <w:tcPr>
            <w:tcW w:type="dxa" w:w="2244"/>
            <w:tcMar>
              <w:top w:type="dxa" w:w="60"/>
              <w:left w:type="dxa" w:w="100"/>
              <w:bottom w:type="dxa" w:w="60"/>
              <w:right w:type="dxa" w:w="100"/>
            </w:tcMar>
          </w:tcPr>
          <w:p>
            <w:pPr>
              <w:jc w:val="center"/>
            </w:pPr>
            <w:r>
              <w:rPr>
                <w:b w:val="false"/>
                <w:bCs w:val="false"/>
                <w:color w:val="000000"/>
                <w:sz w:val="17"/>
                <w:szCs w:val="17"/>
              </w:rPr>
              <w:t xml:space="preserve">0,431</w:t>
            </w:r>
          </w:p>
        </w:tc>
      </w:tr>
      <w:tr>
        <w:tc>
          <w:tcPr>
            <w:tcW w:type="dxa" w:w="3740"/>
            <w:tcMar>
              <w:top w:type="dxa" w:w="60"/>
              <w:left w:type="dxa" w:w="100"/>
              <w:bottom w:type="dxa" w:w="60"/>
              <w:right w:type="dxa" w:w="100"/>
            </w:tcMar>
          </w:tcPr>
          <w:p>
            <w:pPr>
              <w:jc w:val="left"/>
            </w:pPr>
            <w:r>
              <w:rPr>
                <w:b w:val="false"/>
                <w:bCs w:val="false"/>
                <w:color w:val="000000"/>
                <w:sz w:val="17"/>
                <w:szCs w:val="17"/>
              </w:rPr>
              <w:t xml:space="preserve">XGBoost</w:t>
            </w:r>
          </w:p>
        </w:tc>
        <w:tc>
          <w:tcPr>
            <w:tcW w:type="dxa" w:w="1683"/>
            <w:tcMar>
              <w:top w:type="dxa" w:w="60"/>
              <w:left w:type="dxa" w:w="100"/>
              <w:bottom w:type="dxa" w:w="60"/>
              <w:right w:type="dxa" w:w="100"/>
            </w:tcMar>
          </w:tcPr>
          <w:p>
            <w:pPr>
              <w:jc w:val="center"/>
            </w:pPr>
            <w:r>
              <w:rPr>
                <w:b w:val="false"/>
                <w:bCs w:val="false"/>
                <w:color w:val="000000"/>
                <w:sz w:val="17"/>
                <w:szCs w:val="17"/>
              </w:rPr>
              <w:t xml:space="preserve">0,751</w:t>
            </w:r>
          </w:p>
        </w:tc>
        <w:tc>
          <w:tcPr>
            <w:tcW w:type="dxa" w:w="1683"/>
            <w:tcMar>
              <w:top w:type="dxa" w:w="60"/>
              <w:left w:type="dxa" w:w="100"/>
              <w:bottom w:type="dxa" w:w="60"/>
              <w:right w:type="dxa" w:w="100"/>
            </w:tcMar>
          </w:tcPr>
          <w:p>
            <w:pPr>
              <w:jc w:val="center"/>
            </w:pPr>
            <w:r>
              <w:rPr>
                <w:b w:val="false"/>
                <w:bCs w:val="false"/>
                <w:color w:val="000000"/>
                <w:sz w:val="17"/>
                <w:szCs w:val="17"/>
              </w:rPr>
              <w:t xml:space="preserve">0,277</w:t>
            </w:r>
          </w:p>
        </w:tc>
        <w:tc>
          <w:tcPr>
            <w:tcW w:type="dxa" w:w="2244"/>
            <w:tcMar>
              <w:top w:type="dxa" w:w="60"/>
              <w:left w:type="dxa" w:w="100"/>
              <w:bottom w:type="dxa" w:w="60"/>
              <w:right w:type="dxa" w:w="100"/>
            </w:tcMar>
          </w:tcPr>
          <w:p>
            <w:pPr>
              <w:jc w:val="center"/>
            </w:pPr>
            <w:r>
              <w:rPr>
                <w:b w:val="false"/>
                <w:bCs w:val="false"/>
                <w:color w:val="000000"/>
                <w:sz w:val="17"/>
                <w:szCs w:val="17"/>
              </w:rPr>
              <w:t xml:space="preserve">0,452</w:t>
            </w:r>
          </w:p>
        </w:tc>
      </w:tr>
      <w:tr>
        <w:tc>
          <w:tcPr>
            <w:tcW w:type="dxa" w:w="3740"/>
            <w:tcMar>
              <w:top w:type="dxa" w:w="60"/>
              <w:left w:type="dxa" w:w="100"/>
              <w:bottom w:type="dxa" w:w="60"/>
              <w:right w:type="dxa" w:w="100"/>
            </w:tcMar>
          </w:tcPr>
          <w:p>
            <w:pPr>
              <w:jc w:val="left"/>
            </w:pPr>
            <w:r>
              <w:rPr>
                <w:b w:val="false"/>
                <w:bCs w:val="false"/>
                <w:color w:val="000000"/>
                <w:sz w:val="17"/>
                <w:szCs w:val="17"/>
              </w:rPr>
              <w:t xml:space="preserve">CatBoost</w:t>
            </w:r>
          </w:p>
        </w:tc>
        <w:tc>
          <w:tcPr>
            <w:tcW w:type="dxa" w:w="1683"/>
            <w:tcMar>
              <w:top w:type="dxa" w:w="60"/>
              <w:left w:type="dxa" w:w="100"/>
              <w:bottom w:type="dxa" w:w="60"/>
              <w:right w:type="dxa" w:w="100"/>
            </w:tcMar>
          </w:tcPr>
          <w:p>
            <w:pPr>
              <w:jc w:val="center"/>
            </w:pPr>
            <w:r>
              <w:rPr>
                <w:b w:val="false"/>
                <w:bCs w:val="false"/>
                <w:color w:val="000000"/>
                <w:sz w:val="17"/>
                <w:szCs w:val="17"/>
              </w:rPr>
              <w:t xml:space="preserve">0,747</w:t>
            </w:r>
          </w:p>
        </w:tc>
        <w:tc>
          <w:tcPr>
            <w:tcW w:type="dxa" w:w="1683"/>
            <w:tcMar>
              <w:top w:type="dxa" w:w="60"/>
              <w:left w:type="dxa" w:w="100"/>
              <w:bottom w:type="dxa" w:w="60"/>
              <w:right w:type="dxa" w:w="100"/>
            </w:tcMar>
          </w:tcPr>
          <w:p>
            <w:pPr>
              <w:jc w:val="center"/>
            </w:pPr>
            <w:r>
              <w:rPr>
                <w:b w:val="false"/>
                <w:bCs w:val="false"/>
                <w:color w:val="000000"/>
                <w:sz w:val="17"/>
                <w:szCs w:val="17"/>
              </w:rPr>
              <w:t xml:space="preserve">0,264</w:t>
            </w:r>
          </w:p>
        </w:tc>
        <w:tc>
          <w:tcPr>
            <w:tcW w:type="dxa" w:w="2244"/>
            <w:tcMar>
              <w:top w:type="dxa" w:w="60"/>
              <w:left w:type="dxa" w:w="100"/>
              <w:bottom w:type="dxa" w:w="60"/>
              <w:right w:type="dxa" w:w="100"/>
            </w:tcMar>
          </w:tcPr>
          <w:p>
            <w:pPr>
              <w:jc w:val="center"/>
            </w:pPr>
            <w:r>
              <w:rPr>
                <w:b w:val="false"/>
                <w:bCs w:val="false"/>
                <w:color w:val="000000"/>
                <w:sz w:val="17"/>
                <w:szCs w:val="17"/>
              </w:rPr>
              <w:t xml:space="preserve">0,496</w:t>
            </w:r>
          </w:p>
        </w:tc>
      </w:tr>
    </w:tbl>
    <w:p>
      <w:pPr>
        <w:pStyle w:val="Heading2"/>
        <w:spacing w:after="110" w:before="220"/>
      </w:pPr>
      <w:r>
        <w:t xml:space="preserve">4.2 Vekil Hasta Kimliğinin Güvenilirliği</w:t>
      </w:r>
    </w:p>
    <w:p>
      <w:pPr>
        <w:spacing w:after="150" w:line="274"/>
        <w:jc w:val="both"/>
      </w:pPr>
      <w:r>
        <w:rPr>
          <w:b w:val="false"/>
          <w:bCs w:val="false"/>
          <w:i w:val="false"/>
          <w:iCs w:val="false"/>
        </w:rPr>
        <w:t xml:space="preserve">Vekil hasta kimliği 46.641 randevuyu 1.395 benzersiz vekil hastaya eşlemiştir (hasta başına ortalama ~36 randevu). Hizmete giriş tarihi ile doğrulamada çakışma oranı %0,7, coğrafi bölünme oranı %3,3 olarak ölçülmüştür; bu düşük oranlar vekil kimliğin makul güvenilirlikte olduğunu gösterir. Türetilen geçmiş devamsızlık oranı tek değişkenli düzeyde hedefle güçlü ve monoton ilişki sergilemiştir: geçmişte hiç devamsızlık yapmayanlarda gelecekteki oran %5,6 iken, geçmiş oranı %75'in üzerinde olanlarda %44,7'ye çıkmaktadır.</w:t>
      </w:r>
    </w:p>
    <w:p>
      <w:pPr>
        <w:pStyle w:val="Heading2"/>
        <w:spacing w:after="110" w:before="220"/>
      </w:pPr>
      <w:r>
        <w:t xml:space="preserve">4.3 Merkezi Bulgu: Performans Düşüşünün Ayrıştırılması</w:t>
      </w:r>
    </w:p>
    <w:p>
      <w:pPr>
        <w:spacing w:after="150" w:line="274"/>
        <w:jc w:val="both"/>
      </w:pPr>
      <w:r>
        <w:rPr>
          <w:b w:val="false"/>
          <w:bCs w:val="false"/>
          <w:i w:val="false"/>
          <w:iCs w:val="false"/>
        </w:rPr>
        <w:t xml:space="preserve">Çalışmanın merkezi bulgusu, aynı modelin üç doğrulama stratejisinde sergilediği performans farkıdır. Satır-rastgele bölünmede ROC-AUC=0,775 olan model, hasta-ayrık bölünmede 0,658'e, kronolojik bölünmede ise 0,548'e gerilemektedir. Tablo 3 bu sonuçları güven aralıklarıyla özetler; güven aralıklarının örtüşmemesi farkların istatistiksel olarak anlamlı olduğunu gösterir.</w:t>
      </w:r>
    </w:p>
    <w:p>
      <w:pPr>
        <w:spacing w:after="70" w:before="60"/>
      </w:pPr>
      <w:r>
        <w:rPr>
          <w:b/>
          <w:bCs/>
          <w:sz w:val="17"/>
          <w:szCs w:val="17"/>
        </w:rPr>
        <w:t xml:space="preserve">Tablo 3. Üç doğrulama stratejisi × hasta geçmişi ızgarası (Random Forest, %95 GA bootstrap).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79"/>
        <w:gridCol w:w="1496"/>
        <w:gridCol w:w="2805"/>
        <w:gridCol w:w="1870"/>
      </w:tblGrid>
      <w:tr>
        <w:trPr>
          <w:tblHeader/>
        </w:trPr>
        <w:tc>
          <w:tcPr>
            <w:tcW w:type="dxa" w:w="3179"/>
            <w:shd w:fill="2F5496" w:val="clear"/>
            <w:tcMar>
              <w:top w:type="dxa" w:w="60"/>
              <w:left w:type="dxa" w:w="100"/>
              <w:bottom w:type="dxa" w:w="60"/>
              <w:right w:type="dxa" w:w="100"/>
            </w:tcMar>
          </w:tcPr>
          <w:p>
            <w:pPr>
              <w:jc w:val="center"/>
            </w:pPr>
            <w:r>
              <w:rPr>
                <w:b/>
                <w:bCs/>
                <w:color w:val="FFFFFF"/>
                <w:sz w:val="17"/>
                <w:szCs w:val="17"/>
              </w:rPr>
              <w:t xml:space="preserve">Bölme Stratejisi</w:t>
            </w:r>
          </w:p>
        </w:tc>
        <w:tc>
          <w:tcPr>
            <w:tcW w:type="dxa" w:w="1496"/>
            <w:shd w:fill="2F5496" w:val="clear"/>
            <w:tcMar>
              <w:top w:type="dxa" w:w="60"/>
              <w:left w:type="dxa" w:w="100"/>
              <w:bottom w:type="dxa" w:w="60"/>
              <w:right w:type="dxa" w:w="100"/>
            </w:tcMar>
          </w:tcPr>
          <w:p>
            <w:pPr>
              <w:jc w:val="center"/>
            </w:pPr>
            <w:r>
              <w:rPr>
                <w:b/>
                <w:bCs/>
                <w:color w:val="FFFFFF"/>
                <w:sz w:val="17"/>
                <w:szCs w:val="17"/>
              </w:rPr>
              <w:t xml:space="preserve">Hasta Geçmişi</w:t>
            </w:r>
          </w:p>
        </w:tc>
        <w:tc>
          <w:tcPr>
            <w:tcW w:type="dxa" w:w="2805"/>
            <w:shd w:fill="2F5496" w:val="clear"/>
            <w:tcMar>
              <w:top w:type="dxa" w:w="60"/>
              <w:left w:type="dxa" w:w="100"/>
              <w:bottom w:type="dxa" w:w="60"/>
              <w:right w:type="dxa" w:w="100"/>
            </w:tcMar>
          </w:tcPr>
          <w:p>
            <w:pPr>
              <w:jc w:val="center"/>
            </w:pPr>
            <w:r>
              <w:rPr>
                <w:b/>
                <w:bCs/>
                <w:color w:val="FFFFFF"/>
                <w:sz w:val="17"/>
                <w:szCs w:val="17"/>
              </w:rPr>
              <w:t xml:space="preserve">ROC-AUC [%95 GA]</w:t>
            </w:r>
          </w:p>
        </w:tc>
        <w:tc>
          <w:tcPr>
            <w:tcW w:type="dxa" w:w="1870"/>
            <w:shd w:fill="2F5496" w:val="clear"/>
            <w:tcMar>
              <w:top w:type="dxa" w:w="60"/>
              <w:left w:type="dxa" w:w="100"/>
              <w:bottom w:type="dxa" w:w="60"/>
              <w:right w:type="dxa" w:w="100"/>
            </w:tcMar>
          </w:tcPr>
          <w:p>
            <w:pPr>
              <w:jc w:val="center"/>
            </w:pPr>
            <w:r>
              <w:rPr>
                <w:b/>
                <w:bCs/>
                <w:color w:val="FFFFFF"/>
                <w:sz w:val="17"/>
                <w:szCs w:val="17"/>
              </w:rPr>
              <w:t xml:space="preserve">PR-AUC</w:t>
            </w:r>
          </w:p>
        </w:tc>
      </w:tr>
      <w:tr>
        <w:tc>
          <w:tcPr>
            <w:tcW w:type="dxa" w:w="3179"/>
            <w:tcMar>
              <w:top w:type="dxa" w:w="60"/>
              <w:left w:type="dxa" w:w="100"/>
              <w:bottom w:type="dxa" w:w="60"/>
              <w:right w:type="dxa" w:w="100"/>
            </w:tcMar>
          </w:tcPr>
          <w:p>
            <w:pPr>
              <w:jc w:val="left"/>
            </w:pPr>
            <w:r>
              <w:rPr>
                <w:b w:val="false"/>
                <w:bCs w:val="false"/>
                <w:color w:val="000000"/>
                <w:sz w:val="17"/>
                <w:szCs w:val="17"/>
              </w:rPr>
              <w:t xml:space="preserve">Satır-rastgele (sızıntı VAR)</w:t>
            </w:r>
          </w:p>
        </w:tc>
        <w:tc>
          <w:tcPr>
            <w:tcW w:type="dxa" w:w="1496"/>
            <w:tcMar>
              <w:top w:type="dxa" w:w="60"/>
              <w:left w:type="dxa" w:w="100"/>
              <w:bottom w:type="dxa" w:w="60"/>
              <w:right w:type="dxa" w:w="100"/>
            </w:tcMar>
          </w:tcPr>
          <w:p>
            <w:pPr>
              <w:jc w:val="center"/>
            </w:pPr>
            <w:r>
              <w:rPr>
                <w:b w:val="false"/>
                <w:bCs w:val="false"/>
                <w:color w:val="000000"/>
                <w:sz w:val="17"/>
                <w:szCs w:val="17"/>
              </w:rPr>
              <w:t xml:space="preserve">Yok</w:t>
            </w:r>
          </w:p>
        </w:tc>
        <w:tc>
          <w:tcPr>
            <w:tcW w:type="dxa" w:w="2805"/>
            <w:tcMar>
              <w:top w:type="dxa" w:w="60"/>
              <w:left w:type="dxa" w:w="100"/>
              <w:bottom w:type="dxa" w:w="60"/>
              <w:right w:type="dxa" w:w="100"/>
            </w:tcMar>
          </w:tcPr>
          <w:p>
            <w:pPr>
              <w:jc w:val="center"/>
            </w:pPr>
            <w:r>
              <w:rPr>
                <w:b w:val="false"/>
                <w:bCs w:val="false"/>
                <w:color w:val="000000"/>
                <w:sz w:val="17"/>
                <w:szCs w:val="17"/>
              </w:rPr>
              <w:t xml:space="preserve">0,775 [0,760–0,791]</w:t>
            </w:r>
          </w:p>
        </w:tc>
        <w:tc>
          <w:tcPr>
            <w:tcW w:type="dxa" w:w="1870"/>
            <w:tcMar>
              <w:top w:type="dxa" w:w="60"/>
              <w:left w:type="dxa" w:w="100"/>
              <w:bottom w:type="dxa" w:w="60"/>
              <w:right w:type="dxa" w:w="100"/>
            </w:tcMar>
          </w:tcPr>
          <w:p>
            <w:pPr>
              <w:jc w:val="center"/>
            </w:pPr>
            <w:r>
              <w:rPr>
                <w:b w:val="false"/>
                <w:bCs w:val="false"/>
                <w:color w:val="000000"/>
                <w:sz w:val="17"/>
                <w:szCs w:val="17"/>
              </w:rPr>
              <w:t xml:space="preserve">0,297</w:t>
            </w:r>
          </w:p>
        </w:tc>
      </w:tr>
      <w:tr>
        <w:tc>
          <w:tcPr>
            <w:tcW w:type="dxa" w:w="3179"/>
            <w:tcMar>
              <w:top w:type="dxa" w:w="60"/>
              <w:left w:type="dxa" w:w="100"/>
              <w:bottom w:type="dxa" w:w="60"/>
              <w:right w:type="dxa" w:w="100"/>
            </w:tcMar>
          </w:tcPr>
          <w:p>
            <w:pPr>
              <w:jc w:val="left"/>
            </w:pPr>
            <w:r>
              <w:rPr>
                <w:b w:val="false"/>
                <w:bCs w:val="false"/>
                <w:color w:val="000000"/>
                <w:sz w:val="17"/>
                <w:szCs w:val="17"/>
              </w:rPr>
              <w:t xml:space="preserve">Satır-rastgele (sızıntı VAR)</w:t>
            </w:r>
          </w:p>
        </w:tc>
        <w:tc>
          <w:tcPr>
            <w:tcW w:type="dxa" w:w="1496"/>
            <w:tcMar>
              <w:top w:type="dxa" w:w="60"/>
              <w:left w:type="dxa" w:w="100"/>
              <w:bottom w:type="dxa" w:w="60"/>
              <w:right w:type="dxa" w:w="100"/>
            </w:tcMar>
          </w:tcPr>
          <w:p>
            <w:pPr>
              <w:jc w:val="center"/>
            </w:pPr>
            <w:r>
              <w:rPr>
                <w:b w:val="false"/>
                <w:bCs w:val="false"/>
                <w:color w:val="000000"/>
                <w:sz w:val="17"/>
                <w:szCs w:val="17"/>
              </w:rPr>
              <w:t xml:space="preserve">Var</w:t>
            </w:r>
          </w:p>
        </w:tc>
        <w:tc>
          <w:tcPr>
            <w:tcW w:type="dxa" w:w="2805"/>
            <w:tcMar>
              <w:top w:type="dxa" w:w="60"/>
              <w:left w:type="dxa" w:w="100"/>
              <w:bottom w:type="dxa" w:w="60"/>
              <w:right w:type="dxa" w:w="100"/>
            </w:tcMar>
          </w:tcPr>
          <w:p>
            <w:pPr>
              <w:jc w:val="center"/>
            </w:pPr>
            <w:r>
              <w:rPr>
                <w:b w:val="false"/>
                <w:bCs w:val="false"/>
                <w:color w:val="000000"/>
                <w:sz w:val="17"/>
                <w:szCs w:val="17"/>
              </w:rPr>
              <w:t xml:space="preserve">0,764 [0,749–0,779]</w:t>
            </w:r>
          </w:p>
        </w:tc>
        <w:tc>
          <w:tcPr>
            <w:tcW w:type="dxa" w:w="1870"/>
            <w:tcMar>
              <w:top w:type="dxa" w:w="60"/>
              <w:left w:type="dxa" w:w="100"/>
              <w:bottom w:type="dxa" w:w="60"/>
              <w:right w:type="dxa" w:w="100"/>
            </w:tcMar>
          </w:tcPr>
          <w:p>
            <w:pPr>
              <w:jc w:val="center"/>
            </w:pPr>
            <w:r>
              <w:rPr>
                <w:b w:val="false"/>
                <w:bCs w:val="false"/>
                <w:color w:val="000000"/>
                <w:sz w:val="17"/>
                <w:szCs w:val="17"/>
              </w:rPr>
              <w:t xml:space="preserve">0,276</w:t>
            </w:r>
          </w:p>
        </w:tc>
      </w:tr>
      <w:tr>
        <w:tc>
          <w:tcPr>
            <w:tcW w:type="dxa" w:w="3179"/>
            <w:shd w:fill="E8EEF7" w:val="clear"/>
            <w:tcMar>
              <w:top w:type="dxa" w:w="60"/>
              <w:left w:type="dxa" w:w="100"/>
              <w:bottom w:type="dxa" w:w="60"/>
              <w:right w:type="dxa" w:w="100"/>
            </w:tcMar>
          </w:tcPr>
          <w:p>
            <w:pPr>
              <w:jc w:val="left"/>
            </w:pPr>
            <w:r>
              <w:rPr>
                <w:b w:val="false"/>
                <w:bCs w:val="false"/>
                <w:color w:val="000000"/>
                <w:sz w:val="17"/>
                <w:szCs w:val="17"/>
              </w:rPr>
              <w:t xml:space="preserve">Hasta-ayrık (sızıntı YOK)</w:t>
            </w:r>
          </w:p>
        </w:tc>
        <w:tc>
          <w:tcPr>
            <w:tcW w:type="dxa" w:w="1496"/>
            <w:shd w:fill="E8EEF7" w:val="clear"/>
            <w:tcMar>
              <w:top w:type="dxa" w:w="60"/>
              <w:left w:type="dxa" w:w="100"/>
              <w:bottom w:type="dxa" w:w="60"/>
              <w:right w:type="dxa" w:w="100"/>
            </w:tcMar>
          </w:tcPr>
          <w:p>
            <w:pPr>
              <w:jc w:val="center"/>
            </w:pPr>
            <w:r>
              <w:rPr>
                <w:b w:val="false"/>
                <w:bCs w:val="false"/>
                <w:color w:val="000000"/>
                <w:sz w:val="17"/>
                <w:szCs w:val="17"/>
              </w:rPr>
              <w:t xml:space="preserve">Yok</w:t>
            </w:r>
          </w:p>
        </w:tc>
        <w:tc>
          <w:tcPr>
            <w:tcW w:type="dxa" w:w="2805"/>
            <w:shd w:fill="E8EEF7" w:val="clear"/>
            <w:tcMar>
              <w:top w:type="dxa" w:w="60"/>
              <w:left w:type="dxa" w:w="100"/>
              <w:bottom w:type="dxa" w:w="60"/>
              <w:right w:type="dxa" w:w="100"/>
            </w:tcMar>
          </w:tcPr>
          <w:p>
            <w:pPr>
              <w:jc w:val="center"/>
            </w:pPr>
            <w:r>
              <w:rPr>
                <w:b w:val="false"/>
                <w:bCs w:val="false"/>
                <w:color w:val="000000"/>
                <w:sz w:val="17"/>
                <w:szCs w:val="17"/>
              </w:rPr>
              <w:t xml:space="preserve">0,658 [0,638–0,677]</w:t>
            </w:r>
          </w:p>
        </w:tc>
        <w:tc>
          <w:tcPr>
            <w:tcW w:type="dxa" w:w="1870"/>
            <w:shd w:fill="E8EEF7" w:val="clear"/>
            <w:tcMar>
              <w:top w:type="dxa" w:w="60"/>
              <w:left w:type="dxa" w:w="100"/>
              <w:bottom w:type="dxa" w:w="60"/>
              <w:right w:type="dxa" w:w="100"/>
            </w:tcMar>
          </w:tcPr>
          <w:p>
            <w:pPr>
              <w:jc w:val="center"/>
            </w:pPr>
            <w:r>
              <w:rPr>
                <w:b w:val="false"/>
                <w:bCs w:val="false"/>
                <w:color w:val="000000"/>
                <w:sz w:val="17"/>
                <w:szCs w:val="17"/>
              </w:rPr>
              <w:t xml:space="preserve">0,198</w:t>
            </w:r>
          </w:p>
        </w:tc>
      </w:tr>
      <w:tr>
        <w:tc>
          <w:tcPr>
            <w:tcW w:type="dxa" w:w="3179"/>
            <w:shd w:fill="E8EEF7" w:val="clear"/>
            <w:tcMar>
              <w:top w:type="dxa" w:w="60"/>
              <w:left w:type="dxa" w:w="100"/>
              <w:bottom w:type="dxa" w:w="60"/>
              <w:right w:type="dxa" w:w="100"/>
            </w:tcMar>
          </w:tcPr>
          <w:p>
            <w:pPr>
              <w:jc w:val="left"/>
            </w:pPr>
            <w:r>
              <w:rPr>
                <w:b w:val="false"/>
                <w:bCs w:val="false"/>
                <w:color w:val="000000"/>
                <w:sz w:val="17"/>
                <w:szCs w:val="17"/>
              </w:rPr>
              <w:t xml:space="preserve">Hasta-ayrık (sızıntı YOK)</w:t>
            </w:r>
          </w:p>
        </w:tc>
        <w:tc>
          <w:tcPr>
            <w:tcW w:type="dxa" w:w="1496"/>
            <w:shd w:fill="E8EEF7" w:val="clear"/>
            <w:tcMar>
              <w:top w:type="dxa" w:w="60"/>
              <w:left w:type="dxa" w:w="100"/>
              <w:bottom w:type="dxa" w:w="60"/>
              <w:right w:type="dxa" w:w="100"/>
            </w:tcMar>
          </w:tcPr>
          <w:p>
            <w:pPr>
              <w:jc w:val="center"/>
            </w:pPr>
            <w:r>
              <w:rPr>
                <w:b w:val="false"/>
                <w:bCs w:val="false"/>
                <w:color w:val="000000"/>
                <w:sz w:val="17"/>
                <w:szCs w:val="17"/>
              </w:rPr>
              <w:t xml:space="preserve">Var</w:t>
            </w:r>
          </w:p>
        </w:tc>
        <w:tc>
          <w:tcPr>
            <w:tcW w:type="dxa" w:w="2805"/>
            <w:shd w:fill="E8EEF7" w:val="clear"/>
            <w:tcMar>
              <w:top w:type="dxa" w:w="60"/>
              <w:left w:type="dxa" w:w="100"/>
              <w:bottom w:type="dxa" w:w="60"/>
              <w:right w:type="dxa" w:w="100"/>
            </w:tcMar>
          </w:tcPr>
          <w:p>
            <w:pPr>
              <w:jc w:val="center"/>
            </w:pPr>
            <w:r>
              <w:rPr>
                <w:b w:val="false"/>
                <w:bCs w:val="false"/>
                <w:color w:val="000000"/>
                <w:sz w:val="17"/>
                <w:szCs w:val="17"/>
              </w:rPr>
              <w:t xml:space="preserve">0,650 [0,632–0,667]</w:t>
            </w:r>
          </w:p>
        </w:tc>
        <w:tc>
          <w:tcPr>
            <w:tcW w:type="dxa" w:w="1870"/>
            <w:shd w:fill="E8EEF7" w:val="clear"/>
            <w:tcMar>
              <w:top w:type="dxa" w:w="60"/>
              <w:left w:type="dxa" w:w="100"/>
              <w:bottom w:type="dxa" w:w="60"/>
              <w:right w:type="dxa" w:w="100"/>
            </w:tcMar>
          </w:tcPr>
          <w:p>
            <w:pPr>
              <w:jc w:val="center"/>
            </w:pPr>
            <w:r>
              <w:rPr>
                <w:b w:val="false"/>
                <w:bCs w:val="false"/>
                <w:color w:val="000000"/>
                <w:sz w:val="17"/>
                <w:szCs w:val="17"/>
              </w:rPr>
              <w:t xml:space="preserve">0,202</w:t>
            </w:r>
          </w:p>
        </w:tc>
      </w:tr>
      <w:tr>
        <w:tc>
          <w:tcPr>
            <w:tcW w:type="dxa" w:w="3179"/>
            <w:shd w:fill="DCE6F4" w:val="clear"/>
            <w:tcMar>
              <w:top w:type="dxa" w:w="60"/>
              <w:left w:type="dxa" w:w="100"/>
              <w:bottom w:type="dxa" w:w="60"/>
              <w:right w:type="dxa" w:w="100"/>
            </w:tcMar>
          </w:tcPr>
          <w:p>
            <w:pPr>
              <w:jc w:val="left"/>
            </w:pPr>
            <w:r>
              <w:rPr>
                <w:b w:val="false"/>
                <w:bCs w:val="false"/>
                <w:color w:val="000000"/>
                <w:sz w:val="17"/>
                <w:szCs w:val="17"/>
              </w:rPr>
              <w:t xml:space="preserve">Kronolojik (ayrık + kayma)</w:t>
            </w:r>
          </w:p>
        </w:tc>
        <w:tc>
          <w:tcPr>
            <w:tcW w:type="dxa" w:w="1496"/>
            <w:shd w:fill="DCE6F4" w:val="clear"/>
            <w:tcMar>
              <w:top w:type="dxa" w:w="60"/>
              <w:left w:type="dxa" w:w="100"/>
              <w:bottom w:type="dxa" w:w="60"/>
              <w:right w:type="dxa" w:w="100"/>
            </w:tcMar>
          </w:tcPr>
          <w:p>
            <w:pPr>
              <w:jc w:val="center"/>
            </w:pPr>
            <w:r>
              <w:rPr>
                <w:b w:val="false"/>
                <w:bCs w:val="false"/>
                <w:color w:val="000000"/>
                <w:sz w:val="17"/>
                <w:szCs w:val="17"/>
              </w:rPr>
              <w:t xml:space="preserve">Yok</w:t>
            </w:r>
          </w:p>
        </w:tc>
        <w:tc>
          <w:tcPr>
            <w:tcW w:type="dxa" w:w="2805"/>
            <w:shd w:fill="DCE6F4" w:val="clear"/>
            <w:tcMar>
              <w:top w:type="dxa" w:w="60"/>
              <w:left w:type="dxa" w:w="100"/>
              <w:bottom w:type="dxa" w:w="60"/>
              <w:right w:type="dxa" w:w="100"/>
            </w:tcMar>
          </w:tcPr>
          <w:p>
            <w:pPr>
              <w:jc w:val="center"/>
            </w:pPr>
            <w:r>
              <w:rPr>
                <w:b w:val="false"/>
                <w:bCs w:val="false"/>
                <w:color w:val="000000"/>
                <w:sz w:val="17"/>
                <w:szCs w:val="17"/>
              </w:rPr>
              <w:t xml:space="preserve">0,548 [0,532–0,563]</w:t>
            </w:r>
          </w:p>
        </w:tc>
        <w:tc>
          <w:tcPr>
            <w:tcW w:type="dxa" w:w="1870"/>
            <w:shd w:fill="DCE6F4" w:val="clear"/>
            <w:tcMar>
              <w:top w:type="dxa" w:w="60"/>
              <w:left w:type="dxa" w:w="100"/>
              <w:bottom w:type="dxa" w:w="60"/>
              <w:right w:type="dxa" w:w="100"/>
            </w:tcMar>
          </w:tcPr>
          <w:p>
            <w:pPr>
              <w:jc w:val="center"/>
            </w:pPr>
            <w:r>
              <w:rPr>
                <w:b w:val="false"/>
                <w:bCs w:val="false"/>
                <w:color w:val="000000"/>
                <w:sz w:val="17"/>
                <w:szCs w:val="17"/>
              </w:rPr>
              <w:t xml:space="preserve">0,187</w:t>
            </w:r>
          </w:p>
        </w:tc>
      </w:tr>
      <w:tr>
        <w:tc>
          <w:tcPr>
            <w:tcW w:type="dxa" w:w="3179"/>
            <w:shd w:fill="DCE6F4" w:val="clear"/>
            <w:tcMar>
              <w:top w:type="dxa" w:w="60"/>
              <w:left w:type="dxa" w:w="100"/>
              <w:bottom w:type="dxa" w:w="60"/>
              <w:right w:type="dxa" w:w="100"/>
            </w:tcMar>
          </w:tcPr>
          <w:p>
            <w:pPr>
              <w:jc w:val="left"/>
            </w:pPr>
            <w:r>
              <w:rPr>
                <w:b w:val="false"/>
                <w:bCs w:val="false"/>
                <w:color w:val="000000"/>
                <w:sz w:val="17"/>
                <w:szCs w:val="17"/>
              </w:rPr>
              <w:t xml:space="preserve">Kronolojik (ayrık + kayma)</w:t>
            </w:r>
          </w:p>
        </w:tc>
        <w:tc>
          <w:tcPr>
            <w:tcW w:type="dxa" w:w="1496"/>
            <w:shd w:fill="DCE6F4" w:val="clear"/>
            <w:tcMar>
              <w:top w:type="dxa" w:w="60"/>
              <w:left w:type="dxa" w:w="100"/>
              <w:bottom w:type="dxa" w:w="60"/>
              <w:right w:type="dxa" w:w="100"/>
            </w:tcMar>
          </w:tcPr>
          <w:p>
            <w:pPr>
              <w:jc w:val="center"/>
            </w:pPr>
            <w:r>
              <w:rPr>
                <w:b w:val="false"/>
                <w:bCs w:val="false"/>
                <w:color w:val="000000"/>
                <w:sz w:val="17"/>
                <w:szCs w:val="17"/>
              </w:rPr>
              <w:t xml:space="preserve">Var</w:t>
            </w:r>
          </w:p>
        </w:tc>
        <w:tc>
          <w:tcPr>
            <w:tcW w:type="dxa" w:w="2805"/>
            <w:shd w:fill="DCE6F4" w:val="clear"/>
            <w:tcMar>
              <w:top w:type="dxa" w:w="60"/>
              <w:left w:type="dxa" w:w="100"/>
              <w:bottom w:type="dxa" w:w="60"/>
              <w:right w:type="dxa" w:w="100"/>
            </w:tcMar>
          </w:tcPr>
          <w:p>
            <w:pPr>
              <w:jc w:val="center"/>
            </w:pPr>
            <w:r>
              <w:rPr>
                <w:b w:val="false"/>
                <w:bCs w:val="false"/>
                <w:color w:val="000000"/>
                <w:sz w:val="17"/>
                <w:szCs w:val="17"/>
              </w:rPr>
              <w:t xml:space="preserve">0,548 [0,532–0,563]</w:t>
            </w:r>
          </w:p>
        </w:tc>
        <w:tc>
          <w:tcPr>
            <w:tcW w:type="dxa" w:w="1870"/>
            <w:shd w:fill="DCE6F4" w:val="clear"/>
            <w:tcMar>
              <w:top w:type="dxa" w:w="60"/>
              <w:left w:type="dxa" w:w="100"/>
              <w:bottom w:type="dxa" w:w="60"/>
              <w:right w:type="dxa" w:w="100"/>
            </w:tcMar>
          </w:tcPr>
          <w:p>
            <w:pPr>
              <w:jc w:val="center"/>
            </w:pPr>
            <w:r>
              <w:rPr>
                <w:b w:val="false"/>
                <w:bCs w:val="false"/>
                <w:color w:val="000000"/>
                <w:sz w:val="17"/>
                <w:szCs w:val="17"/>
              </w:rPr>
              <w:t xml:space="preserve">0,188</w:t>
            </w:r>
          </w:p>
        </w:tc>
      </w:tr>
    </w:tbl>
    <w:p>
      <w:pPr>
        <w:spacing w:after="70" w:before="60"/>
      </w:pPr>
      <w:r>
        <w:rPr>
          <w:b/>
          <w:bCs/>
          <w:sz w:val="17"/>
          <w:szCs w:val="17"/>
        </w:rPr>
        <w:t xml:space="preserve">Tablo 4. Düşüşün bileşenlerine ayrıştırılması (hasta geçmişi olmayan senaryolar).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79"/>
        <w:gridCol w:w="2057"/>
        <w:gridCol w:w="4114"/>
      </w:tblGrid>
      <w:tr>
        <w:trPr>
          <w:tblHeader/>
        </w:trPr>
        <w:tc>
          <w:tcPr>
            <w:tcW w:type="dxa" w:w="3179"/>
            <w:shd w:fill="2F5496" w:val="clear"/>
            <w:tcMar>
              <w:top w:type="dxa" w:w="60"/>
              <w:left w:type="dxa" w:w="100"/>
              <w:bottom w:type="dxa" w:w="60"/>
              <w:right w:type="dxa" w:w="100"/>
            </w:tcMar>
          </w:tcPr>
          <w:p>
            <w:pPr>
              <w:jc w:val="center"/>
            </w:pPr>
            <w:r>
              <w:rPr>
                <w:b/>
                <w:bCs/>
                <w:color w:val="FFFFFF"/>
                <w:sz w:val="17"/>
                <w:szCs w:val="17"/>
              </w:rPr>
              <w:t xml:space="preserve">Bileşen</w:t>
            </w:r>
          </w:p>
        </w:tc>
        <w:tc>
          <w:tcPr>
            <w:tcW w:type="dxa" w:w="2057"/>
            <w:shd w:fill="2F5496" w:val="clear"/>
            <w:tcMar>
              <w:top w:type="dxa" w:w="60"/>
              <w:left w:type="dxa" w:w="100"/>
              <w:bottom w:type="dxa" w:w="60"/>
              <w:right w:type="dxa" w:w="100"/>
            </w:tcMar>
          </w:tcPr>
          <w:p>
            <w:pPr>
              <w:jc w:val="center"/>
            </w:pPr>
            <w:r>
              <w:rPr>
                <w:b/>
                <w:bCs/>
                <w:color w:val="FFFFFF"/>
                <w:sz w:val="17"/>
                <w:szCs w:val="17"/>
              </w:rPr>
              <w:t xml:space="preserve">ROC-AUC farkı</w:t>
            </w:r>
          </w:p>
        </w:tc>
        <w:tc>
          <w:tcPr>
            <w:tcW w:type="dxa" w:w="4114"/>
            <w:shd w:fill="2F5496" w:val="clear"/>
            <w:tcMar>
              <w:top w:type="dxa" w:w="60"/>
              <w:left w:type="dxa" w:w="100"/>
              <w:bottom w:type="dxa" w:w="60"/>
              <w:right w:type="dxa" w:w="100"/>
            </w:tcMar>
          </w:tcPr>
          <w:p>
            <w:pPr>
              <w:jc w:val="center"/>
            </w:pPr>
            <w:r>
              <w:rPr>
                <w:b/>
                <w:bCs/>
                <w:color w:val="FFFFFF"/>
                <w:sz w:val="17"/>
                <w:szCs w:val="17"/>
              </w:rPr>
              <w:t xml:space="preserve">Yorum</w:t>
            </w:r>
          </w:p>
        </w:tc>
      </w:tr>
      <w:tr>
        <w:tc>
          <w:tcPr>
            <w:tcW w:type="dxa" w:w="3179"/>
            <w:tcMar>
              <w:top w:type="dxa" w:w="60"/>
              <w:left w:type="dxa" w:w="100"/>
              <w:bottom w:type="dxa" w:w="60"/>
              <w:right w:type="dxa" w:w="100"/>
            </w:tcMar>
          </w:tcPr>
          <w:p>
            <w:pPr>
              <w:jc w:val="left"/>
            </w:pPr>
            <w:r>
              <w:rPr>
                <w:b w:val="false"/>
                <w:bCs w:val="false"/>
                <w:color w:val="000000"/>
                <w:sz w:val="17"/>
                <w:szCs w:val="17"/>
              </w:rPr>
              <w:t xml:space="preserve">Satır-rastgele → Hasta-ayrık</w:t>
            </w:r>
          </w:p>
        </w:tc>
        <w:tc>
          <w:tcPr>
            <w:tcW w:type="dxa" w:w="2057"/>
            <w:tcMar>
              <w:top w:type="dxa" w:w="60"/>
              <w:left w:type="dxa" w:w="100"/>
              <w:bottom w:type="dxa" w:w="60"/>
              <w:right w:type="dxa" w:w="100"/>
            </w:tcMar>
          </w:tcPr>
          <w:p>
            <w:pPr>
              <w:jc w:val="center"/>
            </w:pPr>
            <w:r>
              <w:rPr>
                <w:b w:val="false"/>
                <w:bCs w:val="false"/>
                <w:color w:val="000000"/>
                <w:sz w:val="17"/>
                <w:szCs w:val="17"/>
              </w:rPr>
              <w:t xml:space="preserve">−0,117</w:t>
            </w:r>
          </w:p>
        </w:tc>
        <w:tc>
          <w:tcPr>
            <w:tcW w:type="dxa" w:w="4114"/>
            <w:tcMar>
              <w:top w:type="dxa" w:w="60"/>
              <w:left w:type="dxa" w:w="100"/>
              <w:bottom w:type="dxa" w:w="60"/>
              <w:right w:type="dxa" w:w="100"/>
            </w:tcMar>
          </w:tcPr>
          <w:p>
            <w:pPr>
              <w:jc w:val="center"/>
            </w:pPr>
            <w:r>
              <w:rPr>
                <w:b w:val="false"/>
                <w:bCs w:val="false"/>
                <w:color w:val="000000"/>
                <w:sz w:val="17"/>
                <w:szCs w:val="17"/>
              </w:rPr>
              <w:t xml:space="preserve">Hasta sızıntısının payı</w:t>
            </w:r>
          </w:p>
        </w:tc>
      </w:tr>
      <w:tr>
        <w:tc>
          <w:tcPr>
            <w:tcW w:type="dxa" w:w="3179"/>
            <w:tcMar>
              <w:top w:type="dxa" w:w="60"/>
              <w:left w:type="dxa" w:w="100"/>
              <w:bottom w:type="dxa" w:w="60"/>
              <w:right w:type="dxa" w:w="100"/>
            </w:tcMar>
          </w:tcPr>
          <w:p>
            <w:pPr>
              <w:jc w:val="left"/>
            </w:pPr>
            <w:r>
              <w:rPr>
                <w:b w:val="false"/>
                <w:bCs w:val="false"/>
                <w:color w:val="000000"/>
                <w:sz w:val="17"/>
                <w:szCs w:val="17"/>
              </w:rPr>
              <w:t xml:space="preserve">Hasta-ayrık → Kronolojik</w:t>
            </w:r>
          </w:p>
        </w:tc>
        <w:tc>
          <w:tcPr>
            <w:tcW w:type="dxa" w:w="2057"/>
            <w:tcMar>
              <w:top w:type="dxa" w:w="60"/>
              <w:left w:type="dxa" w:w="100"/>
              <w:bottom w:type="dxa" w:w="60"/>
              <w:right w:type="dxa" w:w="100"/>
            </w:tcMar>
          </w:tcPr>
          <w:p>
            <w:pPr>
              <w:jc w:val="center"/>
            </w:pPr>
            <w:r>
              <w:rPr>
                <w:b w:val="false"/>
                <w:bCs w:val="false"/>
                <w:color w:val="000000"/>
                <w:sz w:val="17"/>
                <w:szCs w:val="17"/>
              </w:rPr>
              <w:t xml:space="preserve">−0,110</w:t>
            </w:r>
          </w:p>
        </w:tc>
        <w:tc>
          <w:tcPr>
            <w:tcW w:type="dxa" w:w="4114"/>
            <w:tcMar>
              <w:top w:type="dxa" w:w="60"/>
              <w:left w:type="dxa" w:w="100"/>
              <w:bottom w:type="dxa" w:w="60"/>
              <w:right w:type="dxa" w:w="100"/>
            </w:tcMar>
          </w:tcPr>
          <w:p>
            <w:pPr>
              <w:jc w:val="center"/>
            </w:pPr>
            <w:r>
              <w:rPr>
                <w:b w:val="false"/>
                <w:bCs w:val="false"/>
                <w:color w:val="000000"/>
                <w:sz w:val="17"/>
                <w:szCs w:val="17"/>
              </w:rPr>
              <w:t xml:space="preserve">Zamansal kaymanın payı</w:t>
            </w:r>
          </w:p>
        </w:tc>
      </w:tr>
      <w:tr>
        <w:tc>
          <w:tcPr>
            <w:tcW w:type="dxa" w:w="3179"/>
            <w:tcMar>
              <w:top w:type="dxa" w:w="60"/>
              <w:left w:type="dxa" w:w="100"/>
              <w:bottom w:type="dxa" w:w="60"/>
              <w:right w:type="dxa" w:w="100"/>
            </w:tcMar>
          </w:tcPr>
          <w:p>
            <w:pPr>
              <w:jc w:val="left"/>
            </w:pPr>
            <w:r>
              <w:rPr>
                <w:b w:val="false"/>
                <w:bCs w:val="false"/>
                <w:color w:val="000000"/>
                <w:sz w:val="17"/>
                <w:szCs w:val="17"/>
              </w:rPr>
              <w:t xml:space="preserve">Toplam düşüş</w:t>
            </w:r>
          </w:p>
        </w:tc>
        <w:tc>
          <w:tcPr>
            <w:tcW w:type="dxa" w:w="2057"/>
            <w:tcMar>
              <w:top w:type="dxa" w:w="60"/>
              <w:left w:type="dxa" w:w="100"/>
              <w:bottom w:type="dxa" w:w="60"/>
              <w:right w:type="dxa" w:w="100"/>
            </w:tcMar>
          </w:tcPr>
          <w:p>
            <w:pPr>
              <w:jc w:val="center"/>
            </w:pPr>
            <w:r>
              <w:rPr>
                <w:b w:val="false"/>
                <w:bCs w:val="false"/>
                <w:color w:val="000000"/>
                <w:sz w:val="17"/>
                <w:szCs w:val="17"/>
              </w:rPr>
              <w:t xml:space="preserve">−0,227</w:t>
            </w:r>
          </w:p>
        </w:tc>
        <w:tc>
          <w:tcPr>
            <w:tcW w:type="dxa" w:w="4114"/>
            <w:tcMar>
              <w:top w:type="dxa" w:w="60"/>
              <w:left w:type="dxa" w:w="100"/>
              <w:bottom w:type="dxa" w:w="60"/>
              <w:right w:type="dxa" w:w="100"/>
            </w:tcMar>
          </w:tcPr>
          <w:p>
            <w:pPr>
              <w:jc w:val="center"/>
            </w:pPr>
            <w:r>
              <w:rPr>
                <w:b w:val="false"/>
                <w:bCs w:val="false"/>
                <w:color w:val="000000"/>
                <w:sz w:val="17"/>
                <w:szCs w:val="17"/>
              </w:rPr>
              <w:t xml:space="preserve">Rastgeleden gerçek prospektife</w:t>
            </w:r>
          </w:p>
        </w:tc>
      </w:tr>
    </w:tbl>
    <w:p>
      <w:pPr>
        <w:spacing w:after="150" w:line="274"/>
        <w:jc w:val="both"/>
      </w:pPr>
      <w:r>
        <w:rPr>
          <w:b w:val="false"/>
          <w:bCs w:val="false"/>
          <w:i w:val="false"/>
          <w:iCs w:val="false"/>
        </w:rPr>
        <w:t xml:space="preserve">Bu ayrıştırma, çalışmanın en önemli katkısıdır: satır-rastgele bölünmeyle raporlanan 0,775'lik performansın, gerçek prospektif dağıtımda beklenebilecek 0,548'e düşüşünün neredeyse tam yarısı (−0,117) hastaların hem eğitim hem test setinde bulunmasından (hasta sızıntısı), diğer yarısı (−0,110) ise devamsızlık davranışının zaman içindeki değişiminden (zamansal kayma) kaynaklanmaktadır. Literatürdeki birçok çalışmanın yalnızca satır-rastgele bölünme raporladığı düşünüldüğünde, bu bulgu alandaki performans iddialarının çift yönlü bir iyimserlik içerebileceğini göstermektedir. Ayrıca, türetilmiş hasta geçmişi öznitelikleri hiçbir stratejide performansı artırmamış; bu, mevcut vekil geçmişin tahmin gücüne anlamlı katkı sağlamadığını ortaya koymuştur.</w:t>
      </w:r>
    </w:p>
    <w:p>
      <w:pPr>
        <w:pStyle w:val="Heading2"/>
        <w:spacing w:after="110" w:before="220"/>
      </w:pPr>
      <w:r>
        <w:t xml:space="preserve">4.4 Kronolojik Çöküşün Mekanizması</w:t>
      </w:r>
    </w:p>
    <w:p>
      <w:pPr>
        <w:spacing w:after="150" w:line="274"/>
        <w:jc w:val="both"/>
      </w:pPr>
      <w:r>
        <w:rPr>
          <w:b w:val="false"/>
          <w:bCs w:val="false"/>
          <w:i w:val="false"/>
          <w:iCs w:val="false"/>
        </w:rPr>
        <w:t xml:space="preserve">Kronolojik çöküşün nedenleri üç eksende nicelleştirilmiştir. Birincisi, no-show taban oranı 2016'da %4,0 iken 2022'de %20,4'e monoton yükselmiştir (prior/label shift). İkincisi, kronolojik model kalibrasyon açısından bozulmuştur: ortalama tahmini olasılık 0,207 iken gerçek taban oran 0,160'tır; yani model, geçmiş eğitim dönemindeki artış eğilimini yansıtarak test döneminde fazla tahmin etmektedir (Brier=0,141). Üçüncüsü, yıl bazında incelendiğinde modelin ayırt ediciliği test döneminin ilerleyen yıllarında daha da bozulmaktadır (2021 AUC=0,555; 2022 AUC=0,496). SHAP analizinde en etkili öznitelik takvim yılı (appointment_year) olarak bulunmuş; bu, modelin döneme-özgü bir sinyale bağımlılığını ve dolayısıyla zamansal kaymaya kırılganlığını doğrulamaktadır.</w:t>
      </w:r>
    </w:p>
    <w:p>
      <w:pPr>
        <w:spacing w:after="150" w:line="274"/>
        <w:jc w:val="both"/>
      </w:pPr>
      <w:r>
        <w:rPr>
          <w:b w:val="false"/>
          <w:bCs w:val="false"/>
          <w:i w:val="false"/>
          <w:iCs w:val="false"/>
        </w:rPr>
        <w:t xml:space="preserve">Bu bağımlılığı azaltmaya yönelik olarak, öznitelik seti yalnızca zamandan bağımsız (stabil) değişkenlere —yaş, lead_time, haftanın günü ve sızıntısız hasta geçmişi— indirgendiğinde kronolojik ROC-AUC 0,548'den 0,642'ye (üç rastgele tohumda ±0,002) yükselmiştir. Önemle belirtilmelidir ki bu kazanım tek başına takvim özniteliklerini çıkarmaktan kaynaklanmamaktadır; nitekim tam öznitelik setinden yalnızca takvim değişkenleri çıkarıldığında kronolojik AUC hafifçe düşmektedir (0,548→0,542). Kazanım, öznitelik setinin bütünüyle küçük ve durağan bir alt kümeye indirgenerek modelin döneme-özgü örüntülere aşırı uyumunun azaltılmasından gelmektedir. Bu nedenle bu yaklaşım bir çözüm değil, bir hafifletme stratejisi olarak sunulmaktadır; kronolojik performans hâlâ satır-rastgele düzeyinin belirgin biçimde altındadır.</w:t>
      </w:r>
    </w:p>
    <w:p>
      <w:r>
        <w:br w:type="page"/>
      </w:r>
    </w:p>
    <w:p>
      <w:pPr>
        <w:pStyle w:val="Heading2"/>
        <w:spacing w:after="110" w:before="220"/>
      </w:pPr>
      <w:r>
        <w:t xml:space="preserve">4.5 Sağlamlık ve Klinik Fayda Analizleri</w:t>
      </w:r>
    </w:p>
    <w:p>
      <w:pPr>
        <w:spacing w:after="150" w:line="274"/>
        <w:jc w:val="both"/>
      </w:pPr>
      <w:r>
        <w:rPr>
          <w:b w:val="false"/>
          <w:bCs w:val="false"/>
          <w:i w:val="false"/>
          <w:iCs w:val="false"/>
        </w:rPr>
        <w:t xml:space="preserve">Modelin ayrım gücünün ötesinde klinik ve metodolojik sağlamlığını değerlendirmek için üç ek analiz yürütülmüştür. Birincisi, karar eğrisi analizi (decision curve analysis) ile modelin klinik net faydası, 'tüm hastalara müdahale' ve 'hiçbir hastaya müdahale etmeme' stratejileriyle karşılaştırılmıştır. Model, makul eşik olasılık aralığının tamamında (0,05–0,50) her iki naive stratejiden daha yüksek net fayda sağlamıştır; bu, modelin bu maliyet-fayda aralığında klinik karar desteği olarak faydalı olabileceğini göstermektedir.</w:t>
      </w:r>
    </w:p>
    <w:p>
      <w:pPr>
        <w:spacing w:after="150" w:line="274"/>
        <w:jc w:val="both"/>
      </w:pPr>
      <w:r>
        <w:rPr>
          <w:b w:val="false"/>
          <w:bCs w:val="false"/>
          <w:i w:val="false"/>
          <w:iCs w:val="false"/>
        </w:rPr>
        <w:t xml:space="preserve">İkincisi, modelin farklı hasta alt gruplarındaki tutarlılığı (adalet) incelenmiştir. Dış test setinde cinsiyet ve yaş gruplarına göre ayrım gücü Tablo 5'te sunulmaktadır; alt gruplar arası ROC-AUC farkı yalnızca 0,029 olup, model kaba adalet açısından gruplar arasında belirgin bir tutarsızlık göstermemektedir.</w:t>
      </w:r>
    </w:p>
    <w:p>
      <w:pPr>
        <w:spacing w:after="70" w:before="60"/>
      </w:pPr>
      <w:r>
        <w:rPr>
          <w:b/>
          <w:bCs/>
          <w:sz w:val="17"/>
          <w:szCs w:val="17"/>
        </w:rPr>
        <w:t xml:space="preserve">Tablo 5. Alt-grup ayrım gücü (v4 şampiyon model, dış test).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79"/>
        <w:gridCol w:w="1683"/>
        <w:gridCol w:w="2244"/>
        <w:gridCol w:w="2244"/>
      </w:tblGrid>
      <w:tr>
        <w:trPr>
          <w:tblHeader/>
        </w:trPr>
        <w:tc>
          <w:tcPr>
            <w:tcW w:type="dxa" w:w="3179"/>
            <w:shd w:fill="2F5496" w:val="clear"/>
            <w:tcMar>
              <w:top w:type="dxa" w:w="60"/>
              <w:left w:type="dxa" w:w="100"/>
              <w:bottom w:type="dxa" w:w="60"/>
              <w:right w:type="dxa" w:w="100"/>
            </w:tcMar>
          </w:tcPr>
          <w:p>
            <w:pPr>
              <w:jc w:val="center"/>
            </w:pPr>
            <w:r>
              <w:rPr>
                <w:b/>
                <w:bCs/>
                <w:color w:val="FFFFFF"/>
                <w:sz w:val="17"/>
                <w:szCs w:val="17"/>
              </w:rPr>
              <w:t xml:space="preserve">Alt grup</w:t>
            </w:r>
          </w:p>
        </w:tc>
        <w:tc>
          <w:tcPr>
            <w:tcW w:type="dxa" w:w="1683"/>
            <w:shd w:fill="2F5496" w:val="clear"/>
            <w:tcMar>
              <w:top w:type="dxa" w:w="60"/>
              <w:left w:type="dxa" w:w="100"/>
              <w:bottom w:type="dxa" w:w="60"/>
              <w:right w:type="dxa" w:w="100"/>
            </w:tcMar>
          </w:tcPr>
          <w:p>
            <w:pPr>
              <w:jc w:val="center"/>
            </w:pPr>
            <w:r>
              <w:rPr>
                <w:b/>
                <w:bCs/>
                <w:color w:val="FFFFFF"/>
                <w:sz w:val="17"/>
                <w:szCs w:val="17"/>
              </w:rPr>
              <w:t xml:space="preserve">N</w:t>
            </w:r>
          </w:p>
        </w:tc>
        <w:tc>
          <w:tcPr>
            <w:tcW w:type="dxa" w:w="2244"/>
            <w:shd w:fill="2F5496" w:val="clear"/>
            <w:tcMar>
              <w:top w:type="dxa" w:w="60"/>
              <w:left w:type="dxa" w:w="100"/>
              <w:bottom w:type="dxa" w:w="60"/>
              <w:right w:type="dxa" w:w="100"/>
            </w:tcMar>
          </w:tcPr>
          <w:p>
            <w:pPr>
              <w:jc w:val="center"/>
            </w:pPr>
            <w:r>
              <w:rPr>
                <w:b/>
                <w:bCs/>
                <w:color w:val="FFFFFF"/>
                <w:sz w:val="17"/>
                <w:szCs w:val="17"/>
              </w:rPr>
              <w:t xml:space="preserve">No-show oranı</w:t>
            </w:r>
          </w:p>
        </w:tc>
        <w:tc>
          <w:tcPr>
            <w:tcW w:type="dxa" w:w="2244"/>
            <w:shd w:fill="2F5496" w:val="clear"/>
            <w:tcMar>
              <w:top w:type="dxa" w:w="60"/>
              <w:left w:type="dxa" w:w="100"/>
              <w:bottom w:type="dxa" w:w="60"/>
              <w:right w:type="dxa" w:w="100"/>
            </w:tcMar>
          </w:tcPr>
          <w:p>
            <w:pPr>
              <w:jc w:val="center"/>
            </w:pPr>
            <w:r>
              <w:rPr>
                <w:b/>
                <w:bCs/>
                <w:color w:val="FFFFFF"/>
                <w:sz w:val="17"/>
                <w:szCs w:val="17"/>
              </w:rPr>
              <w:t xml:space="preserve">ROC-AUC</w:t>
            </w:r>
          </w:p>
        </w:tc>
      </w:tr>
      <w:tr>
        <w:tc>
          <w:tcPr>
            <w:tcW w:type="dxa" w:w="3179"/>
            <w:tcMar>
              <w:top w:type="dxa" w:w="60"/>
              <w:left w:type="dxa" w:w="100"/>
              <w:bottom w:type="dxa" w:w="60"/>
              <w:right w:type="dxa" w:w="100"/>
            </w:tcMar>
          </w:tcPr>
          <w:p>
            <w:pPr>
              <w:jc w:val="left"/>
            </w:pPr>
            <w:r>
              <w:rPr>
                <w:b w:val="false"/>
                <w:bCs w:val="false"/>
                <w:color w:val="000000"/>
                <w:sz w:val="17"/>
                <w:szCs w:val="17"/>
              </w:rPr>
              <w:t xml:space="preserve">Kadın</w:t>
            </w:r>
          </w:p>
        </w:tc>
        <w:tc>
          <w:tcPr>
            <w:tcW w:type="dxa" w:w="1683"/>
            <w:tcMar>
              <w:top w:type="dxa" w:w="60"/>
              <w:left w:type="dxa" w:w="100"/>
              <w:bottom w:type="dxa" w:w="60"/>
              <w:right w:type="dxa" w:w="100"/>
            </w:tcMar>
          </w:tcPr>
          <w:p>
            <w:pPr>
              <w:jc w:val="center"/>
            </w:pPr>
            <w:r>
              <w:rPr>
                <w:b w:val="false"/>
                <w:bCs w:val="false"/>
                <w:color w:val="000000"/>
                <w:sz w:val="17"/>
                <w:szCs w:val="17"/>
              </w:rPr>
              <w:t xml:space="preserve">2.288</w:t>
            </w:r>
          </w:p>
        </w:tc>
        <w:tc>
          <w:tcPr>
            <w:tcW w:type="dxa" w:w="2244"/>
            <w:tcMar>
              <w:top w:type="dxa" w:w="60"/>
              <w:left w:type="dxa" w:w="100"/>
              <w:bottom w:type="dxa" w:w="60"/>
              <w:right w:type="dxa" w:w="100"/>
            </w:tcMar>
          </w:tcPr>
          <w:p>
            <w:pPr>
              <w:jc w:val="center"/>
            </w:pPr>
            <w:r>
              <w:rPr>
                <w:b w:val="false"/>
                <w:bCs w:val="false"/>
                <w:color w:val="000000"/>
                <w:sz w:val="17"/>
                <w:szCs w:val="17"/>
              </w:rPr>
              <w:t xml:space="preserve">0,104</w:t>
            </w:r>
          </w:p>
        </w:tc>
        <w:tc>
          <w:tcPr>
            <w:tcW w:type="dxa" w:w="2244"/>
            <w:tcMar>
              <w:top w:type="dxa" w:w="60"/>
              <w:left w:type="dxa" w:w="100"/>
              <w:bottom w:type="dxa" w:w="60"/>
              <w:right w:type="dxa" w:w="100"/>
            </w:tcMar>
          </w:tcPr>
          <w:p>
            <w:pPr>
              <w:jc w:val="center"/>
            </w:pPr>
            <w:r>
              <w:rPr>
                <w:b w:val="false"/>
                <w:bCs w:val="false"/>
                <w:color w:val="000000"/>
                <w:sz w:val="17"/>
                <w:szCs w:val="17"/>
              </w:rPr>
              <w:t xml:space="preserve">0,769</w:t>
            </w:r>
          </w:p>
        </w:tc>
      </w:tr>
      <w:tr>
        <w:tc>
          <w:tcPr>
            <w:tcW w:type="dxa" w:w="3179"/>
            <w:tcMar>
              <w:top w:type="dxa" w:w="60"/>
              <w:left w:type="dxa" w:w="100"/>
              <w:bottom w:type="dxa" w:w="60"/>
              <w:right w:type="dxa" w:w="100"/>
            </w:tcMar>
          </w:tcPr>
          <w:p>
            <w:pPr>
              <w:jc w:val="left"/>
            </w:pPr>
            <w:r>
              <w:rPr>
                <w:b w:val="false"/>
                <w:bCs w:val="false"/>
                <w:color w:val="000000"/>
                <w:sz w:val="17"/>
                <w:szCs w:val="17"/>
              </w:rPr>
              <w:t xml:space="preserve">Erkek</w:t>
            </w:r>
          </w:p>
        </w:tc>
        <w:tc>
          <w:tcPr>
            <w:tcW w:type="dxa" w:w="1683"/>
            <w:tcMar>
              <w:top w:type="dxa" w:w="60"/>
              <w:left w:type="dxa" w:w="100"/>
              <w:bottom w:type="dxa" w:w="60"/>
              <w:right w:type="dxa" w:w="100"/>
            </w:tcMar>
          </w:tcPr>
          <w:p>
            <w:pPr>
              <w:jc w:val="center"/>
            </w:pPr>
            <w:r>
              <w:rPr>
                <w:b w:val="false"/>
                <w:bCs w:val="false"/>
                <w:color w:val="000000"/>
                <w:sz w:val="17"/>
                <w:szCs w:val="17"/>
              </w:rPr>
              <w:t xml:space="preserve">7.040</w:t>
            </w:r>
          </w:p>
        </w:tc>
        <w:tc>
          <w:tcPr>
            <w:tcW w:type="dxa" w:w="2244"/>
            <w:tcMar>
              <w:top w:type="dxa" w:w="60"/>
              <w:left w:type="dxa" w:w="100"/>
              <w:bottom w:type="dxa" w:w="60"/>
              <w:right w:type="dxa" w:w="100"/>
            </w:tcMar>
          </w:tcPr>
          <w:p>
            <w:pPr>
              <w:jc w:val="center"/>
            </w:pPr>
            <w:r>
              <w:rPr>
                <w:b w:val="false"/>
                <w:bCs w:val="false"/>
                <w:color w:val="000000"/>
                <w:sz w:val="17"/>
                <w:szCs w:val="17"/>
              </w:rPr>
              <w:t xml:space="preserve">0,099</w:t>
            </w:r>
          </w:p>
        </w:tc>
        <w:tc>
          <w:tcPr>
            <w:tcW w:type="dxa" w:w="2244"/>
            <w:tcMar>
              <w:top w:type="dxa" w:w="60"/>
              <w:left w:type="dxa" w:w="100"/>
              <w:bottom w:type="dxa" w:w="60"/>
              <w:right w:type="dxa" w:w="100"/>
            </w:tcMar>
          </w:tcPr>
          <w:p>
            <w:pPr>
              <w:jc w:val="center"/>
            </w:pPr>
            <w:r>
              <w:rPr>
                <w:b w:val="false"/>
                <w:bCs w:val="false"/>
                <w:color w:val="000000"/>
                <w:sz w:val="17"/>
                <w:szCs w:val="17"/>
              </w:rPr>
              <w:t xml:space="preserve">0,777</w:t>
            </w:r>
          </w:p>
        </w:tc>
      </w:tr>
      <w:tr>
        <w:tc>
          <w:tcPr>
            <w:tcW w:type="dxa" w:w="3179"/>
            <w:tcMar>
              <w:top w:type="dxa" w:w="60"/>
              <w:left w:type="dxa" w:w="100"/>
              <w:bottom w:type="dxa" w:w="60"/>
              <w:right w:type="dxa" w:w="100"/>
            </w:tcMar>
          </w:tcPr>
          <w:p>
            <w:pPr>
              <w:jc w:val="left"/>
            </w:pPr>
            <w:r>
              <w:rPr>
                <w:b w:val="false"/>
                <w:bCs w:val="false"/>
                <w:color w:val="000000"/>
                <w:sz w:val="17"/>
                <w:szCs w:val="17"/>
              </w:rPr>
              <w:t xml:space="preserve">Yaş 0-17</w:t>
            </w:r>
          </w:p>
        </w:tc>
        <w:tc>
          <w:tcPr>
            <w:tcW w:type="dxa" w:w="1683"/>
            <w:tcMar>
              <w:top w:type="dxa" w:w="60"/>
              <w:left w:type="dxa" w:w="100"/>
              <w:bottom w:type="dxa" w:w="60"/>
              <w:right w:type="dxa" w:w="100"/>
            </w:tcMar>
          </w:tcPr>
          <w:p>
            <w:pPr>
              <w:jc w:val="center"/>
            </w:pPr>
            <w:r>
              <w:rPr>
                <w:b w:val="false"/>
                <w:bCs w:val="false"/>
                <w:color w:val="000000"/>
                <w:sz w:val="17"/>
                <w:szCs w:val="17"/>
              </w:rPr>
              <w:t xml:space="preserve">7.801</w:t>
            </w:r>
          </w:p>
        </w:tc>
        <w:tc>
          <w:tcPr>
            <w:tcW w:type="dxa" w:w="2244"/>
            <w:tcMar>
              <w:top w:type="dxa" w:w="60"/>
              <w:left w:type="dxa" w:w="100"/>
              <w:bottom w:type="dxa" w:w="60"/>
              <w:right w:type="dxa" w:w="100"/>
            </w:tcMar>
          </w:tcPr>
          <w:p>
            <w:pPr>
              <w:jc w:val="center"/>
            </w:pPr>
            <w:r>
              <w:rPr>
                <w:b w:val="false"/>
                <w:bCs w:val="false"/>
                <w:color w:val="000000"/>
                <w:sz w:val="17"/>
                <w:szCs w:val="17"/>
              </w:rPr>
              <w:t xml:space="preserve">0,100</w:t>
            </w:r>
          </w:p>
        </w:tc>
        <w:tc>
          <w:tcPr>
            <w:tcW w:type="dxa" w:w="2244"/>
            <w:tcMar>
              <w:top w:type="dxa" w:w="60"/>
              <w:left w:type="dxa" w:w="100"/>
              <w:bottom w:type="dxa" w:w="60"/>
              <w:right w:type="dxa" w:w="100"/>
            </w:tcMar>
          </w:tcPr>
          <w:p>
            <w:pPr>
              <w:jc w:val="center"/>
            </w:pPr>
            <w:r>
              <w:rPr>
                <w:b w:val="false"/>
                <w:bCs w:val="false"/>
                <w:color w:val="000000"/>
                <w:sz w:val="17"/>
                <w:szCs w:val="17"/>
              </w:rPr>
              <w:t xml:space="preserve">0,778</w:t>
            </w:r>
          </w:p>
        </w:tc>
      </w:tr>
      <w:tr>
        <w:tc>
          <w:tcPr>
            <w:tcW w:type="dxa" w:w="3179"/>
            <w:tcMar>
              <w:top w:type="dxa" w:w="60"/>
              <w:left w:type="dxa" w:w="100"/>
              <w:bottom w:type="dxa" w:w="60"/>
              <w:right w:type="dxa" w:w="100"/>
            </w:tcMar>
          </w:tcPr>
          <w:p>
            <w:pPr>
              <w:jc w:val="left"/>
            </w:pPr>
            <w:r>
              <w:rPr>
                <w:b w:val="false"/>
                <w:bCs w:val="false"/>
                <w:color w:val="000000"/>
                <w:sz w:val="17"/>
                <w:szCs w:val="17"/>
              </w:rPr>
              <w:t xml:space="preserve">Yaş 18-39</w:t>
            </w:r>
          </w:p>
        </w:tc>
        <w:tc>
          <w:tcPr>
            <w:tcW w:type="dxa" w:w="1683"/>
            <w:tcMar>
              <w:top w:type="dxa" w:w="60"/>
              <w:left w:type="dxa" w:w="100"/>
              <w:bottom w:type="dxa" w:w="60"/>
              <w:right w:type="dxa" w:w="100"/>
            </w:tcMar>
          </w:tcPr>
          <w:p>
            <w:pPr>
              <w:jc w:val="center"/>
            </w:pPr>
            <w:r>
              <w:rPr>
                <w:b w:val="false"/>
                <w:bCs w:val="false"/>
                <w:color w:val="000000"/>
                <w:sz w:val="17"/>
                <w:szCs w:val="17"/>
              </w:rPr>
              <w:t xml:space="preserve">473</w:t>
            </w:r>
          </w:p>
        </w:tc>
        <w:tc>
          <w:tcPr>
            <w:tcW w:type="dxa" w:w="2244"/>
            <w:tcMar>
              <w:top w:type="dxa" w:w="60"/>
              <w:left w:type="dxa" w:w="100"/>
              <w:bottom w:type="dxa" w:w="60"/>
              <w:right w:type="dxa" w:w="100"/>
            </w:tcMar>
          </w:tcPr>
          <w:p>
            <w:pPr>
              <w:jc w:val="center"/>
            </w:pPr>
            <w:r>
              <w:rPr>
                <w:b w:val="false"/>
                <w:bCs w:val="false"/>
                <w:color w:val="000000"/>
                <w:sz w:val="17"/>
                <w:szCs w:val="17"/>
              </w:rPr>
              <w:t xml:space="preserve">0,078</w:t>
            </w:r>
          </w:p>
        </w:tc>
        <w:tc>
          <w:tcPr>
            <w:tcW w:type="dxa" w:w="2244"/>
            <w:tcMar>
              <w:top w:type="dxa" w:w="60"/>
              <w:left w:type="dxa" w:w="100"/>
              <w:bottom w:type="dxa" w:w="60"/>
              <w:right w:type="dxa" w:w="100"/>
            </w:tcMar>
          </w:tcPr>
          <w:p>
            <w:pPr>
              <w:jc w:val="center"/>
            </w:pPr>
            <w:r>
              <w:rPr>
                <w:b w:val="false"/>
                <w:bCs w:val="false"/>
                <w:color w:val="000000"/>
                <w:sz w:val="17"/>
                <w:szCs w:val="17"/>
              </w:rPr>
              <w:t xml:space="preserve">0,766</w:t>
            </w:r>
          </w:p>
        </w:tc>
      </w:tr>
      <w:tr>
        <w:tc>
          <w:tcPr>
            <w:tcW w:type="dxa" w:w="3179"/>
            <w:tcMar>
              <w:top w:type="dxa" w:w="60"/>
              <w:left w:type="dxa" w:w="100"/>
              <w:bottom w:type="dxa" w:w="60"/>
              <w:right w:type="dxa" w:w="100"/>
            </w:tcMar>
          </w:tcPr>
          <w:p>
            <w:pPr>
              <w:jc w:val="left"/>
            </w:pPr>
            <w:r>
              <w:rPr>
                <w:b w:val="false"/>
                <w:bCs w:val="false"/>
                <w:color w:val="000000"/>
                <w:sz w:val="17"/>
                <w:szCs w:val="17"/>
              </w:rPr>
              <w:t xml:space="preserve">Yaş 40-64</w:t>
            </w:r>
          </w:p>
        </w:tc>
        <w:tc>
          <w:tcPr>
            <w:tcW w:type="dxa" w:w="1683"/>
            <w:tcMar>
              <w:top w:type="dxa" w:w="60"/>
              <w:left w:type="dxa" w:w="100"/>
              <w:bottom w:type="dxa" w:w="60"/>
              <w:right w:type="dxa" w:w="100"/>
            </w:tcMar>
          </w:tcPr>
          <w:p>
            <w:pPr>
              <w:jc w:val="center"/>
            </w:pPr>
            <w:r>
              <w:rPr>
                <w:b w:val="false"/>
                <w:bCs w:val="false"/>
                <w:color w:val="000000"/>
                <w:sz w:val="17"/>
                <w:szCs w:val="17"/>
              </w:rPr>
              <w:t xml:space="preserve">587</w:t>
            </w:r>
          </w:p>
        </w:tc>
        <w:tc>
          <w:tcPr>
            <w:tcW w:type="dxa" w:w="2244"/>
            <w:tcMar>
              <w:top w:type="dxa" w:w="60"/>
              <w:left w:type="dxa" w:w="100"/>
              <w:bottom w:type="dxa" w:w="60"/>
              <w:right w:type="dxa" w:w="100"/>
            </w:tcMar>
          </w:tcPr>
          <w:p>
            <w:pPr>
              <w:jc w:val="center"/>
            </w:pPr>
            <w:r>
              <w:rPr>
                <w:b w:val="false"/>
                <w:bCs w:val="false"/>
                <w:color w:val="000000"/>
                <w:sz w:val="17"/>
                <w:szCs w:val="17"/>
              </w:rPr>
              <w:t xml:space="preserve">0,099</w:t>
            </w:r>
          </w:p>
        </w:tc>
        <w:tc>
          <w:tcPr>
            <w:tcW w:type="dxa" w:w="2244"/>
            <w:tcMar>
              <w:top w:type="dxa" w:w="60"/>
              <w:left w:type="dxa" w:w="100"/>
              <w:bottom w:type="dxa" w:w="60"/>
              <w:right w:type="dxa" w:w="100"/>
            </w:tcMar>
          </w:tcPr>
          <w:p>
            <w:pPr>
              <w:jc w:val="center"/>
            </w:pPr>
            <w:r>
              <w:rPr>
                <w:b w:val="false"/>
                <w:bCs w:val="false"/>
                <w:color w:val="000000"/>
                <w:sz w:val="17"/>
                <w:szCs w:val="17"/>
              </w:rPr>
              <w:t xml:space="preserve">0,750</w:t>
            </w:r>
          </w:p>
        </w:tc>
      </w:tr>
      <w:tr>
        <w:tc>
          <w:tcPr>
            <w:tcW w:type="dxa" w:w="3179"/>
            <w:tcMar>
              <w:top w:type="dxa" w:w="60"/>
              <w:left w:type="dxa" w:w="100"/>
              <w:bottom w:type="dxa" w:w="60"/>
              <w:right w:type="dxa" w:w="100"/>
            </w:tcMar>
          </w:tcPr>
          <w:p>
            <w:pPr>
              <w:jc w:val="left"/>
            </w:pPr>
            <w:r>
              <w:rPr>
                <w:b w:val="false"/>
                <w:bCs w:val="false"/>
                <w:color w:val="000000"/>
                <w:sz w:val="17"/>
                <w:szCs w:val="17"/>
              </w:rPr>
              <w:t xml:space="preserve">Yaş 65+</w:t>
            </w:r>
          </w:p>
        </w:tc>
        <w:tc>
          <w:tcPr>
            <w:tcW w:type="dxa" w:w="1683"/>
            <w:tcMar>
              <w:top w:type="dxa" w:w="60"/>
              <w:left w:type="dxa" w:w="100"/>
              <w:bottom w:type="dxa" w:w="60"/>
              <w:right w:type="dxa" w:w="100"/>
            </w:tcMar>
          </w:tcPr>
          <w:p>
            <w:pPr>
              <w:jc w:val="center"/>
            </w:pPr>
            <w:r>
              <w:rPr>
                <w:b w:val="false"/>
                <w:bCs w:val="false"/>
                <w:color w:val="000000"/>
                <w:sz w:val="17"/>
                <w:szCs w:val="17"/>
              </w:rPr>
              <w:t xml:space="preserve">468</w:t>
            </w:r>
          </w:p>
        </w:tc>
        <w:tc>
          <w:tcPr>
            <w:tcW w:type="dxa" w:w="2244"/>
            <w:tcMar>
              <w:top w:type="dxa" w:w="60"/>
              <w:left w:type="dxa" w:w="100"/>
              <w:bottom w:type="dxa" w:w="60"/>
              <w:right w:type="dxa" w:w="100"/>
            </w:tcMar>
          </w:tcPr>
          <w:p>
            <w:pPr>
              <w:jc w:val="center"/>
            </w:pPr>
            <w:r>
              <w:rPr>
                <w:b w:val="false"/>
                <w:bCs w:val="false"/>
                <w:color w:val="000000"/>
                <w:sz w:val="17"/>
                <w:szCs w:val="17"/>
              </w:rPr>
              <w:t xml:space="preserve">0,122</w:t>
            </w:r>
          </w:p>
        </w:tc>
        <w:tc>
          <w:tcPr>
            <w:tcW w:type="dxa" w:w="2244"/>
            <w:tcMar>
              <w:top w:type="dxa" w:w="60"/>
              <w:left w:type="dxa" w:w="100"/>
              <w:bottom w:type="dxa" w:w="60"/>
              <w:right w:type="dxa" w:w="100"/>
            </w:tcMar>
          </w:tcPr>
          <w:p>
            <w:pPr>
              <w:jc w:val="center"/>
            </w:pPr>
            <w:r>
              <w:rPr>
                <w:b w:val="false"/>
                <w:bCs w:val="false"/>
                <w:color w:val="000000"/>
                <w:sz w:val="17"/>
                <w:szCs w:val="17"/>
              </w:rPr>
              <w:t xml:space="preserve">0,764</w:t>
            </w:r>
          </w:p>
        </w:tc>
      </w:tr>
    </w:tbl>
    <w:p>
      <w:pPr>
        <w:spacing w:after="150" w:line="274"/>
        <w:jc w:val="both"/>
      </w:pPr>
      <w:r>
        <w:rPr>
          <w:b w:val="false"/>
          <w:bCs w:val="false"/>
          <w:i w:val="false"/>
          <w:iCs w:val="false"/>
        </w:rPr>
        <w:t xml:space="preserve">Üçüncüsü, model naive bir prevalans tahmincisiyle karşılaştırılmış ve PR-AUC açısından yaklaşık üç kat üstünlük göstermiştir (0,295'e karşı 0,100). Eğitim ve test setleri arasındaki ayrım gücü farkı (0,982'ye karşı 0,775; boşluk 0,207) Random Forest'ın eğitim verisine doğası gereği yüksek uyumunu yansıtmaktadır; bu, ağaç tabanlı topluluklarda beklenen bir durumdur ve modelin değerlendirilmesinde belirleyici ölçüt, sızıntısız protokolle elde edilen test performansıdır. Buna karşın, bu boşluk model karmaşıklığının düzenlileştirme (regularization) ile dengelenmesinde daha ileri çalışma için bir alan işaret etmektedir.</w:t>
      </w:r>
    </w:p>
    <w:p>
      <w:pPr>
        <w:pStyle w:val="Heading2"/>
        <w:spacing w:after="110" w:before="220"/>
      </w:pPr>
      <w:r>
        <w:t xml:space="preserve">4.6 Operasyonel Simülasyon: İyimser ve Gerçekçi Model Altında Fayda</w:t>
      </w:r>
    </w:p>
    <w:p>
      <w:pPr>
        <w:spacing w:after="150" w:line="274"/>
        <w:jc w:val="both"/>
      </w:pPr>
      <w:r>
        <w:rPr>
          <w:b w:val="false"/>
          <w:bCs w:val="false"/>
          <w:i w:val="false"/>
          <w:iCs w:val="false"/>
        </w:rPr>
        <w:t xml:space="preserve">Tahmin modelinin operasyonel değerini değerlendirmek için, kesikli olay simülasyonu (SimPy) ile no-show tahminine dayalı bir aşırı rezervasyon (overbooking) politikası, statik randevu düzenine karşı karşılaştırılmıştır. Danışman değerlendirmesindeki uyarı doğrultusunda simülasyon iki farklı olasılık kaynağıyla, ikili olarak raporlanmıştır: (i) iyimser rejim — satır-rastgele bölünmeyle eğitilmiş modelin olasılıkları (ROC-AUC≈0,775); (ii) gerçekçi rejim — yalnızca geçmiş dönemle (2016–2020) eğitilmiş kronolojik modelin olasılıkları (ROC-AUC≈0,55). Her iki rejimde de gerçek dünya (hangi hastanın geldiği) birebir aynı tutulmuş; yalnızca modelin overbooking kararı değiştirilmiştir; böylece fark tümüyle tahmin kalitesine atfedilebilir.</w:t>
      </w:r>
    </w:p>
    <w:p>
      <w:pPr>
        <w:spacing w:after="70" w:before="60"/>
      </w:pPr>
      <w:r>
        <w:rPr>
          <w:b/>
          <w:bCs/>
          <w:sz w:val="17"/>
          <w:szCs w:val="17"/>
        </w:rPr>
        <w:t xml:space="preserve">Tablo 6. Overbooking politikasının operasyonel faydası — iyimser ve gerçekçi model altında (statik düzene göre iyileşme, gün başına).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40"/>
        <w:gridCol w:w="2057"/>
        <w:gridCol w:w="2057"/>
        <w:gridCol w:w="1496"/>
      </w:tblGrid>
      <w:tr>
        <w:trPr>
          <w:tblHeader/>
        </w:trPr>
        <w:tc>
          <w:tcPr>
            <w:tcW w:type="dxa" w:w="3740"/>
            <w:shd w:fill="2F5496" w:val="clear"/>
            <w:tcMar>
              <w:top w:type="dxa" w:w="60"/>
              <w:left w:type="dxa" w:w="100"/>
              <w:bottom w:type="dxa" w:w="60"/>
              <w:right w:type="dxa" w:w="100"/>
            </w:tcMar>
          </w:tcPr>
          <w:p>
            <w:pPr>
              <w:jc w:val="center"/>
            </w:pPr>
            <w:r>
              <w:rPr>
                <w:b/>
                <w:bCs/>
                <w:color w:val="FFFFFF"/>
                <w:sz w:val="17"/>
                <w:szCs w:val="17"/>
              </w:rPr>
              <w:t xml:space="preserve">Metrik</w:t>
            </w:r>
          </w:p>
        </w:tc>
        <w:tc>
          <w:tcPr>
            <w:tcW w:type="dxa" w:w="2057"/>
            <w:shd w:fill="2F5496" w:val="clear"/>
            <w:tcMar>
              <w:top w:type="dxa" w:w="60"/>
              <w:left w:type="dxa" w:w="100"/>
              <w:bottom w:type="dxa" w:w="60"/>
              <w:right w:type="dxa" w:w="100"/>
            </w:tcMar>
          </w:tcPr>
          <w:p>
            <w:pPr>
              <w:jc w:val="center"/>
            </w:pPr>
            <w:r>
              <w:rPr>
                <w:b/>
                <w:bCs/>
                <w:color w:val="FFFFFF"/>
                <w:sz w:val="17"/>
                <w:szCs w:val="17"/>
              </w:rPr>
              <w:t xml:space="preserve">İyimser (rastgele)</w:t>
            </w:r>
          </w:p>
        </w:tc>
        <w:tc>
          <w:tcPr>
            <w:tcW w:type="dxa" w:w="2057"/>
            <w:shd w:fill="2F5496" w:val="clear"/>
            <w:tcMar>
              <w:top w:type="dxa" w:w="60"/>
              <w:left w:type="dxa" w:w="100"/>
              <w:bottom w:type="dxa" w:w="60"/>
              <w:right w:type="dxa" w:w="100"/>
            </w:tcMar>
          </w:tcPr>
          <w:p>
            <w:pPr>
              <w:jc w:val="center"/>
            </w:pPr>
            <w:r>
              <w:rPr>
                <w:b/>
                <w:bCs/>
                <w:color w:val="FFFFFF"/>
                <w:sz w:val="17"/>
                <w:szCs w:val="17"/>
              </w:rPr>
              <w:t xml:space="preserve">Gerçekçi (kronolojik)</w:t>
            </w:r>
          </w:p>
        </w:tc>
        <w:tc>
          <w:tcPr>
            <w:tcW w:type="dxa" w:w="1496"/>
            <w:shd w:fill="2F5496" w:val="clear"/>
            <w:tcMar>
              <w:top w:type="dxa" w:w="60"/>
              <w:left w:type="dxa" w:w="100"/>
              <w:bottom w:type="dxa" w:w="60"/>
              <w:right w:type="dxa" w:w="100"/>
            </w:tcMar>
          </w:tcPr>
          <w:p>
            <w:pPr>
              <w:jc w:val="center"/>
            </w:pPr>
            <w:r>
              <w:rPr>
                <w:b/>
                <w:bCs/>
                <w:color w:val="FFFFFF"/>
                <w:sz w:val="17"/>
                <w:szCs w:val="17"/>
              </w:rPr>
              <w:t xml:space="preserve">Değişim</w:t>
            </w:r>
          </w:p>
        </w:tc>
      </w:tr>
      <w:tr>
        <w:tc>
          <w:tcPr>
            <w:tcW w:type="dxa" w:w="3740"/>
            <w:tcMar>
              <w:top w:type="dxa" w:w="60"/>
              <w:left w:type="dxa" w:w="100"/>
              <w:bottom w:type="dxa" w:w="60"/>
              <w:right w:type="dxa" w:w="100"/>
            </w:tcMar>
          </w:tcPr>
          <w:p>
            <w:pPr>
              <w:jc w:val="left"/>
            </w:pPr>
            <w:r>
              <w:rPr>
                <w:b w:val="false"/>
                <w:bCs w:val="false"/>
                <w:color w:val="000000"/>
                <w:sz w:val="17"/>
                <w:szCs w:val="17"/>
              </w:rPr>
              <w:t xml:space="preserve">Atıl zaman azalması (dk/gün)</w:t>
            </w:r>
          </w:p>
        </w:tc>
        <w:tc>
          <w:tcPr>
            <w:tcW w:type="dxa" w:w="2057"/>
            <w:tcMar>
              <w:top w:type="dxa" w:w="60"/>
              <w:left w:type="dxa" w:w="100"/>
              <w:bottom w:type="dxa" w:w="60"/>
              <w:right w:type="dxa" w:w="100"/>
            </w:tcMar>
          </w:tcPr>
          <w:p>
            <w:pPr>
              <w:jc w:val="center"/>
            </w:pPr>
            <w:r>
              <w:rPr>
                <w:b w:val="false"/>
                <w:bCs w:val="false"/>
                <w:color w:val="000000"/>
                <w:sz w:val="17"/>
                <w:szCs w:val="17"/>
              </w:rPr>
              <w:t xml:space="preserve">24,2</w:t>
            </w:r>
          </w:p>
        </w:tc>
        <w:tc>
          <w:tcPr>
            <w:tcW w:type="dxa" w:w="2057"/>
            <w:tcMar>
              <w:top w:type="dxa" w:w="60"/>
              <w:left w:type="dxa" w:w="100"/>
              <w:bottom w:type="dxa" w:w="60"/>
              <w:right w:type="dxa" w:w="100"/>
            </w:tcMar>
          </w:tcPr>
          <w:p>
            <w:pPr>
              <w:jc w:val="center"/>
            </w:pPr>
            <w:r>
              <w:rPr>
                <w:b w:val="false"/>
                <w:bCs w:val="false"/>
                <w:color w:val="000000"/>
                <w:sz w:val="17"/>
                <w:szCs w:val="17"/>
              </w:rPr>
              <w:t xml:space="preserve">6,5</w:t>
            </w:r>
          </w:p>
        </w:tc>
        <w:tc>
          <w:tcPr>
            <w:tcW w:type="dxa" w:w="1496"/>
            <w:tcMar>
              <w:top w:type="dxa" w:w="60"/>
              <w:left w:type="dxa" w:w="100"/>
              <w:bottom w:type="dxa" w:w="60"/>
              <w:right w:type="dxa" w:w="100"/>
            </w:tcMar>
          </w:tcPr>
          <w:p>
            <w:pPr>
              <w:jc w:val="center"/>
            </w:pPr>
            <w:r>
              <w:rPr>
                <w:b w:val="false"/>
                <w:bCs w:val="false"/>
                <w:color w:val="000000"/>
                <w:sz w:val="17"/>
                <w:szCs w:val="17"/>
              </w:rPr>
              <w:t xml:space="preserve">−73%</w:t>
            </w:r>
          </w:p>
        </w:tc>
      </w:tr>
      <w:tr>
        <w:tc>
          <w:tcPr>
            <w:tcW w:type="dxa" w:w="3740"/>
            <w:tcMar>
              <w:top w:type="dxa" w:w="60"/>
              <w:left w:type="dxa" w:w="100"/>
              <w:bottom w:type="dxa" w:w="60"/>
              <w:right w:type="dxa" w:w="100"/>
            </w:tcMar>
          </w:tcPr>
          <w:p>
            <w:pPr>
              <w:jc w:val="left"/>
            </w:pPr>
            <w:r>
              <w:rPr>
                <w:b w:val="false"/>
                <w:bCs w:val="false"/>
                <w:color w:val="000000"/>
                <w:sz w:val="17"/>
                <w:szCs w:val="17"/>
              </w:rPr>
              <w:t xml:space="preserve">Görülen hasta artışı (hasta/gün)</w:t>
            </w:r>
          </w:p>
        </w:tc>
        <w:tc>
          <w:tcPr>
            <w:tcW w:type="dxa" w:w="2057"/>
            <w:tcMar>
              <w:top w:type="dxa" w:w="60"/>
              <w:left w:type="dxa" w:w="100"/>
              <w:bottom w:type="dxa" w:w="60"/>
              <w:right w:type="dxa" w:w="100"/>
            </w:tcMar>
          </w:tcPr>
          <w:p>
            <w:pPr>
              <w:jc w:val="center"/>
            </w:pPr>
            <w:r>
              <w:rPr>
                <w:b w:val="false"/>
                <w:bCs w:val="false"/>
                <w:color w:val="000000"/>
                <w:sz w:val="17"/>
                <w:szCs w:val="17"/>
              </w:rPr>
              <w:t xml:space="preserve">0,52</w:t>
            </w:r>
          </w:p>
        </w:tc>
        <w:tc>
          <w:tcPr>
            <w:tcW w:type="dxa" w:w="2057"/>
            <w:tcMar>
              <w:top w:type="dxa" w:w="60"/>
              <w:left w:type="dxa" w:w="100"/>
              <w:bottom w:type="dxa" w:w="60"/>
              <w:right w:type="dxa" w:w="100"/>
            </w:tcMar>
          </w:tcPr>
          <w:p>
            <w:pPr>
              <w:jc w:val="center"/>
            </w:pPr>
            <w:r>
              <w:rPr>
                <w:b w:val="false"/>
                <w:bCs w:val="false"/>
                <w:color w:val="000000"/>
                <w:sz w:val="17"/>
                <w:szCs w:val="17"/>
              </w:rPr>
              <w:t xml:space="preserve">0,13</w:t>
            </w:r>
          </w:p>
        </w:tc>
        <w:tc>
          <w:tcPr>
            <w:tcW w:type="dxa" w:w="1496"/>
            <w:tcMar>
              <w:top w:type="dxa" w:w="60"/>
              <w:left w:type="dxa" w:w="100"/>
              <w:bottom w:type="dxa" w:w="60"/>
              <w:right w:type="dxa" w:w="100"/>
            </w:tcMar>
          </w:tcPr>
          <w:p>
            <w:pPr>
              <w:jc w:val="center"/>
            </w:pPr>
            <w:r>
              <w:rPr>
                <w:b w:val="false"/>
                <w:bCs w:val="false"/>
                <w:color w:val="000000"/>
                <w:sz w:val="17"/>
                <w:szCs w:val="17"/>
              </w:rPr>
              <w:t xml:space="preserve">−76%</w:t>
            </w:r>
          </w:p>
        </w:tc>
      </w:tr>
      <w:tr>
        <w:tc>
          <w:tcPr>
            <w:tcW w:type="dxa" w:w="3740"/>
            <w:tcMar>
              <w:top w:type="dxa" w:w="60"/>
              <w:left w:type="dxa" w:w="100"/>
              <w:bottom w:type="dxa" w:w="60"/>
              <w:right w:type="dxa" w:w="100"/>
            </w:tcMar>
          </w:tcPr>
          <w:p>
            <w:pPr>
              <w:jc w:val="left"/>
            </w:pPr>
            <w:r>
              <w:rPr>
                <w:b w:val="false"/>
                <w:bCs w:val="false"/>
                <w:color w:val="000000"/>
                <w:sz w:val="17"/>
                <w:szCs w:val="17"/>
              </w:rPr>
              <w:t xml:space="preserve">Yüksek-risk (&gt;0,40) slot oranı</w:t>
            </w:r>
          </w:p>
        </w:tc>
        <w:tc>
          <w:tcPr>
            <w:tcW w:type="dxa" w:w="2057"/>
            <w:tcMar>
              <w:top w:type="dxa" w:w="60"/>
              <w:left w:type="dxa" w:w="100"/>
              <w:bottom w:type="dxa" w:w="60"/>
              <w:right w:type="dxa" w:w="100"/>
            </w:tcMar>
          </w:tcPr>
          <w:p>
            <w:pPr>
              <w:jc w:val="center"/>
            </w:pPr>
            <w:r>
              <w:rPr>
                <w:b w:val="false"/>
                <w:bCs w:val="false"/>
                <w:color w:val="000000"/>
                <w:sz w:val="17"/>
                <w:szCs w:val="17"/>
              </w:rPr>
              <w:t xml:space="preserve">%3,1</w:t>
            </w:r>
          </w:p>
        </w:tc>
        <w:tc>
          <w:tcPr>
            <w:tcW w:type="dxa" w:w="2057"/>
            <w:tcMar>
              <w:top w:type="dxa" w:w="60"/>
              <w:left w:type="dxa" w:w="100"/>
              <w:bottom w:type="dxa" w:w="60"/>
              <w:right w:type="dxa" w:w="100"/>
            </w:tcMar>
          </w:tcPr>
          <w:p>
            <w:pPr>
              <w:jc w:val="center"/>
            </w:pPr>
            <w:r>
              <w:rPr>
                <w:b w:val="false"/>
                <w:bCs w:val="false"/>
                <w:color w:val="000000"/>
                <w:sz w:val="17"/>
                <w:szCs w:val="17"/>
              </w:rPr>
              <w:t xml:space="preserve">%0,7</w:t>
            </w:r>
          </w:p>
        </w:tc>
        <w:tc>
          <w:tcPr>
            <w:tcW w:type="dxa" w:w="1496"/>
            <w:tcMar>
              <w:top w:type="dxa" w:w="60"/>
              <w:left w:type="dxa" w:w="100"/>
              <w:bottom w:type="dxa" w:w="60"/>
              <w:right w:type="dxa" w:w="100"/>
            </w:tcMar>
          </w:tcPr>
          <w:p>
            <w:pPr>
              <w:jc w:val="center"/>
            </w:pPr>
            <w:r>
              <w:rPr>
                <w:b w:val="false"/>
                <w:bCs w:val="false"/>
                <w:color w:val="000000"/>
                <w:sz w:val="17"/>
                <w:szCs w:val="17"/>
              </w:rPr>
              <w:t xml:space="preserve">—</w:t>
            </w:r>
          </w:p>
        </w:tc>
      </w:tr>
    </w:tbl>
    <w:p>
      <w:pPr>
        <w:spacing w:after="150" w:line="274"/>
        <w:jc w:val="both"/>
      </w:pPr>
      <w:r>
        <w:rPr>
          <w:b w:val="false"/>
          <w:bCs w:val="false"/>
          <w:i w:val="false"/>
          <w:iCs w:val="false"/>
        </w:rPr>
        <w:t xml:space="preserve">İki rejimde de overbooking politikası, statik düzene kıyasla hekim atıl zamanını istatistiksel olarak anlamlı biçimde azaltmıştır (eşleştirilmiş t-testi, her iki rejimde p&lt;0,001). Ancak faydanın büyüklüğü rejimler arasında dramatik biçimde farklıdır: gerçekçi (kronolojik) model altında elde edilen operasyonel kazanç, iyimser rejimdekinin yalnızca yaklaşık dörtte biri kadardır. Bunun temel nedeni, kronolojik modelin daha zayıf ayrım gücüyle çok daha az sayıda slotu güvenle 'yüksek riskli' olarak işaretleyebilmesidir (%0,7'ye karşı %3,1). Bu bulgu, satır-rastgele olasılıklara dayanan simülasyonların operasyonel faydayı ciddi biçimde abartabileceğini; gerçekçi bir fayda tahmininin ancak prospektif (kronolojik) koşulu yansıtan olasılıklarla elde edilebileceğini göstermektedir.</w:t>
      </w:r>
    </w:p>
    <w:p>
      <w:pPr>
        <w:pStyle w:val="Heading1"/>
        <w:spacing w:after="150" w:before="300"/>
      </w:pPr>
      <w:r>
        <w:t xml:space="preserve">5. Tartışma</w:t>
      </w:r>
    </w:p>
    <w:p>
      <w:pPr>
        <w:spacing w:after="150" w:line="274"/>
        <w:jc w:val="both"/>
      </w:pPr>
      <w:r>
        <w:rPr>
          <w:b w:val="false"/>
          <w:bCs w:val="false"/>
          <w:i w:val="false"/>
          <w:iCs w:val="false"/>
        </w:rPr>
        <w:t xml:space="preserve">Bu çalışma, bir devamsızlık tahmin modelinin doğrulama stratejisine bağlı olarak çarpıcı biçimde farklı performanslar sergilediğini ve bu farkın iki ayrı bileşene ayrıştırılabildiğini göstermiştir. Satır-rastgele bölünmeyle elde edilen ve literatürle uyumlu görünen 0,775'lik performans, hasta sızıntısı giderildiğinde 0,658'e, zamansal kayma da eklendiğinde 0,548'e gerilemektedir. Bu, alandaki performans raporlarının bir kısmının gerçek prospektif faydayı yansıtmayabileceğini düşündürmektedir.</w:t>
      </w:r>
    </w:p>
    <w:p>
      <w:pPr>
        <w:spacing w:after="150" w:line="274"/>
        <w:jc w:val="both"/>
      </w:pPr>
      <w:r>
        <w:rPr>
          <w:b w:val="false"/>
          <w:bCs w:val="false"/>
          <w:i w:val="false"/>
          <w:iCs w:val="false"/>
        </w:rPr>
        <w:t xml:space="preserve">Hasta sızıntısının payının (−0,117) zamansal kaymanınkiyle (−0,110) neredeyse eşit olması dikkat çekicidir. Hasta sızıntısı, literatürde grup sızıntısı olarak bilinen ve aynı bireyin hem eğitim hem test setinde bulunmasıyla oluşan bir olgudur; tekrar eden randevulara sahip hastaların baskın olduğu bu tür veri setlerinde etkisi büyüktür. Bu bulgu, devamsızlık modellerinin değerlendirilmesinde hasta-ayrık bölmenin en az kronolojik bölme kadar gerekli olduğunu göstermektedir.</w:t>
      </w:r>
    </w:p>
    <w:p>
      <w:pPr>
        <w:spacing w:after="150" w:line="274"/>
        <w:jc w:val="both"/>
      </w:pPr>
      <w:r>
        <w:rPr>
          <w:b w:val="false"/>
          <w:bCs w:val="false"/>
          <w:i w:val="false"/>
          <w:iCs w:val="false"/>
        </w:rPr>
        <w:t xml:space="preserve">Kronolojik çöküşün mekanizması prior kayması, kalibrasyon bozulması ve takvim bağımlılığının birleşimidir. No-show oranının yıllar içinde beş kat artması, muhtemelen dış etkenlerin (ekonomik koşullar, pandemi döneminin etkileri, kurumsal değişiklikler) yansımasıdır. Zamandan bağımsız öznitelik alt kümesiyle performansın kısmen geri kazanılması, model geliştiricilerin öznitelik seçiminde zamansal dayanıklılığı açıkça gözetmeleri gerektiğini vurgular; ancak bu bir tam çözüm değildir.</w:t>
      </w:r>
    </w:p>
    <w:p>
      <w:pPr>
        <w:spacing w:after="150" w:line="274"/>
        <w:jc w:val="both"/>
      </w:pPr>
      <w:r>
        <w:rPr>
          <w:b w:val="false"/>
          <w:bCs w:val="false"/>
          <w:i w:val="false"/>
          <w:iCs w:val="false"/>
        </w:rPr>
        <w:t xml:space="preserve">Türetilmiş hasta geçmişi öznitelikleri, tek değişkenli düzeyde güçlü ilişki göstermesine rağmen çok değişkenli modelde performansı artırmamıştır. Bunun olası nedeni, test dönemindeki birçok hastanın eğitim döneminde yeterli geçmişe sahip olmaması ve vekil kimliğin kaçınılmaz gürültüsüdür. Bu, hasta geçmişinin değerinin verinin zamansal yapısına ve hasta devirdaimine bağlı olduğunu göstermektedir.</w:t>
      </w:r>
    </w:p>
    <w:p>
      <w:pPr>
        <w:spacing w:after="150" w:line="274"/>
        <w:jc w:val="both"/>
      </w:pPr>
      <w:r>
        <w:rPr>
          <w:b w:val="false"/>
          <w:bCs w:val="false"/>
          <w:i w:val="false"/>
          <w:iCs w:val="false"/>
        </w:rPr>
        <w:t xml:space="preserve">Operasyonel açıdan, model tabanlı bir aşırı rezervasyon stratejisinin faydası, kullanılan olasılıkların hangi doğrulama rejiminden geldiğine bağlıdır. Simülasyon çıktıları iyimser (satır-rastgele) olasılıklara dayandığında gerçek dünyadaki kazanç abartılabilir; kronolojik (gerçekçi) model altında beklenen kazanç muhtemelen daha küçüktür. Bu nedenle müdahale faydası her iki rejim altında raporlanmalıdır.</w:t>
      </w:r>
    </w:p>
    <w:p>
      <w:pPr>
        <w:pStyle w:val="Heading1"/>
        <w:spacing w:after="150" w:before="300"/>
      </w:pPr>
      <w:r>
        <w:t xml:space="preserve">6. Sınırlamalar</w:t>
      </w:r>
    </w:p>
    <w:p>
      <w:pPr>
        <w:spacing w:after="150" w:line="274"/>
        <w:jc w:val="both"/>
      </w:pPr>
      <w:r>
        <w:rPr>
          <w:b w:val="false"/>
          <w:bCs w:val="false"/>
          <w:i w:val="false"/>
          <w:iCs w:val="false"/>
        </w:rPr>
        <w:t xml:space="preserve">Çalışmanın çeşitli sınırlamaları vardır. Birincisi, veri tek bir merkeze ve coğrafi bölgeye aittir; genellenebilirlik ayrıca test edilmelidir. İkincisi, hasta geçmişi öznitelikleri doğum tarihi–cinsiyet–şehir tabanlı bir vekil kimlik üzerinden türetilmiştir. Bu vekil kimlik kusursuz değildir (çakışma %0,7, bölünme %3,3); yaklaşık bir hasta geçmişi sağlar ve kesinlikle geçmişe-dönük (kümülatif toplamdan kaydın kendi etiketi çıkarılarak) kurulmuştur. Yarı-tanımlayıcı bilgilerin birleştirilmesi bir yeniden kimliklendirme unsuru taşıdığından, bu yaklaşım yalnızca uygun etik onay çerçevesinde uygulanmalıdır.</w:t>
      </w:r>
    </w:p>
    <w:p>
      <w:pPr>
        <w:spacing w:after="150" w:line="274"/>
        <w:jc w:val="both"/>
      </w:pPr>
      <w:r>
        <w:rPr>
          <w:b w:val="false"/>
          <w:bCs w:val="false"/>
          <w:i w:val="false"/>
          <w:iCs w:val="false"/>
        </w:rPr>
        <w:t xml:space="preserve">Üçüncüsü, kronolojik değerlendirme tek bir bölünme noktasına (2020/2021) dayanmaktadır; genişleyen-pencere analizleri bulguları güçlendirebilir. Dördüncüsü, zamandan bağımsız öznitelik yaklaşımı bir hafifletme stratejisidir, tam çözüm değildir. Son olarak, çalışma gerçek zamanlı prospektif bir dağıtımla doğrulanmamıştır; gelecekteki çalışmalar bu yönde ilerlemelidir.</w:t>
      </w:r>
    </w:p>
    <w:p>
      <w:pPr>
        <w:pStyle w:val="Heading1"/>
        <w:spacing w:after="150" w:before="300"/>
      </w:pPr>
      <w:r>
        <w:t xml:space="preserve">7. Sonuç</w:t>
      </w:r>
    </w:p>
    <w:p>
      <w:pPr>
        <w:spacing w:after="150" w:line="274"/>
        <w:jc w:val="both"/>
      </w:pPr>
      <w:r>
        <w:rPr>
          <w:b w:val="false"/>
          <w:bCs w:val="false"/>
          <w:i w:val="false"/>
          <w:iCs w:val="false"/>
        </w:rPr>
        <w:t xml:space="preserve">Bu çalışma, hasta randevu devamsızlığı tahmininde doğrulama stratejisinin raporlanan performans üzerindeki belirleyici etkisini ampirik olarak ortaya koymuş ve —bilgimiz dahilinde ilk kez— performans düşüşünü hasta sızıntısı ve zamansal kayma bileşenlerine ayrıştırmıştır. Satır-rastgele bölünmeyle elde edilen 0,775'lik performansın, hasta-ayrık bölünmede 0,658'e ve gerçek kronolojik değerlendirmede 0,548'e gerilediği; toplam düşüşün yaklaşık yarısının hasta sızıntısından, diğer yarısının zamansal kaymadan kaynaklandığı gösterilmiştir. Bulgular, devamsızlık tahmini ve daha genel olarak klinik tahmin modelleri literatüründe hem hasta-ayrık hem kronolojik doğrulamanın rutin raporlama unsuru olması gerektiğini; yüksek satır-rastgele performansın tek başına dağıtım değerini kanıtlamadığını vurgulamaktadır.</w:t>
      </w:r>
    </w:p>
    <w:p>
      <w:pPr>
        <w:pStyle w:val="Heading1"/>
        <w:spacing w:after="150" w:before="300"/>
      </w:pPr>
      <w:r>
        <w:t xml:space="preserve">Kaynaklar</w:t>
      </w:r>
    </w:p>
    <w:p>
      <w:pPr>
        <w:spacing w:after="150" w:line="274"/>
        <w:jc w:val="both"/>
      </w:pPr>
      <w:r>
        <w:rPr>
          <w:b w:val="false"/>
          <w:bCs w:val="false"/>
          <w:i/>
          <w:iCs/>
        </w:rPr>
        <w:t xml:space="preserve">Not: Aşağıdaki liste temel kaynakları içermektedir; nihai biçimlendirme hedef derginin atıf stiline göre düzenlenmelidir.</w:t>
      </w:r>
    </w:p>
    <w:p>
      <w:pPr>
        <w:spacing w:after="90" w:line="260"/>
        <w:ind w:left="360" w:hanging="360"/>
      </w:pPr>
      <w:r>
        <w:t xml:space="preserve">[1] </w:t>
      </w:r>
      <w:r>
        <w:t xml:space="preserve">Salazar, L.H.A. ve ark. (2022). Application of Machine Learning Techniques to Predict a Patient's No-Show in the Healthcare Sector. Future Internet, 14(1), 3.</w:t>
      </w:r>
    </w:p>
    <w:p>
      <w:pPr>
        <w:spacing w:after="90" w:line="260"/>
        <w:ind w:left="360" w:hanging="360"/>
      </w:pPr>
      <w:r>
        <w:t xml:space="preserve">[2] </w:t>
      </w:r>
      <w:r>
        <w:t xml:space="preserve">Kapoor, S., Narayanan, A. (2023). Leakage and the reproducibility crisis in machine-learning-based science. Patterns, 4(9), 100804.</w:t>
      </w:r>
    </w:p>
    <w:p>
      <w:pPr>
        <w:spacing w:after="90" w:line="260"/>
        <w:ind w:left="360" w:hanging="360"/>
      </w:pPr>
      <w:r>
        <w:t xml:space="preserve">[3] </w:t>
      </w:r>
      <w:r>
        <w:t xml:space="preserve">Collins, G.S. ve ark. (2024). TRIPOD+AI statement. BMJ, 385, e078378.</w:t>
      </w:r>
    </w:p>
    <w:p>
      <w:pPr>
        <w:spacing w:after="90" w:line="260"/>
        <w:ind w:left="360" w:hanging="360"/>
      </w:pPr>
      <w:r>
        <w:t xml:space="preserve">[4] </w:t>
      </w:r>
      <w:r>
        <w:t xml:space="preserve">Finlayson, S.G. ve ark. (2021). The Clinician and Dataset Shift in Artificial Intelligence. New England Journal of Medicine, 385(3), 283–286.</w:t>
      </w:r>
    </w:p>
    <w:p>
      <w:pPr>
        <w:spacing w:after="90" w:line="260"/>
        <w:ind w:left="360" w:hanging="360"/>
      </w:pPr>
      <w:r>
        <w:t xml:space="preserve">[5] </w:t>
      </w:r>
      <w:r>
        <w:t xml:space="preserve">Ramspek, C.L. ve ark. (2021). External validation of prognostic models. Clinical Kidney Journal, 14(1), 49–58.</w:t>
      </w:r>
    </w:p>
    <w:p>
      <w:pPr>
        <w:spacing w:after="90" w:line="260"/>
        <w:ind w:left="360" w:hanging="360"/>
      </w:pPr>
      <w:r>
        <w:t xml:space="preserve">[6] </w:t>
      </w:r>
      <w:r>
        <w:t xml:space="preserve">Lundberg, S.M., Lee, S.-I. (2017). A Unified Approach to Interpreting Model Predictions. NeurIPS, 30.</w:t>
      </w:r>
    </w:p>
    <w:p>
      <w:pPr>
        <w:spacing w:after="90" w:line="260"/>
        <w:ind w:left="360" w:hanging="360"/>
      </w:pPr>
      <w:r>
        <w:t xml:space="preserve">[7] </w:t>
      </w:r>
      <w:r>
        <w:t xml:space="preserve">Breiman, L. (2001). Random Forests. Machine Learning, 45(1), 5–32.</w:t>
      </w:r>
    </w:p>
    <w:p>
      <w:pPr>
        <w:spacing w:after="90" w:line="260"/>
        <w:ind w:left="360" w:hanging="360"/>
      </w:pPr>
      <w:r>
        <w:t xml:space="preserve">[8] </w:t>
      </w:r>
      <w:r>
        <w:t xml:space="preserve">Chawla, N.V. ve ark. (2002). SMOTE. Journal of Artificial Intelligence Research, 16, 321–357.</w:t>
      </w:r>
    </w:p>
    <w:p>
      <w:pPr>
        <w:spacing w:after="90" w:line="260"/>
        <w:ind w:left="360" w:hanging="360"/>
      </w:pPr>
      <w:r>
        <w:t xml:space="preserve">[9] </w:t>
      </w:r>
      <w:r>
        <w:t xml:space="preserve">Grinsztajn, L. ve ark. (2022). Why do tree-based models still outperform deep learning on tabular data? NeurIPS.</w:t>
      </w:r>
    </w:p>
    <w:p>
      <w:pPr>
        <w:spacing w:after="90" w:line="260"/>
        <w:ind w:left="360" w:hanging="360"/>
      </w:pPr>
      <w:r>
        <w:t xml:space="preserve">[10] </w:t>
      </w:r>
      <w:r>
        <w:t xml:space="preserve">DeLong, E.R. ve ark. (1988). Comparing areas under correlated ROC curves. Biometrics, 44(3), 837–845.</w:t>
      </w:r>
    </w:p>
    <w:p>
      <w:pPr>
        <w:spacing w:after="90" w:line="260"/>
        <w:ind w:left="360" w:hanging="360"/>
      </w:pPr>
      <w:r>
        <w:t xml:space="preserve">[11] </w:t>
      </w:r>
      <w:r>
        <w:t xml:space="preserve">Vickers, A.J., Elkin, E.B. (2006). Decision curve analysis. Medical Decision Making, 26(6), 565–574.</w:t>
      </w:r>
    </w:p>
    <w:p>
      <w:pPr>
        <w:spacing w:after="90" w:line="260"/>
        <w:ind w:left="360" w:hanging="360"/>
      </w:pPr>
      <w:r>
        <w:t xml:space="preserve">[12] </w:t>
      </w:r>
      <w:r>
        <w:t xml:space="preserve">LaGanga, L.R., Lawrence, S.R. (2012). Appointment Overbooking in Health Care Clinics. Production and Operations Management, 21(5), 874–888.</w:t>
      </w:r>
    </w:p>
    <w:p>
      <w:pPr>
        <w:spacing w:after="90" w:line="260"/>
        <w:ind w:left="360" w:hanging="360"/>
      </w:pPr>
      <w:r>
        <w:t xml:space="preserve">[13] </w:t>
      </w:r>
      <w:r>
        <w:t xml:space="preserve">Davis, S.E. ve ark. (2022). Monitoring and updating AI-enabled tools in clinical settings. Frontiers in Digital Health, 4, 958284.</w:t>
      </w:r>
    </w:p>
    <w:p>
      <w:pPr>
        <w:spacing w:after="90" w:line="260"/>
        <w:ind w:left="360" w:hanging="360"/>
      </w:pPr>
      <w:r>
        <w:t xml:space="preserve">[14] </w:t>
      </w:r>
      <w:r>
        <w:t xml:space="preserve">[Sistematik derleme ve diğer no-show çalışmaları — mevcut literatür taramasından eklenecek: AlMuhaideb 2019, Liu 2022, Lee 2017, Hathaway 2025, Toffaha 2023 vb.]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2026-08-15T16:18:23.038Z</dcterms:created>
  <dcterms:modified xsi:type="dcterms:W3CDTF">2026-08-15T16:18:23.038Z</dcterms:modified>
</cp:coreProperties>
</file>

<file path=docProps/custom.xml><?xml version="1.0" encoding="utf-8"?>
<Properties xmlns="http://schemas.openxmlformats.org/officeDocument/2006/custom-properties" xmlns:vt="http://schemas.openxmlformats.org/officeDocument/2006/docPropsVTypes"/>
</file>