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pPr>
      <w:r>
        <w:rPr>
          <w:rFonts w:ascii="Times New Roman" w:cs="Times New Roman" w:eastAsia="Times New Roman" w:hAnsi="Times New Roman"/>
          <w:b/>
          <w:bCs/>
          <w:sz w:val="22"/>
          <w:szCs w:val="22"/>
        </w:rPr>
        <w:t xml:space="preserve">2. İLGİLİ ÇALIŞMALAR</w:t>
      </w:r>
    </w:p>
    <w:p>
      <w:pPr>
        <w:spacing w:after="120" w:before="120" w:line="240"/>
      </w:pPr>
      <w:r>
        <w:rPr>
          <w:rFonts w:ascii="Times New Roman" w:cs="Times New Roman" w:eastAsia="Times New Roman" w:hAnsi="Times New Roman"/>
          <w:b/>
          <w:bCs/>
          <w:sz w:val="22"/>
          <w:szCs w:val="22"/>
        </w:rPr>
        <w:t xml:space="preserve">2.1. Makine Öğrenmesiyle Randevu Devamsızlığı Tahmini</w:t>
      </w:r>
    </w:p>
    <w:p>
      <w:pPr>
        <w:spacing w:after="120" w:before="120" w:line="240"/>
        <w:ind w:firstLine="397"/>
        <w:jc w:val="both"/>
      </w:pPr>
      <w:r>
        <w:rPr>
          <w:rFonts w:ascii="Times New Roman" w:cs="Times New Roman" w:eastAsia="Times New Roman" w:hAnsi="Times New Roman"/>
          <w:sz w:val="22"/>
          <w:szCs w:val="22"/>
        </w:rPr>
        <w:t>Randevu devamsızlığının makine öğrenmesiyle tahmini, son on yılda giderek genişleyen bir araştırma alanı hâline gelmiştir. Farklı klinik bağlamlarda ve ülkelerde yürütülen çalışmalar, genel olarak ROC-AUC değerlerini 0,70 ile 0,90 aralığında raporlamıştır. Barrera Ferro ve arkadaşları (2020), düşük gelirli bir bağlamda hasta devamsızlığını tahmin etmek için bir karar destek sistemi geliştirmiş ve devamsızlık olasılıklarının kaynak tahsisi kararlarını iyileştirmede kullanılabileceğini göstermiştir. AlMuhaideb ve arkadaşları (2019), büyük bir hastane veri setinde çeşitli algoritmaları karşılaştırmış; benzer karşılaştırmalı yaklaşımlar başka çalışmalarda da ele alınmıştır (Chong ve ark., 2023); Srinivas ve Salah (2021) ise devamsızlık tahminini randevu süresi tahminiyle birleştirerek planlama verimliliğini ele almıştır. Liu ve arkadaşları (2022), pediatrik bir bağlamda yorumlanabilir bir derin öğrenme yaklaşımı önermiş ve hava durumu bilgisinin tahmin gücüne katkısını incelemiştir.</w:t>
      </w:r>
      <w:r>
        <w:rPr>
          <w:rFonts w:ascii="Times New Roman" w:hAnsi="Times New Roman"/>
          <w:sz w:val="22"/>
        </w:rPr>
        <w:t xml:space="preserve"> Benzer biçimde, farklı ülke ve kliniklerde yürütülen çalışmalar da makine öğrenmesinin devamsızlık tahminindeki uygulanabilirliğini desteklemektedir: Ahmad Hamdan ve Abu Bakar (2023) Malezya’da büyük bir üçüncü basamak hastanede, Yang ve arkadaşları (2024) ise sağlık eşitliği perspektifiyle kaçırılan randevuları tahmin etmiştir. Hathaway ve arkadaşları (2025) pediatrik bakımda açıklanabilir yapay zekâyı COVID-19 öncesi ve sırasındaki devamsızlık eğilimlerini karşılaştırmak için kullanmış; Gharehbaghi ve arkadaşları (2025) pediatrik görüntülemede devamsızlık ve uzun bekleme sürelerini büyük dil modelleri ve ağaç tabanlı modellerle tahmin etmiştir. Sağlık alanında açıklanabilir yapay zekânın neden, nasıl ve ne zaman kullanılacağına ilişkin genel çerçeveler de bu uygulamalara yöntemsel bir zemin sunmaktadır (Bharati ve ark., 2023).</w:t>
      </w:r>
    </w:p>
    <w:p>
      <w:pPr>
        <w:spacing w:after="120" w:before="120" w:line="240"/>
        <w:ind w:firstLine="397"/>
        <w:jc w:val="both"/>
      </w:pPr>
      <w:r>
        <w:rPr>
          <w:rFonts w:ascii="Times New Roman" w:cs="Times New Roman" w:eastAsia="Times New Roman" w:hAnsi="Times New Roman"/>
          <w:sz w:val="22"/>
          <w:szCs w:val="22"/>
        </w:rPr>
        <w:t xml:space="preserve">Bu literatürde tekrarlanan önemli bir bulgu, hastanın geçmiş devamsızlık davranışının en güçlü tekil tahmin edicilerden biri olmasıdır. Ancak hasta düzeyinde geçmiş bilgisinin bulunmadığı veri setlerinde bu sinyal doğrudan kullanılamamakta ve modelin ulaşabileceği performans yapısal olarak sınırlanmaktadır. Ayrıca, bu çalışmaların önemli bir bölümü performansı değerlendirirken verinin rastgele bölünmesine dayanmakta; doğrulama stratejisinin raporlanan başarı üzerindeki etkisi çoğunlukla ele alınmamaktadır.</w:t>
      </w:r>
    </w:p>
    <w:p>
      <w:pPr>
        <w:spacing w:after="120" w:before="120" w:line="240"/>
      </w:pPr>
      <w:r>
        <w:rPr>
          <w:rFonts w:ascii="Times New Roman" w:cs="Times New Roman" w:eastAsia="Times New Roman" w:hAnsi="Times New Roman"/>
          <w:b/>
          <w:bCs/>
          <w:sz w:val="22"/>
          <w:szCs w:val="22"/>
        </w:rPr>
        <w:t xml:space="preserve">2.2. Veri Sızıntısı ve Tekrarlanabilirlik</w:t>
      </w:r>
    </w:p>
    <w:p>
      <w:pPr>
        <w:spacing w:after="120" w:before="120" w:line="240"/>
        <w:ind w:firstLine="397"/>
        <w:jc w:val="both"/>
      </w:pPr>
      <w:r>
        <w:rPr>
          <w:rFonts w:ascii="Times New Roman" w:cs="Times New Roman" w:eastAsia="Times New Roman" w:hAnsi="Times New Roman"/>
          <w:sz w:val="22"/>
          <w:szCs w:val="22"/>
        </w:rPr>
        <w:t xml:space="preserve">Makine öğrenmesi uygulamalarında veri sızıntısı, test verisine ilişkin bilginin model eğitim sürecine istemsizce dâhil olması ve buna bağlı olarak performansın olduğundan yüksek raporlanmasıdır. Kapoor ve Narayanan (2023), makine öğrenmesi tabanlı bilimde veri sızıntısının yaygın bir başarısızlık biçimi olduğunu; on yedi farklı bilimsel alanda ve yüzlerce makalede sızıntının tespit edildiğini ve bunun kimi durumlarda aşırı iyimser sonuçlara yol açtığını sistematik biçimde göstermiştir. Sağlık alanındaki tahmin modellerinde sızıntı; ön işleme parametrelerinin tüm veriden öğrenilmesi, model veya eşik seçiminin test seti üzerinde yapılması, geleceğe ait bilginin özniteliklere sızması ya da aynı bireye ait kayıtların hem eğitim hem test setinde bulunması (hasta veya grup sızıntısı) gibi biçimlerde ortaya çıkabilir. Bu çalışmada, söz konusu sızıntı biçimleri açıkça ele alınmış ve özellikle hasta düzeyinde sızıntının etkisi nicel olarak ölçülmüştür.</w:t>
      </w:r>
    </w:p>
    <w:p>
      <w:pPr>
        <w:spacing w:after="120" w:before="120" w:line="240"/>
      </w:pPr>
      <w:r>
        <w:rPr>
          <w:rFonts w:ascii="Times New Roman" w:cs="Times New Roman" w:eastAsia="Times New Roman" w:hAnsi="Times New Roman"/>
          <w:b/>
          <w:bCs/>
          <w:sz w:val="22"/>
          <w:szCs w:val="22"/>
        </w:rPr>
        <w:t xml:space="preserve">2.3. Zamansal Kayma ve Doğrulama Stratejisi</w:t>
      </w:r>
    </w:p>
    <w:p>
      <w:pPr>
        <w:spacing w:after="120" w:before="120" w:line="240"/>
        <w:ind w:firstLine="397"/>
        <w:jc w:val="both"/>
      </w:pPr>
      <w:r>
        <w:rPr>
          <w:rFonts w:ascii="Times New Roman" w:cs="Times New Roman" w:eastAsia="Times New Roman" w:hAnsi="Times New Roman"/>
          <w:sz w:val="22"/>
          <w:szCs w:val="22"/>
        </w:rPr>
        <w:t>Klinik tahmin modellerinin performansı, veri kayması (dataset shift) nedeniyle zaman içinde bozulabilir. Finlayson ve arkadaşları (2021), veri kaymasının klinik yapay zekâ sistemlerinde istisnai değil rutin bir gerçeklik olduğunu ve modellerin dağıtım sonrası performansının bu nedenle sistematik biçimde izlenmesi gerektiğini vurgulamaktadır. Metodoloji literatürü, bir modelin gerçek dünya genellenebilirliğinin ancak zamansal veya dış doğrulama ile ortaya konabileceğini belirtmektedir (Ramspek ve ark., 2021). Klinik tahmin modellerinin şeffaf raporlanmasına ilişkin güncel kılavuz olan TRIPOD+AI (Collins ve ark., 2024) da geliştirme ve doğrulama süreçlerinin ayrıntılı ve tekrarlanabilir biçimde raporlanmasını önermektedir. Buna karşın randevu devamsızlığı tahmini özelinde, ne kronolojik doğrulama ne de hasta-ayrık doğrulama yaygın biçimde raporlanmakta; dahası bu iki iyimserlik kaynağını birbirinden ayıran bir çalışma bilgimiz dâhilinde bulunmamaktadır.</w:t>
      </w:r>
    </w:p>
    <w:p>
      <w:pPr>
        <w:spacing w:after="120" w:before="120" w:line="240"/>
      </w:pPr>
      <w:r>
        <w:rPr>
          <w:rFonts w:ascii="Times New Roman" w:cs="Times New Roman" w:eastAsia="Times New Roman" w:hAnsi="Times New Roman"/>
          <w:b/>
          <w:bCs/>
          <w:sz w:val="22"/>
          <w:szCs w:val="22"/>
        </w:rPr>
        <w:t xml:space="preserve">2.4. Bu Çalışmanın Literatürdeki Konumu</w:t>
      </w:r>
    </w:p>
    <w:p>
      <w:pPr>
        <w:spacing w:after="120" w:before="120" w:line="240"/>
        <w:ind w:firstLine="397"/>
        <w:jc w:val="both"/>
      </w:pPr>
      <w:r>
        <w:rPr>
          <w:rFonts w:ascii="Times New Roman" w:cs="Times New Roman" w:eastAsia="Times New Roman" w:hAnsi="Times New Roman"/>
          <w:sz w:val="22"/>
          <w:szCs w:val="22"/>
        </w:rPr>
        <w:t>Yukarıda özetlenen literatür, randevu devamsızlığı tahmininde güçlü bir uygulama birikimi bulunduğunu, ancak doğrulama metodolojisine ilişkin önemli bir boşluk olduğunu ortaya koymaktadır. Bu çalışma, aynı model ve veri seti üzerinde satır-rastgele, hasta-ayrık ve kronolojik doğrulamayı doğrudan karşılaştırarak ve performans düşüşünü hasta sızıntısı ile zamansal kayma bileşenlerine ayrıştırarak bu boşluğu doldurmayı amaçlamaktadır. Tablo 1 bu konumu özetlemektedir.</w:t>
      </w:r>
    </w:p>
    <w:p>
      <w:pPr>
        <w:spacing w:after="60" w:before="120" w:line="240"/>
      </w:pPr>
      <w:r>
        <w:rPr>
          <w:rFonts w:ascii="Times New Roman" w:cs="Times New Roman" w:eastAsia="Times New Roman" w:hAnsi="Times New Roman"/>
          <w:b/>
          <w:bCs/>
          <w:sz w:val="20"/>
          <w:szCs w:val="20"/>
        </w:rPr>
        <w:t>Tablo 1. Bu çalışmanın literatürdeki yaygın uygulamalara göre konumu</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024"/>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Konu</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Literatürdeki Yaygın Uygulama</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Bu Çalışma</w:t>
            </w:r>
          </w:p>
        </w:tc>
      </w:tr>
      <w:tr>
        <w:tc>
          <w:tcPr>
            <w:tcW w:type="dxa" w:w="2024"/>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Doğrulama stratejisi</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Çoğunlukla satır-rastgele</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Satır-rastgele + hasta-ayrık + kronolojik</w:t>
            </w:r>
          </w:p>
        </w:tc>
      </w:tr>
      <w:tr>
        <w:tc>
          <w:tcPr>
            <w:tcW w:type="dxa" w:w="2024"/>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Performans düşüşü</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Ayrıştırılmaz</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Hasta sızıntısı ile zamansal kayma ayrımı</w:t>
            </w:r>
          </w:p>
        </w:tc>
      </w:tr>
      <w:tr>
        <w:tc>
          <w:tcPr>
            <w:tcW w:type="dxa" w:w="2024"/>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Eşik seçimi</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Sıklıkla test setinde</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Yalnızca eğitim setinde, test'e sabit</w:t>
            </w:r>
          </w:p>
        </w:tc>
      </w:tr>
      <w:tr>
        <w:tc>
          <w:tcPr>
            <w:tcW w:type="dxa" w:w="2024"/>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Model seçimi</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Sıklıkla test setinde</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Yalnızca eğitim seti + çapraz doğrulama</w:t>
            </w:r>
          </w:p>
        </w:tc>
      </w:tr>
      <w:tr>
        <w:tc>
          <w:tcPr>
            <w:tcW w:type="dxa" w:w="2024"/>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Performansın yorumu</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Tek (iyimser) değer</w:t>
            </w:r>
          </w:p>
        </w:tc>
        <w:tc>
          <w:tcPr>
            <w:tcW w:type="dxa" w:w="349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Üç strateji, güven aralıklarıyla</w:t>
            </w:r>
          </w:p>
        </w:tc>
      </w:tr>
    </w:tbl>
    <w:sectPr>
      <w:pgSz w:w="11906" w:h="16838" w:orient="portrait"/>
      <w:pgMar w:top="3402" w:right="1985" w:bottom="2835"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2026-08-26T19:01:56.738Z</dcterms:created>
  <dcterms:modified xsi:type="dcterms:W3CDTF">2026-08-26T19:01:56.738Z</dcterms:modified>
</cp:coreProperties>
</file>

<file path=docProps/custom.xml><?xml version="1.0" encoding="utf-8"?>
<Properties xmlns="http://schemas.openxmlformats.org/officeDocument/2006/custom-properties" xmlns:vt="http://schemas.openxmlformats.org/officeDocument/2006/docPropsVTypes"/>
</file>