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40"/>
      </w:pPr>
      <w:r>
        <w:rPr>
          <w:rFonts w:ascii="Times New Roman" w:cs="Times New Roman" w:eastAsia="Times New Roman" w:hAnsi="Times New Roman"/>
          <w:b/>
          <w:bCs/>
          <w:sz w:val="22"/>
          <w:szCs w:val="22"/>
        </w:rPr>
        <w:t xml:space="preserve">3. MATERYAL VE YÖNTEM</w:t>
      </w:r>
    </w:p>
    <w:p>
      <w:pPr>
        <w:spacing w:after="120" w:before="120" w:line="240"/>
      </w:pPr>
      <w:r>
        <w:rPr>
          <w:rFonts w:ascii="Times New Roman" w:cs="Times New Roman" w:eastAsia="Times New Roman" w:hAnsi="Times New Roman"/>
          <w:b/>
          <w:bCs/>
          <w:sz w:val="22"/>
          <w:szCs w:val="22"/>
        </w:rPr>
        <w:t xml:space="preserve">3.1. Veri Seti ve Etik Çerçeve</w:t>
      </w:r>
    </w:p>
    <w:p>
      <w:pPr>
        <w:spacing w:after="120" w:before="120" w:line="240"/>
        <w:ind w:firstLine="397"/>
        <w:jc w:val="both"/>
      </w:pPr>
      <w:r>
        <w:rPr>
          <w:rFonts w:ascii="Times New Roman" w:cs="Times New Roman" w:eastAsia="Times New Roman" w:hAnsi="Times New Roman"/>
          <w:sz w:val="22"/>
          <w:szCs w:val="22"/>
        </w:rPr>
        <w:t xml:space="preserve">Bu çalışmada, güney Brezilya’da bir üniversiteye bağlı fiziksel ve zihinsel rehabilitasyon uzmanlık merkezine ait 2016–2022 dönemini kapsayan poliklinik randevu kayıtları kullanılmıştır. Veri seti, Salazar ve arkadaşları (2022) tarafından yayımlanan çalışmanın genişletilmiş bir sürümüne dayanmaktadır. Ham veri 49.593 randevu kaydından oluşmakta olup, eksik ve tutarsız kayıtların temizlenmesinin ardından analizlerde 46.641 randevu kaydı kullanılmıştır. Her kayıt; uzmanlık alanı, hasta yaşı, cinsiyet, engellilik durumu, ICD tanı kodu, şehir, randevu tarihi ve saati ile randevu gününe ait meteorolojik değişkenleri içermektedir. Bağımlı değişken, hastanın randevusuna gelip gelmediğini gösteren ikili (no-show) değişkendir.</w:t>
      </w:r>
    </w:p>
    <w:p>
      <w:pPr>
        <w:spacing w:after="120" w:before="120" w:line="240"/>
        <w:ind w:firstLine="397"/>
        <w:jc w:val="both"/>
      </w:pPr>
      <w:r>
        <w:rPr>
          <w:rFonts w:ascii="Times New Roman" w:cs="Times New Roman" w:eastAsia="Times New Roman" w:hAnsi="Times New Roman"/>
          <w:sz w:val="22"/>
          <w:szCs w:val="22"/>
        </w:rPr>
        <w:t xml:space="preserve">Veri setinde doğrudan hasta tanımlayıcısı (hasta kimlik numarası) bulunmamaktadır. Veri toplama süreci ilgili kurumun etik kurul onayı (Univali Etik Kurulu, karar no 4270.234) kapsamında yürütülmüş ve kişisel verilerin korunmasına ilişkin ulusal düzenlemelere (LGPD) uygun biçimde anonimleştirilmiştir. Genel randevuya gelmeme oranı yaklaşık %10 olup, bu oranın yıllar içinde belirgin biçimde arttığı gözlenmiştir (2016 yılında %4,0 iken 2022 yılında %20,4). Bu artış eğilimi, çalışmanın ilerleyen bölümlerinde ele alınan zamansal kayma olgusunun temelini oluşturmaktadır.</w:t>
      </w:r>
    </w:p>
    <w:p>
      <w:pPr>
        <w:spacing w:after="120" w:before="120" w:line="240"/>
      </w:pPr>
      <w:r>
        <w:rPr>
          <w:rFonts w:ascii="Times New Roman" w:cs="Times New Roman" w:eastAsia="Times New Roman" w:hAnsi="Times New Roman"/>
          <w:b/>
          <w:bCs/>
          <w:sz w:val="22"/>
          <w:szCs w:val="22"/>
        </w:rPr>
        <w:t xml:space="preserve">3.2. Veri Ön İşleme ve Sızıntı Önleme</w:t>
      </w:r>
    </w:p>
    <w:p>
      <w:pPr>
        <w:spacing w:after="120" w:before="120" w:line="240"/>
        <w:ind w:firstLine="397"/>
        <w:jc w:val="both"/>
      </w:pPr>
      <w:r>
        <w:rPr>
          <w:rFonts w:ascii="Times New Roman" w:cs="Times New Roman" w:eastAsia="Times New Roman" w:hAnsi="Times New Roman"/>
          <w:sz w:val="22"/>
          <w:szCs w:val="22"/>
        </w:rPr>
        <w:t xml:space="preserve">Makine öğrenmesi uygulamalarında sık karşılaşılan ve raporlanan başarıyı yapay biçimde yükselten en önemli metodolojik hatalardan biri veri sızıntısıdır (Kapoor ve Narayanan, 2023). Bu çalışmada sızıntının önlenmesi için veri seti, herhangi bir ön işleme adımından önce eğitim (%80; 37.312 kayıt) ve saklı dış test (%20; 9.329 kayıt) olmak üzere hedef değişkene göre tabakalı biçimde ikiye ayrılmıştır. Eksik değerlerin doldurulmasında kullanılan medyan değerleri, ICD tanı kodlarının frekans kodlaması ve kategorik değişkenlerin kodlanması dâhil olmak üzere tüm ön işleme parametreleri yalnızca eğitim setinden öğrenilmiş, ardından test setine uygulanmıştır.</w:t>
      </w:r>
    </w:p>
    <w:p>
      <w:pPr>
        <w:spacing w:after="120" w:before="120" w:line="240"/>
        <w:ind w:firstLine="397"/>
        <w:jc w:val="both"/>
      </w:pPr>
      <w:r>
        <w:rPr>
          <w:rFonts w:ascii="Times New Roman" w:cs="Times New Roman" w:eastAsia="Times New Roman" w:hAnsi="Times New Roman"/>
          <w:sz w:val="22"/>
          <w:szCs w:val="22"/>
        </w:rPr>
        <w:t xml:space="preserve">Randevu gününe ait gerçekleşmiş meteorolojik değişkenler (o güne ait ortalama sıcaklık, yağış vb.) modelden çıkarılmıştır. Bunun nedeni, randevunun oluşturulduğu anda bu değerlerin henüz bilinemeyecek olması, yalnızca hava tahmininin mevcut olabilmesidir; dolayısıyla bu değişkenlerin modelde tutulması bir tür zamansal sızıntı oluşturmaktadır. Bu 22 meteorolojik değişkenin çıkarılmasının ardından nihai öznitelik seti 56 değişkenden oluşmuştur.</w:t>
      </w:r>
    </w:p>
    <w:p>
      <w:pPr>
        <w:spacing w:after="120" w:before="120" w:line="240"/>
      </w:pPr>
      <w:r>
        <w:rPr>
          <w:rFonts w:ascii="Times New Roman" w:cs="Times New Roman" w:eastAsia="Times New Roman" w:hAnsi="Times New Roman"/>
          <w:b/>
          <w:bCs/>
          <w:sz w:val="22"/>
          <w:szCs w:val="22"/>
        </w:rPr>
        <w:t xml:space="preserve">3.3. Modelleme ve Eşik Seçimi</w:t>
      </w:r>
    </w:p>
    <w:p>
      <w:pPr>
        <w:spacing w:after="120" w:before="120" w:line="240"/>
        <w:ind w:firstLine="397"/>
        <w:jc w:val="both"/>
      </w:pPr>
      <w:r>
        <w:rPr>
          <w:rFonts w:ascii="Times New Roman" w:cs="Times New Roman" w:eastAsia="Times New Roman" w:hAnsi="Times New Roman"/>
          <w:sz w:val="22"/>
          <w:szCs w:val="22"/>
        </w:rPr>
        <w:t>Sınıflandırma için altı algoritma değerlendirilmiştir: Lojistik Regresyon, Karar Ağacı, Rastgele Orman (Random Forest) (Breiman, 2001), XGBoost, LightGBM ve CatBoost. Dört topluluk (ensemble) algoritmasının her biri, eğitim seti üzerinde 5 katlı tabakalı çapraz doğrulama ile ve eşit titizlikte hiperparametre optimizasyonuna tabi tutulmuştur. Model seçimi yalnızca eğitim seti üzerindeki çapraz doğrulama sonuçlarına göre yapılmış; saklı dış test seti seçim sürecine dâhil edilmemiş ve yalnızca nihai değerlendirme için tek sefer açılmıştır. Bu yaklaşım, test setinin bir seçim setine dönüşerek performansı iyimser biçimde yükseltmesini önlemektedir.</w:t>
      </w:r>
    </w:p>
    <w:p>
      <w:pPr>
        <w:spacing w:after="120" w:before="120" w:line="240"/>
        <w:ind w:firstLine="397"/>
        <w:jc w:val="both"/>
      </w:pPr>
      <w:r>
        <w:rPr>
          <w:rFonts w:ascii="Times New Roman" w:cs="Times New Roman" w:eastAsia="Times New Roman" w:hAnsi="Times New Roman"/>
          <w:sz w:val="22"/>
          <w:szCs w:val="22"/>
        </w:rPr>
        <w:t>Sınıf dengesizliği bulunan veri setlerinde sabit 0,5 sınıflandırma eşiği yanıltıcı sonuçlar verebilmektedir. Bu nedenle F1 ölçütünü en üst düzeye çıkaran sınıflandırma eşiği de yalnızca eğitim seti üzerinde, çapraz doğrulama tahminlerinden seçilmiş ve test setine sabit olarak uygulanmıştır. Böylece eşik seçimi de test setinin etiketlerinden bağımsız tutulmuştur. Model performansı; dengesiz veriye uygun olacak biçimde ROC eğrisi altında kalan alan (ROC-AUC), kesinlik-duyarlılık eğrisi altında kalan alan (PR-AUC) ve olasılık kalibrasyonunu ölçen Brier skoru ile birlikte raporlanmıştır; kalibrasyon, tahmin modellerinin klinik güvenilirliği açısından ayırt edici güç kadar önemli bir boyuttur (Van Calster ve ark., 2019).</w:t>
      </w:r>
      <w:r>
        <w:rPr>
          <w:rFonts w:ascii="Times New Roman" w:hAnsi="Times New Roman"/>
          <w:sz w:val="22"/>
        </w:rPr>
        <w:t xml:space="preserve"> Sınıf dengesizliğinin ele alınmasında, sentetik azınlık aşırı örnekleme (SMOTE; Chawla ve ark., 2002) gibi yeniden örnekleme yöntemleri yerine eşik ayarı tercih edilmiştir; zira yeniden örnekleme yöntemleri modelin olasılık kalibrasyonunu bozarak tahmin edilen olasılıkların güvenilirliğini azaltabilmektedir (Van Calster ve ark., 2019).</w:t>
      </w:r>
    </w:p>
    <w:p>
      <w:pPr>
        <w:spacing w:after="120" w:before="120" w:line="240"/>
      </w:pPr>
      <w:r>
        <w:rPr>
          <w:rFonts w:ascii="Times New Roman" w:cs="Times New Roman" w:eastAsia="Times New Roman" w:hAnsi="Times New Roman"/>
          <w:b/>
          <w:bCs/>
          <w:sz w:val="22"/>
          <w:szCs w:val="22"/>
        </w:rPr>
        <w:t xml:space="preserve">3.4. Üç Doğrulama Stratejisi</w:t>
      </w:r>
    </w:p>
    <w:p>
      <w:pPr>
        <w:spacing w:after="120" w:before="120" w:line="240"/>
        <w:ind w:firstLine="397"/>
        <w:jc w:val="both"/>
      </w:pPr>
      <w:r>
        <w:rPr>
          <w:rFonts w:ascii="Times New Roman" w:cs="Times New Roman" w:eastAsia="Times New Roman" w:hAnsi="Times New Roman"/>
          <w:sz w:val="22"/>
          <w:szCs w:val="22"/>
        </w:rPr>
        <w:t xml:space="preserve">Çalışmanın merkezinde, aynı modelin farklı doğrulama stratejileri altında sergilediği performansın karşılaştırılması yer almaktadır. Bu amaçla performans üç farklı bölme stratejisiyle ölçülmüştür. Birincisi satır-rastgele bölmedir; burada kayıtlar tabakalı biçimde rastgele ayrılır ve aynı hastaya ait farklı randevular hem eğitim hem test setinde yer alabilir. İkincisi hasta-ayrık bölmedir; burada bölme, hastaya karşılık gelen bir vekil kimliğe göre gruplanarak yapılır (GroupShuffleSplit), böylece aynı hasta yalnızca tek tarafta bulunur ve hasta düzeyinde sızıntı ortadan kalkar. Üçüncüsü kronolojik bölmedir; burada 2016–2020 dönemi eğitim, 2021–2022 dönemi test olarak kullanılır ve model hem hasta-ayrık hem de zamansal kaymaya maruz bir koşulda değerlendirilir.</w:t>
      </w:r>
    </w:p>
    <w:p>
      <w:pPr>
        <w:spacing w:after="120" w:before="120" w:line="240"/>
        <w:ind w:firstLine="397"/>
        <w:jc w:val="both"/>
      </w:pPr>
      <w:r>
        <w:rPr>
          <w:rFonts w:ascii="Times New Roman" w:cs="Times New Roman" w:eastAsia="Times New Roman" w:hAnsi="Times New Roman"/>
          <w:sz w:val="22"/>
          <w:szCs w:val="22"/>
        </w:rPr>
        <w:t xml:space="preserve">Bu üç stratejinin birlikte kullanılması, satır-rastgele bölmeyle elde edilen performansın ne kadarının gerçek genelleme, ne kadarının ise iki ayrı sızıntı kaynağından (hasta düzeyinde sızıntı ve zamansal kayma) kaynaklandığının ayrıştırılmasına olanak tanımaktadır. Her strateji, ayrıca türetilmiş hasta geçmişi öznitelikleriyle ve bu öznitelikler olmadan olmak üzere iki koşulda tekrarlanmıştır.</w:t>
      </w:r>
    </w:p>
    <w:p>
      <w:pPr>
        <w:spacing w:after="120" w:before="120" w:line="240"/>
      </w:pPr>
      <w:r>
        <w:rPr>
          <w:rFonts w:ascii="Times New Roman" w:cs="Times New Roman" w:eastAsia="Times New Roman" w:hAnsi="Times New Roman"/>
          <w:b/>
          <w:bCs/>
          <w:sz w:val="22"/>
          <w:szCs w:val="22"/>
        </w:rPr>
        <w:t xml:space="preserve">3.5. Vekil Hasta Kimliği ve Geçmiş Öznitelikleri</w:t>
      </w:r>
    </w:p>
    <w:p>
      <w:pPr>
        <w:spacing w:after="120" w:before="120" w:line="240"/>
        <w:ind w:firstLine="397"/>
        <w:jc w:val="both"/>
      </w:pPr>
      <w:r>
        <w:rPr>
          <w:rFonts w:ascii="Times New Roman" w:cs="Times New Roman" w:eastAsia="Times New Roman" w:hAnsi="Times New Roman"/>
          <w:sz w:val="22"/>
          <w:szCs w:val="22"/>
        </w:rPr>
        <w:t xml:space="preserve">Veri setinde doğrudan hasta kimliği bulunmadığından, hasta düzeyinde analiz yapabilmek amacıyla doğum tarihi, cinsiyet ve şehir bilgilerinin birleşiminden bir vekil (proxy) hasta kimliği oluşturulmuştur. Bu vekil kimlik üzerinden her randevu için, yalnızca o randevudan önceki randevular kullanılarak (kümülatif toplamdan kaydın kendi etiketi çıkarılarak) geçmiş randevu sayısı, geçmiş devamsızlık sayısı, geçmiş devamsızlık oranı ve ilk ziyaret göstergesi türetilmiştir. Bu kurgu, geçmiş özniteliklerinin geleceğe ait bilgi içermesini (sızıntıyı) engellemektedir. Vekil kimliğin güvenilirliği, bağımsız bir değişken (hizmete giriş tarihi) üzerinden değerlendirilmiş; çakışma oranı %0,7 gibi düşük bir düzeyde bulunmuştur. Bununla birlikte, bu yaklaşımın yaklaşık bir hasta geçmişi sağladığı ve kesin bir hasta kimliğinin yerini tutmadığı, çalışmanın sınırlılıkları arasında değerlendirilmektedir.</w:t>
      </w:r>
    </w:p>
    <w:p>
      <w:pPr>
        <w:spacing w:after="120" w:before="120" w:line="240"/>
      </w:pPr>
      <w:r>
        <w:rPr>
          <w:rFonts w:ascii="Times New Roman" w:cs="Times New Roman" w:eastAsia="Times New Roman" w:hAnsi="Times New Roman"/>
          <w:b/>
          <w:bCs/>
          <w:sz w:val="22"/>
          <w:szCs w:val="22"/>
        </w:rPr>
        <w:t xml:space="preserve">3.6. Açıklanabilirlik ve Operasyonel Simülasyon</w:t>
      </w:r>
    </w:p>
    <w:p>
      <w:pPr>
        <w:spacing w:after="120" w:before="120" w:line="240"/>
        <w:ind w:firstLine="397"/>
        <w:jc w:val="both"/>
      </w:pPr>
      <w:r>
        <w:rPr>
          <w:rFonts w:ascii="Times New Roman" w:cs="Times New Roman" w:eastAsia="Times New Roman" w:hAnsi="Times New Roman"/>
          <w:sz w:val="22"/>
          <w:szCs w:val="22"/>
        </w:rPr>
        <w:t xml:space="preserve">Modelin karar mekanizmasının yorumlanabilmesi için SHAP (SHapley Additive exPlanations) yöntemi kullanılmıştır (Lundberg ve Lee, 2017). Ağaç tabanlı modellere uygun TreeExplainer algoritması aracılığıyla, her özniteliğin model çıktısına katkısı hesaplanmış ve öznitelik önem sıralaması elde edilmiştir. Ayrıca, modelin operasyonel değerini değerlendirmek amacıyla Python SimPy kütüphanesi ile kesikli olay simülasyonu kurulmuştur. Bu simülasyonda, no-show tahminlerine dayalı bir aşırı rezervasyon (overbooking) politikası, statik randevu düzenine karşı karşılaştırılmış; hekim atıl zamanı ve görülen hasta sayısı gibi operasyonel çıktılar üzerindeki etkisi ölçülmüştür. Simülasyon, hem iyimser (satır-rastgele) hem de gerçekçi (kronolojik) model olasılıkları altında ayrı ayrı raporlanarak, doğrulama stratejisinin operasyonel fayda tahminleri üzerindeki etkisi de değerlendirilmiştir.</w:t>
      </w:r>
    </w:p>
    <w:sectPr>
      <w:pgSz w:w="11906" w:h="16838" w:orient="portrait"/>
      <w:pgMar w:top="3402" w:right="1985" w:bottom="2835" w:left="1985" w:header="708" w:footer="708" w:gutter="0"/>
      <w:pgNumType/>
      <w:docGrid w:linePitch="360"/>
    </w:sectPr>
    <w:p>
      <w:pPr>
        <w:spacing w:after="120" w:before="120" w:line="240"/>
      </w:pPr>
      <w:r>
        <w:rPr>
          <w:rFonts w:ascii="Times New Roman" w:cs="Times New Roman" w:eastAsia="Times New Roman" w:hAnsi="Times New Roman"/>
          <w:b/>
          <w:bCs/>
          <w:sz w:val="22"/>
          <w:szCs w:val="22"/>
        </w:rPr>
        <w:t xml:space="preserve">3.7. Sağlamlık ve Klinik Fayda Değerlendirmeleri</w:t>
      </w:r>
    </w:p>
    <w:p>
      <w:pPr>
        <w:spacing w:after="120" w:before="120" w:line="240"/>
        <w:ind w:firstLine="397"/>
        <w:jc w:val="both"/>
      </w:pPr>
      <w:r>
        <w:rPr>
          <w:rFonts w:ascii="Times New Roman" w:cs="Times New Roman" w:eastAsia="Times New Roman" w:hAnsi="Times New Roman"/>
          <w:sz w:val="22"/>
          <w:szCs w:val="22"/>
        </w:rPr>
        <w:t>Modelin ayırt edici gücünün ötesindeki sağlamlığını ve klinik uygulanabilirliğini değerlendirmek üzere üç ek analiz tasarlanmıştır. Birincisi, karar eğrisi analizidir (decision curve analysis; Vickers ve Elkin, 2006); bu yöntem, farklı eşik olasılık değerleri için modele dayalı karar vermenin net faydasını, “tüm hastalara müdahale” ve “hiçbir hastaya müdahale etmeme” biçimindeki iki naif stratejinin net faydasıyla karşılaştırır. Böylece modelin yalnızca ayırt edici gücü değil, gerçek karar bağlamındaki klinik yararı da değerlendirilir. İkincisi, alt grup (adalet) analizidir; şampiyon modelin dış test setindeki ayırt edici gücü, cinsiyet ve yaş gruplarına göre ayrıştırılarak modelin farklı hasta grupları arasında tutarlı çalışıp çalışmadığı incelenmiştir. Üçüncüsü, modelin performansı naif bir prevalans temelli tahminci ile karşılaştırılmış; ayrıca eğitim ve test setleri arasındaki ayırt edici güç farkı (genelleme boşluğu) hesaplanarak aşırı uyum düzeyi değerlendirilmiştir.</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2026-08-26T18:53:24.964Z</dcterms:created>
  <dcterms:modified xsi:type="dcterms:W3CDTF">2026-08-26T18:53:24.964Z</dcterms:modified>
</cp:coreProperties>
</file>

<file path=docProps/custom.xml><?xml version="1.0" encoding="utf-8"?>
<Properties xmlns="http://schemas.openxmlformats.org/officeDocument/2006/custom-properties" xmlns:vt="http://schemas.openxmlformats.org/officeDocument/2006/docPropsVTypes"/>
</file>