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line="240"/>
      </w:pPr>
      <w:r>
        <w:rPr>
          <w:rFonts w:ascii="Times New Roman" w:cs="Times New Roman" w:eastAsia="Times New Roman" w:hAnsi="Times New Roman"/>
          <w:b/>
          <w:bCs/>
          <w:sz w:val="22"/>
          <w:szCs w:val="22"/>
        </w:rPr>
        <w:t xml:space="preserve">4. BULGULAR</w:t>
      </w:r>
    </w:p>
    <w:p>
      <w:pPr>
        <w:spacing w:after="120" w:before="120" w:line="240"/>
      </w:pPr>
      <w:r>
        <w:rPr>
          <w:rFonts w:ascii="Times New Roman" w:cs="Times New Roman" w:eastAsia="Times New Roman" w:hAnsi="Times New Roman"/>
          <w:b/>
          <w:bCs/>
          <w:sz w:val="22"/>
          <w:szCs w:val="22"/>
        </w:rPr>
        <w:t xml:space="preserve">4.1. Model Seçimi ve Rastgele Doğrulama Performansı</w:t>
      </w:r>
    </w:p>
    <w:p>
      <w:pPr>
        <w:spacing w:after="120" w:before="120" w:line="240"/>
        <w:ind w:firstLine="397"/>
        <w:jc w:val="both"/>
      </w:pPr>
      <w:r>
        <w:rPr>
          <w:rFonts w:ascii="Times New Roman" w:cs="Times New Roman" w:eastAsia="Times New Roman" w:hAnsi="Times New Roman"/>
          <w:sz w:val="22"/>
          <w:szCs w:val="22"/>
        </w:rPr>
        <w:t>Yalnızca eğitim seti üzerinde çapraz doğrulama ile yürütülen ve tüm algoritmaların eşit koşullarda optimize edildiği karşılaştırmada, en yüksek ayırt edici performansı Rastgele Orman (Random Forest) modeli sağlamıştır. Şampiyon model, saklı dış test setinde satır-rastgele bölme koşulunda ROC-AUC=0,775 ve PR-AUC=0,295 değerlerine ulaşmıştır. Tüm modellerin karşılaştırmalı sonuçları Tablo 2’de sunulmaktadır. Eğitim setinde seçilip test setine sabit uygulanan F1-optimal eşik (0,171) altında modelin duyarlılığı (recall) 0,52 düzeyindedir; bu değer, sabit 0,5 eşiğindeki 0,07’lik duyarlılığa kıyasla belirgin bir iyileşme sunmaktadır. Eşik test setinden değil eğitim setinden seçildiğinden, bu duyarlılık değeri iyimser yönde yanlı değildir.</w:t>
      </w:r>
      <w:r>
        <w:rPr>
          <w:rFonts w:ascii="Times New Roman" w:hAnsi="Times New Roman"/>
          <w:i/>
          <w:sz w:val="22"/>
        </w:rPr>
        <w:t xml:space="preserve"> Bununla birlikte, bu bölümde raporlanan 0,775 değeri satır-rastgele doğrulamayla elde edilmiştir ve modelin nihai performansı olarak değil, izleyen alt bölümde ortaya konan iyimser bir karşılaştırma noktası olarak okunmalıdır; çalışmanın asıl bulgusu, bu değerin gerçek (kronolojik) koşulda ne ölçüde korunduğudur.</w:t>
      </w:r>
    </w:p>
    <w:p>
      <w:pPr>
        <w:spacing w:after="60" w:before="120" w:line="240"/>
      </w:pPr>
      <w:r>
        <w:rPr>
          <w:rFonts w:ascii="Times New Roman" w:cs="Times New Roman" w:eastAsia="Times New Roman" w:hAnsi="Times New Roman"/>
          <w:b/>
          <w:bCs/>
          <w:sz w:val="20"/>
          <w:szCs w:val="20"/>
        </w:rPr>
        <w:t>Tablo 2. Dış test seti performansı (tüm modeller eşit optimize edilmiş, satır-rastgele bölme)</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3312"/>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Model</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ROC-AUC</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PR-AUC</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Brier</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Recall (opt. eşik)</w:t>
            </w:r>
          </w:p>
        </w:tc>
      </w:tr>
      <w:tr>
        <w:tc>
          <w:tcPr>
            <w:tcW w:type="dxa" w:w="3312"/>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Rastgele Orman (Şampiyon)</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0,775</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0,295</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0,081</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0,521</w:t>
            </w:r>
          </w:p>
        </w:tc>
      </w:tr>
      <w:tr>
        <w:tc>
          <w:tcPr>
            <w:tcW w:type="dxa" w:w="3312"/>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LightGBM</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0,754</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0,285</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0,081</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0,431</w:t>
            </w:r>
          </w:p>
        </w:tc>
      </w:tr>
      <w:tr>
        <w:tc>
          <w:tcPr>
            <w:tcW w:type="dxa" w:w="3312"/>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XGBoost</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0,751</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0,277</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0,082</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0,452</w:t>
            </w:r>
          </w:p>
        </w:tc>
      </w:tr>
      <w:tr>
        <w:tc>
          <w:tcPr>
            <w:tcW w:type="dxa" w:w="3312"/>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CatBoost</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0,747</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0,264</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0,082</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0,496</w:t>
            </w:r>
          </w:p>
        </w:tc>
      </w:tr>
      <w:tr>
        <w:tc>
          <w:tcPr>
            <w:tcW w:type="dxa" w:w="3312"/>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Lojistik Regresyon</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0,638</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0,154</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0,088</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w:t>
            </w:r>
          </w:p>
        </w:tc>
      </w:tr>
      <w:tr>
        <w:tc>
          <w:tcPr>
            <w:tcW w:type="dxa" w:w="3312"/>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Karar Ağacı</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0,630</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0,174</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0,136</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0,353</w:t>
            </w:r>
          </w:p>
        </w:tc>
      </w:tr>
    </w:tbl>
    <w:p>
      <w:pPr>
        <w:spacing w:after="120" w:before="120" w:line="240"/>
      </w:pPr>
      <w:r>
        <w:rPr>
          <w:rFonts w:ascii="Times New Roman" w:cs="Times New Roman" w:eastAsia="Times New Roman" w:hAnsi="Times New Roman"/>
          <w:b/>
          <w:bCs/>
          <w:sz w:val="22"/>
          <w:szCs w:val="22"/>
        </w:rPr>
        <w:t xml:space="preserve">4.2. Vekil Hasta Kimliğinin Güvenilirliği</w:t>
      </w:r>
    </w:p>
    <w:p>
      <w:pPr>
        <w:spacing w:after="120" w:before="120" w:line="240"/>
        <w:ind w:firstLine="397"/>
        <w:jc w:val="both"/>
      </w:pPr>
      <w:r>
        <w:rPr>
          <w:rFonts w:ascii="Times New Roman" w:cs="Times New Roman" w:eastAsia="Times New Roman" w:hAnsi="Times New Roman"/>
          <w:sz w:val="22"/>
          <w:szCs w:val="22"/>
        </w:rPr>
        <w:t xml:space="preserve">Oluşturulan vekil hasta kimliği, 46.641 randevuyu görece küçük sayıda benzersiz vekil hastaya eşlemiştir. Hizmete giriş tarihi üzerinden yapılan tutarlılık değerlendirmesinde çakışma oranı %0,7 gibi düşük bir düzeyde bulunmuş; bu durum vekil kimliğin makul güvenilirlikte olduğunu göstermektedir. Türetilen geçmiş devamsızlık oranı, tek değişkenli düzeyde hedef değişkenle güçlü ve tutarlı bir ilişki sergilemiştir: geçmişte hiç devamsızlık yapmamış hastalarda gelecekteki devamsızlık oranı düşükken, geçmiş devamsızlık oranı yüksek olan hastalarda bu oran belirgin biçimde artmaktadır.</w:t>
      </w:r>
    </w:p>
    <w:p>
      <w:pPr>
        <w:spacing w:after="120" w:before="120" w:line="240"/>
      </w:pPr>
      <w:r>
        <w:rPr>
          <w:rFonts w:ascii="Times New Roman" w:cs="Times New Roman" w:eastAsia="Times New Roman" w:hAnsi="Times New Roman"/>
          <w:b/>
          <w:bCs/>
          <w:sz w:val="22"/>
          <w:szCs w:val="22"/>
        </w:rPr>
        <w:t xml:space="preserve">4.3. Merkezî Bulgu: Performans Düşüşünün Ayrıştırılması</w:t>
      </w:r>
    </w:p>
    <w:p>
      <w:pPr>
        <w:spacing w:after="120" w:before="120" w:line="240"/>
        <w:ind w:firstLine="397"/>
        <w:jc w:val="both"/>
      </w:pPr>
      <w:r>
        <w:rPr>
          <w:rFonts w:ascii="Times New Roman" w:cs="Times New Roman" w:eastAsia="Times New Roman" w:hAnsi="Times New Roman"/>
          <w:sz w:val="22"/>
          <w:szCs w:val="22"/>
        </w:rPr>
        <w:t>Çalışmanın en önemli bulgusu, aynı modelin üç farklı doğrulama stratejisi altında sergilediği performans farkıdır. Satır-rastgele bölmede ROC-AUC=0,775 olan model, hasta-ayrık bölmede 0,658’e, kronolojik bölmede ise 0,548’e gerilemektedir. Tablo 3 bu sonuçları %95 güven aralıklarıyla birlikte sunmaktadır; güven aralıklarının örtüşmemesi, farkların istatistiksel olarak anlamlı olduğunu göstermektedir.</w:t>
      </w:r>
    </w:p>
    <w:p>
      <w:pPr>
        <w:spacing w:after="60" w:before="120" w:line="240"/>
      </w:pPr>
      <w:r>
        <w:rPr>
          <w:rFonts w:ascii="Times New Roman" w:cs="Times New Roman" w:eastAsia="Times New Roman" w:hAnsi="Times New Roman"/>
          <w:b/>
          <w:bCs/>
          <w:sz w:val="20"/>
          <w:szCs w:val="20"/>
        </w:rPr>
        <w:t>Tablo 3. Üç doğrulama stratejisi altında dış test performansı (%95 güven aralığı, bootstrap)</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3128"/>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Bölme Stratejisi</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Hasta Geçmişi</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ROC-AUC [%95 GA]</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PR-AUC</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Satır-rastgele (sızıntı var)</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Yok</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0,775 [0,760–0,791]</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0,297</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Satır-rastgele (sızıntı var)</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Var</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0,764 [0,749–0,779]</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0,276</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Hasta-ayrık (sızıntı yok)</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Yok</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0,658 [0,638–0,677]</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0,198</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Hasta-ayrık (sızıntı yok)</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Var</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0,650 [0,632–0,667]</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0,202</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Kronolojik (ayrık + kayma)</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Yok</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0,548 [0,532–0,563]</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0,187</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Kronolojik (ayrık + kayma)</w:t>
            </w:r>
          </w:p>
        </w:tc>
        <w:tc>
          <w:tcPr>
            <w:tcW w:type="dxa" w:w="147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Var</w:t>
            </w:r>
          </w:p>
        </w:tc>
        <w:tc>
          <w:tcPr>
            <w:tcW w:type="dxa" w:w="294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0,548 [0,532–0,563]</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0,188</w:t>
            </w:r>
          </w:p>
        </w:tc>
      </w:tr>
    </w:tbl>
    <w:p>
      <w:pPr>
        <w:spacing w:after="120" w:before="120" w:line="240"/>
        <w:ind w:firstLine="397"/>
        <w:jc w:val="both"/>
      </w:pPr>
      <w:r>
        <w:rPr>
          <w:rFonts w:ascii="Times New Roman" w:cs="Times New Roman" w:eastAsia="Times New Roman" w:hAnsi="Times New Roman"/>
          <w:sz w:val="22"/>
          <w:szCs w:val="22"/>
        </w:rPr>
        <w:t>Performans düşüşü, iki ayrı bileşene ayrıştırılabilmektedir (Tablo 4). Satır-rastgele bölmeden hasta-ayrık bölmeye geçişte gözlenen 0,117’lik düşüş, aynı hastanın hem eğitim hem test setinde bulunmasından kaynaklanan hasta düzeyinde sızıntının payını; hasta-ayrık bölmeden kronolojik bölmeye geçişte gözlenen 0,110’luk düşüş ise devamsızlık davranışının zaman içindeki değişiminden kaynaklanan zamansal kaymanın payını yansıtmaktadır. Böylece toplam 0,227’lik düşüşün yaklaşık yarısının hasta sızıntısına, diğer yarısının zamansal kaymaya atfedilebildiği görülmektedir.</w:t>
      </w:r>
    </w:p>
    <w:p>
      <w:pPr>
        <w:spacing w:after="60" w:before="120" w:line="240"/>
      </w:pPr>
      <w:r>
        <w:rPr>
          <w:rFonts w:ascii="Times New Roman" w:cs="Times New Roman" w:eastAsia="Times New Roman" w:hAnsi="Times New Roman"/>
          <w:b/>
          <w:bCs/>
          <w:sz w:val="20"/>
          <w:szCs w:val="20"/>
        </w:rPr>
        <w:t>Tablo 4. Performans düşüşünün bileşenlerine ayrıştırılması (hasta geçmişi olmayan koşul)</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dxa" w:w="3680"/>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Bileşen</w:t>
            </w:r>
          </w:p>
        </w:tc>
        <w:tc>
          <w:tcPr>
            <w:tcW w:type="dxa" w:w="1840"/>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ROC-AUC Farkı</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Açıklama</w:t>
            </w:r>
          </w:p>
        </w:tc>
      </w:tr>
      <w:tr>
        <w:tc>
          <w:tcPr>
            <w:tcW w:type="dxa" w:w="368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Satır-rastgele → Hasta-ayrık</w:t>
            </w:r>
          </w:p>
        </w:tc>
        <w:tc>
          <w:tcPr>
            <w:tcW w:type="dxa" w:w="184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−0,117</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Hasta düzeyinde sızıntının payı</w:t>
            </w:r>
          </w:p>
        </w:tc>
      </w:tr>
      <w:tr>
        <w:tc>
          <w:tcPr>
            <w:tcW w:type="dxa" w:w="368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Hasta-ayrık → Kronolojik</w:t>
            </w:r>
          </w:p>
        </w:tc>
        <w:tc>
          <w:tcPr>
            <w:tcW w:type="dxa" w:w="184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−0,110</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Zamansal kaymanın payı</w:t>
            </w:r>
          </w:p>
        </w:tc>
      </w:tr>
      <w:tr>
        <w:tc>
          <w:tcPr>
            <w:tcW w:type="dxa" w:w="368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Toplam düşüş</w:t>
            </w:r>
          </w:p>
        </w:tc>
        <w:tc>
          <w:tcPr>
            <w:tcW w:type="dxa" w:w="184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−0,227</w:t>
            </w:r>
          </w:p>
        </w:tc>
        <w:tc>
          <w:tcPr>
            <w:tcW w:type="dxa" w:w="368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Rastgeleden gerçek prospektife</w:t>
            </w:r>
          </w:p>
        </w:tc>
      </w:tr>
    </w:tbl>
    <w:p>
      <w:pPr>
        <w:spacing w:after="120" w:before="120" w:line="240"/>
        <w:ind w:firstLine="397"/>
        <w:jc w:val="both"/>
      </w:pPr>
      <w:r>
        <w:rPr>
          <w:rFonts w:ascii="Times New Roman" w:cs="Times New Roman" w:eastAsia="Times New Roman" w:hAnsi="Times New Roman"/>
          <w:sz w:val="22"/>
          <w:szCs w:val="22"/>
        </w:rPr>
        <w:t xml:space="preserve">Ayrıca, türetilmiş hasta geçmişi öznitelikleri hiçbir doğrulama stratejisinde performansı anlamlı biçimde iyileştirmemiştir. Bu bulgu, mevcut vekil hasta geçmişinin çok değişkenli model içerisinde ek tahmin gücü sağlamadığını ortaya koymaktadır.</w:t>
      </w:r>
    </w:p>
    <w:p>
      <w:pPr>
        <w:spacing w:after="120" w:before="120" w:line="240"/>
      </w:pPr>
      <w:r>
        <w:rPr>
          <w:rFonts w:ascii="Times New Roman" w:cs="Times New Roman" w:eastAsia="Times New Roman" w:hAnsi="Times New Roman"/>
          <w:b/>
          <w:bCs/>
          <w:sz w:val="22"/>
          <w:szCs w:val="22"/>
        </w:rPr>
        <w:t xml:space="preserve">4.4. Kronolojik Çöküşün Mekanizması</w:t>
      </w:r>
    </w:p>
    <w:p>
      <w:pPr>
        <w:spacing w:after="120" w:before="120" w:line="240"/>
        <w:ind w:firstLine="397"/>
        <w:jc w:val="both"/>
      </w:pPr>
      <w:r>
        <w:rPr>
          <w:rFonts w:ascii="Times New Roman" w:cs="Times New Roman" w:eastAsia="Times New Roman" w:hAnsi="Times New Roman"/>
          <w:sz w:val="22"/>
          <w:szCs w:val="22"/>
        </w:rPr>
        <w:t xml:space="preserve">Kronolojik bölmedeki performans düşüşünün altında yatan mekanizma üç eksende incelenmiştir. Birincisi, randevuya gelmeme taban oranı yıllar içinde tek yönlü biçimde artmıştır (2016’da %4,0; 2019’da %13,2; 2022’de %20,4). Bu durum, hedef değişkenin dağılımının zaman içinde kaydığını (prior/etiket kayması) göstermektedir. İkincisi, kronolojik modelin olasılık kalibrasyonu bozulmuştur: modelin ortalama tahmin ettiği devamsızlık olasılığı (0,207), test dönemindeki gerçek taban orandan (0,160) yüksektir; yani model, eğitim dönemindeki artış eğilimini yansıtarak test döneminde sistematik biçimde fazla tahmin yapmaktadır (Brier=0,141). Üçüncüsü, SHAP analizinde en yüksek öneme sahip özniteliğin takvim yılı (appointment_year) olması, modelin döneme özgü bir sinyale bağımlı olduğunu ve dolayısıyla zamansal kaymaya karşı kırılgan olduğunu doğrulamaktadır.</w:t>
      </w:r>
    </w:p>
    <w:p>
      <w:pPr>
        <w:spacing w:after="120" w:before="120" w:line="240"/>
        <w:ind w:firstLine="397"/>
        <w:jc w:val="both"/>
      </w:pPr>
      <w:r>
        <w:rPr>
          <w:rFonts w:ascii="Times New Roman" w:cs="Times New Roman" w:eastAsia="Times New Roman" w:hAnsi="Times New Roman"/>
          <w:sz w:val="22"/>
          <w:szCs w:val="22"/>
        </w:rPr>
        <w:t>Bu bağımlılığın azaltılmasına yönelik olarak öznitelik seti yalnızca zamandan bağımsız (durağan) değişkenlere indirgendiğinde, kronolojik ROC-AUC 0,548’den 0,642’ye yükselmiştir (vekil kimlik çakışma oranı %0,7, bölünme oranı %3,3). Ancak önemle belirtilmelidir ki bu kazanım tek başına takvim özniteliklerinin çıkarılmasından kaynaklanmamaktadır; nitekim tam öznitelik setinden yalnızca takvim değişkenleri çıkarıldığında kronolojik performans hafifçe düşmektedir (0,548→0,542). Kazanım, öznitelik setinin bütünüyle küçük ve durağan bir alt kümeye indirgenerek modelin döneme özgü örüntülere aşırı uyumunun sınırlandırılmasından ileri gelmektedir. Bu nedenle söz konusu yaklaşım bir çözüm değil, bir hafifletme stratejisi olarak değerlendirilmektedir.</w:t>
      </w:r>
      <w:r>
        <w:rPr>
          <w:rFonts w:ascii="Times New Roman" w:hAnsi="Times New Roman"/>
          <w:sz w:val="22"/>
        </w:rPr>
        <w:t xml:space="preserve"> Bu kurtarmanın ne ölçüde gerçek bir zamansal sinyalden, ne ölçüde vekil hasta geçmişinin gürültüsünden kaynaklandığını ayrıştırmak için bir duyarlılık analizi yürütülmüştür: geçmiş öznitelikleri tamamen çıkarıldığında zaman-stabil kronolojik performans 0,550'den yalnızca 0,541'e gerilemektedir (fark +0,009). Bu bulgu, kurtarmanın büyük ölçüde temel zaman-stabil özniteliklerden (yaş, randevu türü gibi) kaynaklandığını, vekil hasta geçmişine kırılgan biçimde bağlı olmadığını göstermektedir.</w:t>
      </w:r>
    </w:p>
    <w:p>
      <w:pPr>
        <w:spacing w:after="120" w:before="120" w:line="240"/>
      </w:pPr>
      <w:r>
        <w:rPr>
          <w:rFonts w:ascii="Times New Roman" w:cs="Times New Roman" w:eastAsia="Times New Roman" w:hAnsi="Times New Roman"/>
          <w:b/>
          <w:bCs/>
          <w:sz w:val="22"/>
          <w:szCs w:val="22"/>
        </w:rPr>
        <w:t xml:space="preserve">4.5. Sağlamlık ve Klinik Fayda Analizleri</w:t>
      </w:r>
    </w:p>
    <w:p>
      <w:pPr>
        <w:spacing w:after="120" w:before="120" w:line="240"/>
        <w:ind w:firstLine="397"/>
        <w:jc w:val="both"/>
      </w:pPr>
      <w:r>
        <w:rPr>
          <w:rFonts w:ascii="Times New Roman" w:cs="Times New Roman" w:eastAsia="Times New Roman" w:hAnsi="Times New Roman"/>
          <w:sz w:val="22"/>
          <w:szCs w:val="22"/>
        </w:rPr>
        <w:t>Modelin ayırt edici gücünün ötesindeki sağlamlığını değerlendirmek için üç ek analiz yürütülmüştür. Birincisi, karar eğrisi analizi (decision curve analysis) ile modelin klinik net faydası, “tüm hastalara müdahale” ve “hiçbir hastaya müdahale etmeme” stratejileriyle karşılaştırılmıştır. Model, makul eşik olasılık aralığının tamamında (0,05–0,50) her iki naif stratejiden daha yüksek net fayda sağlamıştır. İkincisi, modelin farklı hasta alt gruplarındaki tutarlılığı incelenmiştir; dış test setinde cinsiyet ve yaş gruplarına göre ayırt edici güç Tablo 5’te sunulmaktadır. Alt gruplar arasındaki ROC-AUC farkı yalnızca 0,029 olup, model kaba adalet açısından gruplar arasında belirgin bir tutarsızlık göstermemektedir.</w:t>
      </w:r>
    </w:p>
    <w:p>
      <w:pPr>
        <w:spacing w:after="60" w:before="120" w:line="240"/>
      </w:pPr>
      <w:r>
        <w:rPr>
          <w:rFonts w:ascii="Times New Roman" w:cs="Times New Roman" w:eastAsia="Times New Roman" w:hAnsi="Times New Roman"/>
          <w:b/>
          <w:bCs/>
          <w:sz w:val="20"/>
          <w:szCs w:val="20"/>
        </w:rPr>
        <w:t>Tablo 5. Alt gruplara göre ayırt edici güç (şampiyon model, dış test)</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3128"/>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Alt grup</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N</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Devamsızlık oranı</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ROC-AUC</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Kadın</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2.288</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0,104</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0,769</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Erkek</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7.040</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0,099</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0,777</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Yaş 0–17</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7.801</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0,100</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0,778</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Yaş 18–39</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473</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0,078</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0,766</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Yaş 40–64</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587</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0,099</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0,750</w:t>
            </w:r>
          </w:p>
        </w:tc>
      </w:tr>
      <w:tr>
        <w:tc>
          <w:tcPr>
            <w:tcW w:type="dxa" w:w="3128"/>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Yaş 65+</w:t>
            </w:r>
          </w:p>
        </w:tc>
        <w:tc>
          <w:tcPr>
            <w:tcW w:type="dxa" w:w="1656"/>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468</w:t>
            </w:r>
          </w:p>
        </w:tc>
        <w:tc>
          <w:tcPr>
            <w:tcW w:type="dxa" w:w="2392"/>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0,122</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0,764</w:t>
            </w:r>
          </w:p>
        </w:tc>
      </w:tr>
    </w:tbl>
    <w:p>
      <w:pPr>
        <w:spacing w:after="120" w:before="120" w:line="240"/>
        <w:ind w:firstLine="397"/>
        <w:jc w:val="both"/>
      </w:pPr>
      <w:r>
        <w:rPr>
          <w:rFonts w:ascii="Times New Roman" w:cs="Times New Roman" w:eastAsia="Times New Roman" w:hAnsi="Times New Roman"/>
          <w:sz w:val="22"/>
          <w:szCs w:val="22"/>
        </w:rPr>
        <w:t xml:space="preserve">Üçüncüsü, model naif bir prevalans temelli tahminci ile karşılaştırılmış ve PR-AUC açısından yaklaşık üç kat üstünlük göstermiştir (0,295’e karşı 0,100). Eğitim ve test setleri arasındaki ayırt edici güç farkı (0,982’ye karşı 0,775; genelleme boşluğu 0,207), Rastgele Orman modelinin eğitim verisine doğası gereği yüksek uyumunu yansıtmaktadır; ağaç tabanlı topluluklarda beklenen bu durum karşısında modelin değerlendirilmesinde belirleyici ölçüt, sızıntısız protokolle elde edilen dış test performansıdır.</w:t>
      </w:r>
    </w:p>
    <w:p>
      <w:pPr>
        <w:spacing w:after="120" w:before="120" w:line="240"/>
      </w:pPr>
      <w:r>
        <w:rPr>
          <w:rFonts w:ascii="Times New Roman" w:cs="Times New Roman" w:eastAsia="Times New Roman" w:hAnsi="Times New Roman"/>
          <w:b/>
          <w:bCs/>
          <w:sz w:val="22"/>
          <w:szCs w:val="22"/>
        </w:rPr>
        <w:t xml:space="preserve">4.6. Operasyonel Simülasyon: İyimser ve Gerçekçi Model Altında Fayda</w:t>
      </w:r>
    </w:p>
    <w:p>
      <w:pPr>
        <w:spacing w:after="120" w:before="120" w:line="240"/>
        <w:ind w:firstLine="397"/>
        <w:jc w:val="both"/>
      </w:pPr>
      <w:r>
        <w:rPr>
          <w:rFonts w:ascii="Times New Roman" w:cs="Times New Roman" w:eastAsia="Times New Roman" w:hAnsi="Times New Roman"/>
          <w:sz w:val="22"/>
          <w:szCs w:val="22"/>
        </w:rPr>
        <w:t>Tahmin modelinin operasyonel değeri, no-show tahminlerine dayalı bir aşırı rezervasyon politikasının statik randevu düzenine karşı karşılaştırıldığı bir kesikli olay simülasyonuyla değerlendirilmiştir. Simülasyon, iki farklı olasılık kaynağıyla ikili olarak raporlanmıştır: iyimser koşulda satır-rastgele modelin olasılıkları, gerçekçi koşulda ise yalnızca geçmiş dönemle eğitilmiş kronolojik modelin olasılıkları kullanılmıştır. Her iki koşulda gerçek dünya (hangi hastanın geldiği) birebir aynı tutulmuş, yalnızca modelin aşırı rezervasyon kararı değiştirilmiştir. Danışman değerlendirmesi doğrultusunda, gerçek gelmeme olayı düz bir prevalans varsayımından değil, test döneminin gerçek (gözlenmiş) devamsızlık etiketlerinden alınmıştır; böylece ölçülen fayda, modelin yalnızca kaç slotu riskli işaretlediğine değil, doğru hastayı seçme (ayrım gücü) becerisine bağlıdır. Sonuçlar Tablo 6’te sunulmaktadır.</w:t>
      </w:r>
    </w:p>
    <w:p>
      <w:pPr>
        <w:spacing w:after="60" w:before="120" w:line="240"/>
      </w:pPr>
      <w:r>
        <w:rPr>
          <w:rFonts w:ascii="Times New Roman" w:cs="Times New Roman" w:eastAsia="Times New Roman" w:hAnsi="Times New Roman"/>
          <w:b/>
          <w:bCs/>
          <w:sz w:val="20"/>
          <w:szCs w:val="20"/>
        </w:rPr>
        <w:t>Tablo 6. Aşırı rezervasyon politikasının operasyonel faydası (statik düzene göre iyileşme, gün başına)</w:t>
      </w:r>
    </w:p>
    <w:tbl>
      <w:tblPr>
        <w:tblW w:type="dxa" w:w="92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tblGrid>
      <w:tr>
        <w:trPr>
          <w:tblHeader/>
        </w:trPr>
        <w:tc>
          <w:tcPr>
            <w:tcW w:type="dxa" w:w="3680"/>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Ölçüt</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İyimser (rastgele)</w:t>
            </w:r>
          </w:p>
        </w:tc>
        <w:tc>
          <w:tcPr>
            <w:tcW w:type="dxa" w:w="2208"/>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Gerçekçi (kronolojik)</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Değişim</w:t>
            </w:r>
          </w:p>
        </w:tc>
      </w:tr>
      <w:tr>
        <w:tc>
          <w:tcPr>
            <w:tcW w:type="dxa" w:w="368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Atıl zaman azalması (dk/gün)</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19,53</w:t>
            </w:r>
          </w:p>
        </w:tc>
        <w:tc>
          <w:tcPr>
            <w:tcW w:type="dxa" w:w="220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4,73</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−76%</w:t>
            </w:r>
          </w:p>
        </w:tc>
      </w:tr>
      <w:tr>
        <w:tc>
          <w:tcPr>
            <w:tcW w:type="dxa" w:w="368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Görülen hasta artışı (hasta/gün)</w:t>
            </w:r>
          </w:p>
        </w:tc>
        <w:tc>
          <w:tcPr>
            <w:tcW w:type="dxa" w:w="2024"/>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0,53</w:t>
            </w:r>
          </w:p>
        </w:tc>
        <w:tc>
          <w:tcPr>
            <w:tcW w:type="dxa" w:w="220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0,13</w:t>
            </w:r>
          </w:p>
        </w:tc>
        <w:tc>
          <w:tcPr>
            <w:tcW w:type="dxa" w:w="1288"/>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−76%</w:t>
            </w:r>
          </w:p>
        </w:tc>
      </w:tr>
    </w:tbl>
    <w:p>
      <w:pPr>
        <w:spacing w:after="120" w:before="120" w:line="240"/>
        <w:ind w:firstLine="397"/>
        <w:jc w:val="both"/>
      </w:pPr>
      <w:r>
        <w:rPr>
          <w:rFonts w:ascii="Times New Roman" w:cs="Times New Roman" w:eastAsia="Times New Roman" w:hAnsi="Times New Roman"/>
          <w:sz w:val="22"/>
          <w:szCs w:val="22"/>
        </w:rPr>
        <w:t>İki koşulda da aşırı rezervasyon politikası, statik düzene kıyasla hekim atıl zamanını istatistiksel olarak anlamlı biçimde azaltmıştır (eşleştirilmiş t-testi, her iki koşulda p&lt;0,001). Ancak faydanın büyüklüğü koşullar arasında belirgin biçimde farklıdır: gerçekçi (kronolojik) model altında elde edilen operasyonel kazanç, iyimser koşuldakinin yaklaşık dörtte biri kadardır (19,53 dk’ya karşı 4,73 dk). Bu bulgu, satır-rastgele olasılıklara dayanan simülasyonların operasyonel faydayı önemli ölçüde abartabileceğini; gerçekçi bir fayda tahmininin ancak prospektif koşulu yansıtan olasılıklarla elde edilebileceğini göstermektedir.</w:t>
      </w:r>
    </w:p>
    <w:sectPr>
      <w:pgSz w:w="11906" w:h="16838" w:orient="portrait"/>
      <w:pgMar w:top="3402" w:right="1985" w:bottom="2835"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2026-08-26T18:57:24.800Z</dcterms:created>
  <dcterms:modified xsi:type="dcterms:W3CDTF">2026-08-26T18:57:24.826Z</dcterms:modified>
</cp:coreProperties>
</file>

<file path=docProps/custom.xml><?xml version="1.0" encoding="utf-8"?>
<Properties xmlns="http://schemas.openxmlformats.org/officeDocument/2006/custom-properties" xmlns:vt="http://schemas.openxmlformats.org/officeDocument/2006/docPropsVTypes"/>
</file>