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40"/>
      </w:pPr>
      <w:r>
        <w:rPr>
          <w:rFonts w:ascii="Times New Roman" w:cs="Times New Roman" w:eastAsia="Times New Roman" w:hAnsi="Times New Roman"/>
          <w:b/>
          <w:bCs/>
          <w:sz w:val="22"/>
          <w:szCs w:val="22"/>
        </w:rPr>
        <w:t xml:space="preserve">5. TARTIŞMA</w:t>
      </w:r>
    </w:p>
    <w:p>
      <w:pPr>
        <w:spacing w:after="120" w:before="120" w:line="240"/>
        <w:ind w:firstLine="397"/>
        <w:jc w:val="both"/>
      </w:pPr>
      <w:r>
        <w:rPr>
          <w:rFonts w:ascii="Times New Roman" w:cs="Times New Roman" w:eastAsia="Times New Roman" w:hAnsi="Times New Roman"/>
          <w:sz w:val="22"/>
          <w:szCs w:val="22"/>
        </w:rPr>
        <w:t xml:space="preserve">Bu çalışma, bir randevu devamsızlığı tahmin modelinin doğrulama stratejisine bağlı olarak çarpıcı biçimde farklı performanslar sergilediğini ve bu farkın iki ayrı bileşene ayrıştırılabildiğini göstermiştir. Satır-rastgele bölmeyle elde edilen ve literatürdeki tipik raporlarla uyumlu görünen 0,775’lik performans, hasta düzeyinde sızıntı giderildiğinde 0,658’e, zamansal kayma da eklendiğinde 0,548’e gerilemektedir. Bu bulgu, alandaki performans raporlarının bir bölümünün gerçek prospektif faydayı olduğundan yüksek yansıtabileceğini düşündürmektedir. Kapoor ve Narayanan’ın (2023) çok sayıda bilimsel alanda belgelediği veri sızıntısı kaynaklı iyimserlik sorununun, randevu devamsızlığı tahmini bağlamındaki somut bir örneği olarak değerlendirilebilir.</w:t>
      </w:r>
    </w:p>
    <w:p>
      <w:pPr>
        <w:spacing w:after="120" w:before="120" w:line="240"/>
        <w:ind w:firstLine="397"/>
        <w:jc w:val="both"/>
      </w:pPr>
      <w:r>
        <w:rPr>
          <w:rFonts w:ascii="Times New Roman" w:cs="Times New Roman" w:eastAsia="Times New Roman" w:hAnsi="Times New Roman"/>
          <w:sz w:val="22"/>
          <w:szCs w:val="22"/>
        </w:rPr>
        <w:t xml:space="preserve">Hasta düzeyinde sızıntının payının (−0,117) zamansal kaymanın payıyla (−0,110) neredeyse eşit olması dikkate değerdir. Hasta sızıntısı, aynı bireye ait kayıtların hem eğitim hem test setinde bulunmasıyla oluşan ve literatürde grup sızıntısı olarak bilinen bir olgudur; tekrar eden randevulara sahip hastaların baskın olduğu veri setlerinde etkisi büyümektedir. Bu sonuç, randevu devamsızlığı modellerinin değerlendirilmesinde hasta-ayrık bölmenin en az kronolojik bölme kadar gerekli olduğunu ortaya koymaktadır. Buna karşın, incelenen literatürde her iki doğrulama biçiminin de yaygın olarak raporlanmaması, bu çalışmanın özgün katkısını belirginleştirmektedir.</w:t>
      </w:r>
    </w:p>
    <w:p>
      <w:pPr>
        <w:spacing w:after="120" w:before="120" w:line="240"/>
        <w:ind w:firstLine="397"/>
        <w:jc w:val="both"/>
      </w:pPr>
      <w:r>
        <w:rPr>
          <w:rFonts w:ascii="Times New Roman" w:cs="Times New Roman" w:eastAsia="Times New Roman" w:hAnsi="Times New Roman"/>
          <w:sz w:val="22"/>
          <w:szCs w:val="22"/>
        </w:rPr>
        <w:t xml:space="preserve">Kronolojik çöküşün mekanizması; taban oranının zaman içindeki kayması (etiket kayması), modelin kalibrasyonunun bozulması ve takvim özniteliklerine bağımlılığın birleşiminden oluşmaktadır. Randevuya gelmeme oranının yıllar içinde yaklaşık beş kat artması, büyük olasılıkla dış etkenlerin (ekonomik koşullar, salgın döneminin etkileri, kurumsal değişiklikler) bir yansımasıdır. Finlayson ve arkadaşlarının (2021) vurguladığı gibi, veri kayması klinik yapay zekâ sistemlerinde istisnai değil beklenen bir durumdur; dolayısıyla modelin zaman içindeki bozulması, sistemin başarısızlığından çok, güncelleme ve izleme gerekliliğinin bir göstergesidir. Nitekim öznitelik setinin zamandan bağımsız bir alt kümeye indirgenmesiyle performansın kısmen geri kazanılması (0,548→0,642), model geliştiricilerin öznitelik seçiminde zamansal dayanıklılığı açıkça gözetmeleri gerektiğini işaret etmektedir. Ancak bu kazanımın tek başına takvim değişkenlerinin çıkarılmasından değil, öznitelik setinin bütünüyle sadeleştirilmesinden kaynaklandığı; dolayısıyla bunun bir çözüm değil, bir hafifletme stratejisi olduğu vurgulanmalıdır.</w:t>
      </w:r>
    </w:p>
    <w:p>
      <w:pPr>
        <w:spacing w:after="120" w:before="120" w:line="240"/>
        <w:ind w:firstLine="397"/>
        <w:jc w:val="both"/>
      </w:pPr>
      <w:r>
        <w:rPr>
          <w:rFonts w:ascii="Times New Roman" w:cs="Times New Roman" w:eastAsia="Times New Roman" w:hAnsi="Times New Roman"/>
          <w:sz w:val="22"/>
          <w:szCs w:val="22"/>
        </w:rPr>
        <w:t xml:space="preserve">Türetilmiş hasta geçmişi özniteliklerinin çok değişkenli modelde performansı iyileştirmemiş olması ilk bakışta beklenmedik görünebilir; zira tek değişkenli düzeyde geçmiş devamsızlık oranı ile hedef arasında güçlü bir ilişki bulunmaktadır. Bu durumun olası nedenleri, test dönemindeki hastaların önemli bir bölümünün eğitim döneminde yeterli geçmişe sahip olmaması ve vekil kimliğin kaçınılmaz gürültüsüdür. Bu bulgu, hasta geçmişinin tahmin değerinin, verinin zamansal yapısına ve hasta devir hızına bağlı olduğunu göstermektedir.</w:t>
      </w:r>
    </w:p>
    <w:p>
      <w:pPr>
        <w:spacing w:after="120" w:before="120" w:line="240"/>
        <w:ind w:firstLine="397"/>
        <w:jc w:val="both"/>
      </w:pPr>
      <w:r>
        <w:rPr>
          <w:rFonts w:ascii="Times New Roman" w:cs="Times New Roman" w:eastAsia="Times New Roman" w:hAnsi="Times New Roman"/>
          <w:sz w:val="22"/>
          <w:szCs w:val="22"/>
        </w:rPr>
        <w:t xml:space="preserve">Modelin naif bir prevalans temelli tahminciye kıyasla PR-AUC açısından yaklaşık üç kat üstünlük göstermesi, ayırt edici gücünün önemsiz olmadığını doğrulamaktadır. Eğitim ve test setleri arasındaki genelleme boşluğu (0,982’ye karşı 0,775), Rastgele Orman gibi ağaç tabanlı toplulukların eğitim verisine doğası gereği yüksek uyum göstermesinin bir sonucudur ve bu tür modellerde beklenen bir durumdur; modelin değerlendirilmesinde belirleyici ölçüt, sızıntısız protokolle elde edilen dış test performansıdır. Operasyonel açıdan ise, model tabanlı bir aşırı rezervasyon stratejisinin sağlayacağı fayda, kullanılan olasılıkların hangi doğrulama rejiminden geldiğine güçlü biçimde bağlıdır. Gerçekçi (kronolojik) model altında beklenen kazancın, iyimser (satır-rastgele) rejimdekinin yaklaşık dörtte biri kadar olması, simülasyon çalışmalarında olasılık kaynağının açıkça raporlanmasının önemini göstermektedir.</w:t>
      </w:r>
    </w:p>
    <w:p>
      <w:pPr>
        <w:spacing w:after="120" w:before="120" w:line="240"/>
      </w:pPr>
      <w:r>
        <w:rPr>
          <w:rFonts w:ascii="Times New Roman" w:cs="Times New Roman" w:eastAsia="Times New Roman" w:hAnsi="Times New Roman"/>
          <w:b/>
          <w:bCs/>
          <w:sz w:val="22"/>
          <w:szCs w:val="22"/>
        </w:rPr>
        <w:t xml:space="preserve">6. SINIRLAMALAR</w:t>
      </w:r>
    </w:p>
    <w:p>
      <w:pPr>
        <w:spacing w:after="120" w:before="120" w:line="240"/>
        <w:ind w:firstLine="397"/>
        <w:jc w:val="both"/>
      </w:pPr>
      <w:r>
        <w:rPr>
          <w:rFonts w:ascii="Times New Roman" w:cs="Times New Roman" w:eastAsia="Times New Roman" w:hAnsi="Times New Roman"/>
          <w:sz w:val="22"/>
          <w:szCs w:val="22"/>
        </w:rPr>
        <w:t xml:space="preserve">Bu çalışmanın çeşitli sınırlılıkları bulunmaktadır. Birincisi, veri seti tek bir merkeze ve coğrafi bölgeye aittir; bulguların farklı sağlık kuruluşlarına genellenebilirliği ayrıca test edilmelidir. İkincisi, hasta geçmişi öznitelikleri, doğrudan hasta kimliği bulunmadığından doğum tarihi, cinsiyet ve şehir bilgilerinin birleşiminden oluşturulan bir vekil kimlik üzerinden türetilmiştir. Bu vekil kimlik kusursuz değildir ve yaklaşık bir hasta geçmişi sağlamaktadır; her ne kadar kesinlikle geçmişe dönük biçimde kurulmuş olsa da, yarı tanımlayıcı bilgilerin birleştirilmesi bir yeniden kimliklendirme unsuru taşıdığından, bu yaklaşımın yalnızca uygun etik onay çerçevesinde uygulanması gerekmektedir.</w:t>
      </w:r>
    </w:p>
    <w:p>
      <w:pPr>
        <w:spacing w:after="120" w:before="120" w:line="240"/>
        <w:ind w:firstLine="397"/>
        <w:jc w:val="both"/>
      </w:pPr>
      <w:r>
        <w:rPr>
          <w:rFonts w:ascii="Times New Roman" w:cs="Times New Roman" w:eastAsia="Times New Roman" w:hAnsi="Times New Roman"/>
          <w:sz w:val="22"/>
          <w:szCs w:val="22"/>
        </w:rPr>
        <w:t xml:space="preserve">Üçüncüsü, kronolojik değerlendirme tek bir zamansal bölünme noktasına (2020/2021) dayanmaktadır; genişleyen pencere biçiminde çoklu bölünme noktalarıyla yapılacak analizler bulguları güçlendirebilir. Dördüncüsü, öznitelik setinin zamandan bağımsız alt kümeye indirgenmesine dayalı iyileştirme yaklaşımı bir hafifletme stratejisi olup tam bir çözüm niteliği taşımamaktadır. Son olarak, çalışma gerçek zamanlı ve prospektif bir dağıtımla doğrulanmamıştır; gelecekteki çalışmaların, önerilen doğrulama çerçevesini prospektif ortamlarda sınaması yararlı olacaktır. Bu sınırlılıklara karşın, çalışmanın sunduğu üç aşamalı doğrulama ve düşüş ayrıştırma çerçevesinin, randevu devamsızlığı tahmini ve daha genel olarak klinik tahmin modelleri alanında yöntemsel bir başvuru sağladığı değerlendirilmektedir.</w:t>
      </w:r>
    </w:p>
    <w:sectPr>
      <w:pgSz w:w="11906" w:h="16838" w:orient="portrait"/>
      <w:pgMar w:top="3402" w:right="1985" w:bottom="2835"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2026-08-26T19:05:23.682Z</dcterms:created>
  <dcterms:modified xsi:type="dcterms:W3CDTF">2026-08-26T19:05:23.682Z</dcterms:modified>
</cp:coreProperties>
</file>

<file path=docProps/custom.xml><?xml version="1.0" encoding="utf-8"?>
<Properties xmlns="http://schemas.openxmlformats.org/officeDocument/2006/custom-properties" xmlns:vt="http://schemas.openxmlformats.org/officeDocument/2006/docPropsVTypes"/>
</file>