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40"/>
      </w:pPr>
      <w:r>
        <w:rPr>
          <w:rFonts w:ascii="Times New Roman" w:cs="Times New Roman" w:eastAsia="Times New Roman" w:hAnsi="Times New Roman"/>
          <w:b/>
          <w:bCs/>
          <w:sz w:val="22"/>
          <w:szCs w:val="22"/>
        </w:rPr>
        <w:t xml:space="preserve">ETİK BEYAN VE VERİ KULLANIM AÇIKLAMASI</w:t>
      </w:r>
    </w:p>
    <w:p>
      <w:pPr>
        <w:spacing w:after="120" w:before="120" w:line="240"/>
        <w:ind w:firstLine="397"/>
        <w:jc w:val="both"/>
      </w:pPr>
      <w:r>
        <w:rPr>
          <w:rFonts w:ascii="Times New Roman" w:cs="Times New Roman" w:eastAsia="Times New Roman" w:hAnsi="Times New Roman"/>
          <w:sz w:val="22"/>
          <w:szCs w:val="22"/>
        </w:rPr>
        <w:t xml:space="preserve">Bu çalışmada kullanılan veri seti, güney Brezilya'da bir üniversiteye bağlı fiziksel ve zihinsel rehabilitasyon uzmanlık merkezine (CER) ait, 2016-2022 dönemini kapsayan poliklinik randevu kayıtlarının genişletilmiş bir sürümüne dayanmaktadır; birincil kaynak Salazar ve arkadaşlarının (2022) yayımladığı çalışmadır. Veri toplama süreci, ilgili kurumun etik kurulu (Univali Etik Kurulu, karar no 4270.234) tarafından onaylanmış olup, kişisel verilerin korunmasına ilişkin Brezilya ulusal düzenlemesine (Lei Geral de Proteção de Dados, LGPD) uygun biçimde yürütülmüştür. Veri, doğrudan hasta kimliği (ad, soyad, ulusal kimlik numarası vb.) içermeyecek şekilde anonimleştirilmiş olarak araştırmacılara sağlanmıştır.</w:t>
      </w:r>
    </w:p>
    <w:p>
      <w:pPr>
        <w:spacing w:after="120" w:before="120" w:line="240"/>
        <w:ind w:firstLine="397"/>
        <w:jc w:val="both"/>
      </w:pPr>
      <w:r>
        <w:rPr>
          <w:rFonts w:ascii="Times New Roman" w:cs="Times New Roman" w:eastAsia="Times New Roman" w:hAnsi="Times New Roman"/>
          <w:sz w:val="22"/>
          <w:szCs w:val="22"/>
        </w:rPr>
        <w:t xml:space="preserve">Veri setinde yer alan Uluslararası Hastalık Sınıflandırması (ICD) tanı kodları, gerçek hasta kayıtlarından türetilmiş klinik bilgiler olduğundan, bu çalışmada yalnızca frekans temelli, geri döndürülemez bir kodlama ile kullanılmış; tanı kodlarının kendisi veya doğrudan yorumu makalede raporlanmamıştır. Çalışma kapsamında oluşturulan vekil hasta kimliği (doğum tarihi, cinsiyet ve şehir bilgisinin birleşiminden türetilen) yalnızca hasta düzeyinde doğrulama analizleri için kullanılmış olup, bu kimliğin gerçek bir hasta ile eşleştirilmesine yönelik hiçbir girişimde bulunulmamıştır. Yazarlar, veri kullanımının ilgili kurumun izni ve etik onayı çerçevesinde gerçekleştirildiğini beyan eder; ham veri, gizlilik ve veri koruma gerekçesiyle bu çalışmanın kamuya açık kod deposunda paylaşılmamıştır.</w:t>
      </w:r>
    </w:p>
    <w:p>
      <w:pPr>
        <w:spacing w:after="120" w:before="120" w:line="240"/>
        <w:ind w:firstLine="397"/>
        <w:jc w:val="both"/>
      </w:pPr>
      <w:r>
        <w:rPr>
          <w:rFonts w:ascii="Times New Roman" w:cs="Times New Roman" w:eastAsia="Times New Roman" w:hAnsi="Times New Roman"/>
          <w:sz w:val="22"/>
          <w:szCs w:val="22"/>
        </w:rPr>
        <w:t xml:space="preserve">Bu çalışma, insan katılımcılar üzerinde herhangi bir müdahale içermemekte, yalnızca geçmişe dönük ve anonimleştirilmiş idari/klinik kayıtların ikincil analizini kapsamaktadır. Yazarlar arasında ve çalışmanın finansmanında herhangi bir çıkar çatışması bulunmamaktadır.</w:t>
      </w:r>
    </w:p>
    <w:sectPr>
      <w:pgSz w:w="11906" w:h="16838" w:orient="portrait"/>
      <w:pgMar w:top="3402" w:right="1985" w:bottom="2835"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2026-08-27T18:44:43.423Z</dcterms:created>
  <dcterms:modified xsi:type="dcterms:W3CDTF">2026-08-27T18:44:43.434Z</dcterms:modified>
</cp:coreProperties>
</file>

<file path=docProps/custom.xml><?xml version="1.0" encoding="utf-8"?>
<Properties xmlns="http://schemas.openxmlformats.org/officeDocument/2006/custom-properties" xmlns:vt="http://schemas.openxmlformats.org/officeDocument/2006/docPropsVTypes"/>
</file>