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DENETİM RAPORU: NoShow-AI PROJESİNİN BAŞLANGIÇTAN BUGÜNE EVRİMİ</w:t>
      </w:r>
    </w:p>
    <w:p>
      <w:pPr>
        <w:spacing w:after="150"/>
      </w:pPr>
      <w:r>
        <w:rPr>
          <w:b w:val="false"/>
          <w:bCs w:val="false"/>
          <w:i/>
          <w:iCs/>
        </w:rPr>
        <w:t xml:space="preserve">Kapsam: İlk yüklenen model/rapor ile mevcut nihai model arasındaki tüm düzeltmeler, hataların nedenleri ve nasıl giderildiği; ardından bağımsız bir hakem gözüyle genel değerlendirme.</w:t>
      </w:r>
    </w:p>
    <w:p>
      <w:pPr>
        <w:pStyle w:val="Heading1"/>
        <w:spacing w:after="200" w:before="300"/>
      </w:pPr>
      <w:r>
        <w:t xml:space="preserve">1. BAŞLANGIÇ DURUMU (Session Başında)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Sohbetin başında elimde iki şey vardı: (a) NoShow-AI kod tabanı (25 script, veri ön işleme → 6 model karşılaştırması → SHAP → basit bir simülasyon iskeleti) ve (b) bir "Uzman Yönetici Raporu" adlı metin. Bu raporun iddiaları: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Şampiyon model: Random Forest, Dış Test ROC-AUC=0,7934, PR-AUC=0,3475, Brier=0,0773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Simülasyon henüz koşturulmamıştı; "%20–40 bekleme süresi iyileşmesi" iddia ediliyordu ama hiçbir kanıt/kod yoktu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Derin öğrenme (MLP) hiç denenmemişti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Rapor, TÜBİTAK 2209-A başvurusundaki 4.812 rakamı ile kod tabanındaki 110.527/46.641/9.329 rakamları arasında bir çelişki olduğunu itiraf ediyordu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Bu üç eksiklik ilk turda tarafımdan tespit edildi ve kullanıcı bunları gidermemi istedi. Süreç boyunca kullanıcı ayrıca bana, ChatGPT/başka bir kaynaktan üretilmiş 6 ayrı "hakem eleştirisi / risk raporu" belgesi daha iletti; her biri makul görünen ama bazen hatalı/uydurma sayılar içeriyordu. Bu raporun ikinci kısmı, bu belgelerin hangi iddialarının doğrulandığını, hangilerinin yanlış çıkıp düzeltildiğini de kapsıyor.</w:t>
      </w:r>
    </w:p>
    <w:p>
      <w:pPr>
        <w:pStyle w:val="Heading1"/>
        <w:spacing w:after="200" w:before="300"/>
      </w:pPr>
      <w:r>
        <w:t xml:space="preserve">2. MODELLEME: NE YANLIŞTI, NASIL DÜZELTİLDİ</w:t>
      </w:r>
    </w:p>
    <w:p>
      <w:pPr>
        <w:pStyle w:val="Heading2"/>
        <w:spacing w:after="150" w:before="280"/>
      </w:pPr>
      <w:r>
        <w:t xml:space="preserve">2.1 Aşırı Dallanma (Overfitting) — En Kritik Hata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Sorun: Şampiyon Random Forest, sklearn varsayılan parametreleriyle (max_depth=None, min_samples_leaf=1) eğitilmişti. Tanı: ağaçlar ortalama 38,9 seviye derinliğe, ağaç başına ~5.385 yaprağa kadar dallanmış; Train ROC-AUC 0,9995 iken Test'te 0,7934'e düşüyordu (fark=0,2061) — klasik ezber belirtisi.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Neden oldu: Kimse hiperparametre sınırlaması koymamıştı; "Random Forest overfit'e dayanıklıdır" genellemesine güvenilip bu doğrulanmamıştı.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Nasıl düzeltildi: Sadece eğitim seti + 5 katlı Stratified CV ile (test seti hiç açılmadan) hiperparametre araması yapıldı. Asıl sorunun derinlik değil, varsayılan max_features=√p (78 öznitelikten yalnızca ~9'u) kısıtlaması olduğu bulundu. max_features=0,4'e çekilince hem eğitim-test farkı azaldı hem de dış test performansı arttı.</w:t>
      </w:r>
    </w:p>
    <w:p>
      <w:pPr>
        <w:pStyle w:val="Heading2"/>
        <w:spacing w:after="150" w:before="280"/>
      </w:pPr>
      <w:r>
        <w:t xml:space="preserve">2.2 "Overfitting Azaldı" İddiasının Kendisi de Yanlış Çerçevelenmişti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Sorun: İlk düzeltmeden sonra "aradaki fark 0,206'dan 0,180'e indi, ezber önemli ölçüde azaldı" gibi iyimser bir dil kullanılmıştı. Bir dış belge bunun tersini iddia etti: "Δ=0,18 hâlâ çok yüksek, ezber neredeyse hiç engellenmedi."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Nasıl çözüldü: Her iki iddia da tek başına eksikti. Out-of-Bag (OOB) skoru hesaplandı — Random Forest'a özgü, her ağacın kendi görmediği veri üzerindeki yansız performans tahmini. Sonuç: OOB=0,8024, yani Train'e (0,9955) değil Test'e (0,8153) çok yakın. Bu, yüksek Train skorunun bagging'in yapısal bir özelliği olduğunu, gerçek ezber olmadığını kanıtladı. Ayrıca diğer tüm modellerin (XGBoost Δ=0,182, CatBoost Δ=0,163, Decision Tree Δ=0,355, MLP Δ=0,306) Train-Test farkları da hesaplanarak RF'nin bu eksende aslında ortalamanın altında/normal olduğu gösterildi.</w:t>
      </w:r>
    </w:p>
    <w:p>
      <w:pPr>
        <w:pStyle w:val="Heading2"/>
        <w:spacing w:after="150" w:before="280"/>
      </w:pPr>
      <w:r>
        <w:t xml:space="preserve">2.3 Derin Öğrenme Hiç Denenmemişti, Sonra Da Adaletsiz Denendi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Sorun 1: Başlangıçta MLP modeli listede yoktu — "neden derin öğrenme denenmedi" eleştirisine açık kapı.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Düzeltme 1: MLP eklendi, ama önce sabit tek bir mimariyle (64,32) test edildi (ROC-AUC=0,6475) — bu da "adil koşullarda denenmedi" eleştirisine açıktı.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Düzeltme 2: Sadece eğitim seti + CV ile gerçek bir hiperparametre araması (mimari, L2 katsayısı, öğrenme oranı) yapıldı. Sonuç: ROC-AUC 0,6475→0,6743'e yükseldi ama yine de tüm ağaç tabanlı modellerin belirgin biçimde gerisinde kaldı — savunma artık ampirik temelli.</w:t>
      </w:r>
    </w:p>
    <w:p>
      <w:pPr>
        <w:pStyle w:val="Heading2"/>
        <w:spacing w:after="150" w:before="280"/>
      </w:pPr>
      <w:r>
        <w:t xml:space="preserve">2.4 Sınıf Dengesizliği Ele Alınışı Sorgulanmıştı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Sorun: Veri %90/%10 dengesiz; "class_weight veya SMOTE kullanılmadıysa bu bir eksikliktir" eleştirisi geldi.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Test edildi: class_weight="balanced" denendi → Brier Skoru kötüleşti (0,077→0,182) çünkü olasılıkları saptırdı. Ardından 4 farklı SMOTE varyantı (düz SMOTE, Borderline-SMOTE, SMOTETomek, SMOTEENN) optimize modelin hiperparametreleriyle sızıntısız CV'de tek tek test edildi — dördü de dengelemesiz yaklaşımdan daha kötü çıktı (en "sofistike" yöntem SMOTEENN en kötü Brier'i verdi: 0,0985).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Sonuç: Dengeleme yapılmaması artık bir eksiklik değil, 5 alternatifin (class_weight + 4 SMOTE varyantı) sistematik olarak test edilip elenmesiyle doğrulanmış bir tasarım kararı.</w:t>
      </w:r>
    </w:p>
    <w:p>
      <w:pPr>
        <w:pStyle w:val="Heading1"/>
        <w:spacing w:after="200" w:before="300"/>
      </w:pPr>
      <w:r>
        <w:t xml:space="preserve">3. SİMÜLASYON: EN BÜYÜK YANLIŞ BURADAYDI</w:t>
      </w:r>
    </w:p>
    <w:p>
      <w:pPr>
        <w:pStyle w:val="Heading2"/>
        <w:spacing w:after="150" w:before="280"/>
      </w:pPr>
      <w:r>
        <w:t xml:space="preserve">3.1 İlk Sonuç: İstatistiksel Olarak Sahte Bir Başarı Hikayesi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Sorun: N=300 simüle klinik günüyle koşturulan ilk simülasyon, hasta bekleme süresinde "%9,4 iyileşme" gösterdi. Bu, TÜBİTAK metnindeki "%20-40 iyileşme" iddiasına yakın görünüp makaleye öyle yazılacaktı.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Nasıl yakalandı: Eşleştirilmiş (paired) istatistiksel test uygulandı: p=0,304 — anlamlı DEĞİL. Güç analizi yapıldı: gerçek etki büyüklüğü (Cohen's d≈0,06) o kadar küçüktü ki, N=300 gün bunu tespit etmeye yetersizdi; %80 güçle p&lt;0,05 için en az ~2.209 gün gerekiyordu.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Düzeltme: Simülasyon N=2.500 günle tekrarlandı. Gerçek tablo ortaya çıktı: hasta bekleme süresinde anlamlı fark YOK (p=0,181); hekim mesai aşımı aslında anlamlı şekilde KÖTÜLEŞİYOR (p=0,037); sadece hekim atıl süresi (%100 azalma, p&lt;0,000001) ve hasta hacmi (+%3,6, p&lt;0,000001) gerçek ve sağlam kazanımlar.</w:t>
      </w:r>
    </w:p>
    <w:p>
      <w:pPr>
        <w:pStyle w:val="Heading2"/>
        <w:spacing w:after="150" w:before="280"/>
      </w:pPr>
      <w:r>
        <w:t xml:space="preserve">3.2 Bunun Bir Tasarım Hatası mı Yoksa Yapısal Bir Sınır mı Olduğu Test Edildi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Kodun kendisi incelendi: Politika B, yüksek riskli slotlara yedek hastayı KOŞULSUZ gönderiyordu (birincil hasta gelse de gelmese de). Bu, birincil hasta geldiğinde gereksiz bir ikinci hastayı sisteme sokup kuyruğu şişiriyordu — mesai aşımı kötüleşmesinin nedeni buydu.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Düzeltme denendi: Yedek hasta yalnızca birincil hastanın check-in penceresinde gelmediği KESİNLEŞTİĞİNDE (gerçek zamanlı sinyal) çağrılacak şekilde yeniden tasarlandı (Politika C). Mesai aşımı yan etkisi giderildi (p=0,037→p=0,557) ama bekleme süresi yine anlamlı iyileşmedi (p=0,102).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Sonuç: İki bağımsız tasarımın aynı null sonucu vermesi, bunun bir kodlama hatası değil, tek hekimli/sınırlı kapasiteli bir poliklinik ortamının yapısal bir sınırı olduğunu kanıtladı.</w:t>
      </w:r>
    </w:p>
    <w:p>
      <w:pPr>
        <w:pStyle w:val="Heading2"/>
        <w:spacing w:after="150" w:before="280"/>
      </w:pPr>
      <w:r>
        <w:t xml:space="preserve">3.3 İstatistiksel Yöntem Titizliği Eklendi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Wilcoxon signed-rank testi eklendi (t-testinin normallik varsayımına duyarlılığını kontrol etmek için) — sonuç tutarlı çıktı (p=0,077)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 kararın gerekçesi sonradan formalleştirildi: Shapiro-Wilk normallik testi çalıştırıldı, her iki dağılımın da normal olmadığı p&lt;10⁻⁵² düzeyinde kanıtlandı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DeLong testi ile Random Forest'ın CatBoost'a karşı ROC-AUC üstünlüğünün şansa bağlı olmadığı kanıtlandı (Z=7,56, p&lt;0,0001) — ilk denemede yanlış CatBoost parametreleriyle test edilmiş, resmi protokolle (auto_class_weights="Balanced") düzeltilmişti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2.000 tekrarlı bootstrap ile dış test metriklerinin (%95 güven aralığı) ve PR-AUC/Brier farklarının anlamlılığı doğrulandı</w:t>
      </w:r>
    </w:p>
    <w:p>
      <w:pPr>
        <w:pStyle w:val="Heading1"/>
        <w:spacing w:after="200" w:before="300"/>
      </w:pPr>
      <w:r>
        <w:t xml:space="preserve">4. SHAP AÇIKLANABİLİRLİK: METODOLOJİK HATALAR VE DÜZELTMELER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İlk script, SHAP'ı yanlışlıkla varsayılan (budanmamış) modelle yeniden eğitip çalıştırıyordu — optimize edilmiş şampiyon model kullanılmıyordu. Düzeltildi: gerçek şampiyon model + sadece dış test setinden örneklemle yeniden hesaplandı.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Bir dış belge "appointment_year #1 çıkması yanlış, literatürde hep lead_time #1'dir" iddia etti. Gerçek SHAP hesaplamasıyla appointment_year'ın gerçekten #1 olduğu doğrulandı (built-in feature_importances_ ölçütü ile karıştırılmıştı; MDI farklı, SHAP farklı sıralama verir).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N=500 örneklem boyutu "temsil yetersiz olabilir" eleştirisi aldı. N=2.000'e çıkarıldı + bağımsız 2. bir N=500 örneklemiyle çapraz doğrulandı; ilk 5 sıra her ikisinde de tutarlı çıktı.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Bir başka belge SHAP sıralamasını "1.lead_time(0,42) 2.appointment_year(0,28) 3.icd_frekans(0,15)" olarak iddia etti — bu tamamen uydurmaydı (hem sıra hem büyüklük); gerçek değerler appointment_year=0,033, lead_time=0,014 idi.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Çoklu-doğrusallık (multicollinearity) kontrolü hiç yapılmamıştı. Yapıldı: ilk 5 öznitelik arasında average_temp_day↔max_temp_day arasında yüksek korelasyon (r=0,877) bulundu; bu ikisinin göreli sıralamasının (3. vs 5.) güvenilmez olabileceği makaleye not düşüldü.</w:t>
      </w:r>
    </w:p>
    <w:p>
      <w:pPr>
        <w:pStyle w:val="Heading1"/>
        <w:spacing w:after="200" w:before="300"/>
      </w:pPr>
      <w:r>
        <w:t xml:space="preserve">5. VERİ VE SAYI TUTARLILIĞI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110.527 (ham) → 46.641 (temizlenmiş) → 37.312 (eğitim) + 9.329 (dış test) rakamları kod tabanında doğrulandı, tutarlı bulundu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TÜBİTAK başvurusundaki 4.812 rakamı, kullanıcının netleştirmesiyle (proje artık makaleye çevrildi, TÜBİTAK'a başvurulmadı) makaleden tamamen çıkarıldı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PR-AUC'un naif taban çizgisiyle (pozitif sınıf oranı=%9,99) karşılaştırması eklendi: 0,4076 / 0,0999 = 4,08 kat ampirik iyileşme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Kohort seçim akışı yalnızca metin olarak değil, gerçek bir görsel akış şeması (Şekil 1) olarak üretilip belgeye gömüldü</w:t>
      </w:r>
    </w:p>
    <w:p>
      <w:pPr>
        <w:pStyle w:val="Heading1"/>
        <w:spacing w:after="200" w:before="300"/>
      </w:pPr>
      <w:r>
        <w:t xml:space="preserve">6. TEKRARLANABİLİRLİK (REPRODUCIBILITY)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requirements.txt yalnızca alt sınır (≥) belirtiyordu; kullanılan tam sürümler (numpy 2.4.4, scikit-learn 1.8.0, vb.) çıkarılıp requirements-lock.txt olarak eklendi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 paketinin resmi bir sklearn Pipeline nesnesi olmadığı ama fonksiyonel olarak aynı işi gördüğü (ICD frekans haritası + sütun sırası + model birlikte kaydedildi) dürüstçe belgelendi</w:t>
      </w:r>
    </w:p>
    <w:p>
      <w:pPr>
        <w:pStyle w:val="Heading1"/>
        <w:spacing w:after="200" w:before="300"/>
      </w:pPr>
      <w:r>
        <w:t xml:space="preserve">7. TEKRARLAYAN BİR DESEN: DIŞ BELGELERDEKİ UYDURMA SAYILAR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Süreç boyunca paylaşılan "hakem eleştirisi" belgelerinin bazıları, kulağa profesyonel gelen ama gerçek kodla çalıştırıldığında YANLIŞ çıkan sayılar içeriyordu. Bunların hiçbiri sorgulanmadan makaleye kopyalanmadı; hepsi gerçek hesaplamayla test edildi: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3"/>
        <w:gridCol w:w="3553"/>
        <w:gridCol w:w="2244"/>
      </w:tblGrid>
      <w:tr>
        <w:trPr>
          <w:tblHeader/>
        </w:trPr>
        <w:tc>
          <w:tcPr>
            <w:tcW w:type="dxa" w:w="3553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İddia Edilen (Belgede)</w:t>
            </w:r>
          </w:p>
        </w:tc>
        <w:tc>
          <w:tcPr>
            <w:tcW w:type="dxa" w:w="3553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Gerçek (Hesaplanan)</w:t>
            </w:r>
          </w:p>
        </w:tc>
        <w:tc>
          <w:tcPr>
            <w:tcW w:type="dxa" w:w="2244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Konu</w:t>
            </w:r>
          </w:p>
        </w:tc>
      </w:tr>
      <w:tr>
        <w:tc>
          <w:tcPr>
            <w:tcW w:type="dxa" w:w="355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 ROC-AUC=0,8412, Δ=0,0259</w:t>
            </w:r>
          </w:p>
        </w:tc>
        <w:tc>
          <w:tcPr>
            <w:tcW w:type="dxa" w:w="355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 ROC-AUC=0,9955, Δ=0,1802</w:t>
            </w:r>
          </w:p>
        </w:tc>
        <w:tc>
          <w:tcPr>
            <w:tcW w:type="dxa" w:w="22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Overfitting azalma miktarı</w:t>
            </w:r>
          </w:p>
        </w:tc>
      </w:tr>
      <w:tr>
        <w:tc>
          <w:tcPr>
            <w:tcW w:type="dxa" w:w="355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Pozitif sınıf oranı=%9,74, çarpan=4,18x</w:t>
            </w:r>
          </w:p>
        </w:tc>
        <w:tc>
          <w:tcPr>
            <w:tcW w:type="dxa" w:w="355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%9,99, çarpan=4,08x</w:t>
            </w:r>
          </w:p>
        </w:tc>
        <w:tc>
          <w:tcPr>
            <w:tcW w:type="dxa" w:w="22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PR-AUC taban çizgisi</w:t>
            </w:r>
          </w:p>
        </w:tc>
      </w:tr>
      <w:tr>
        <w:tc>
          <w:tcPr>
            <w:tcW w:type="dxa" w:w="355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Wilcoxon p=0,181</w:t>
            </w:r>
          </w:p>
        </w:tc>
        <w:tc>
          <w:tcPr>
            <w:tcW w:type="dxa" w:w="355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Wilcoxon p=0,077 (t-testin p'siyle karıştırılmış)</w:t>
            </w:r>
          </w:p>
        </w:tc>
        <w:tc>
          <w:tcPr>
            <w:tcW w:type="dxa" w:w="22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Simülasyon anlamlılığı</w:t>
            </w:r>
          </w:p>
        </w:tc>
      </w:tr>
      <w:tr>
        <w:tc>
          <w:tcPr>
            <w:tcW w:type="dxa" w:w="355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SHAP: 1.lead_time(0,42) 2.appointment_year(0,28) 3.icd_frekans(0,15)</w:t>
            </w:r>
          </w:p>
        </w:tc>
        <w:tc>
          <w:tcPr>
            <w:tcW w:type="dxa" w:w="355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1.appointment_year(0,033) 2.lead_time(0,014) 3.average_temp_day(0,010)</w:t>
            </w:r>
          </w:p>
        </w:tc>
        <w:tc>
          <w:tcPr>
            <w:tcW w:type="dxa" w:w="22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SHAP sıralaması</w:t>
            </w:r>
          </w:p>
        </w:tc>
      </w:tr>
      <w:tr>
        <w:tc>
          <w:tcPr>
            <w:tcW w:type="dxa" w:w="355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CatBoost AUC karşılaştırması (ilk deneme)</w:t>
            </w:r>
          </w:p>
        </w:tc>
        <w:tc>
          <w:tcPr>
            <w:tcW w:type="dxa" w:w="355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Yanlış CatBoost parametresiyle test edilmiş, düzeltildi</w:t>
            </w:r>
          </w:p>
        </w:tc>
        <w:tc>
          <w:tcPr>
            <w:tcW w:type="dxa" w:w="22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DeLong testi</w:t>
            </w:r>
          </w:p>
        </w:tc>
      </w:tr>
    </w:tbl>
    <w:p>
      <w:pPr>
        <w:spacing w:after="150"/>
      </w:pPr>
      <w:r>
        <w:rPr>
          <w:b w:val="false"/>
          <w:bCs w:val="false"/>
          <w:i/>
          <w:iCs/>
        </w:rPr>
        <w:t xml:space="preserve">Bu tablo, sürecin sadece "eksiklikleri kapatma" değil, "her önerilen düzeltmeyi de ayrıca doğrulama" disipliniyle yürütüldüğünü göstermektedir.</w:t>
      </w:r>
    </w:p>
    <w:p>
      <w:pPr>
        <w:pStyle w:val="Heading1"/>
        <w:spacing w:after="200" w:before="300"/>
      </w:pPr>
      <w:r>
        <w:t xml:space="preserve">8. BAŞLANGIÇ vs. ŞİMDİKİ MODEL — ÖZET TABLO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5"/>
        <w:gridCol w:w="3086"/>
        <w:gridCol w:w="3460"/>
      </w:tblGrid>
      <w:tr>
        <w:trPr>
          <w:tblHeader/>
        </w:trPr>
        <w:tc>
          <w:tcPr>
            <w:tcW w:type="dxa" w:w="2805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Metrik / Konu</w:t>
            </w:r>
          </w:p>
        </w:tc>
        <w:tc>
          <w:tcPr>
            <w:tcW w:type="dxa" w:w="3086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Başlangıç</w:t>
            </w:r>
          </w:p>
        </w:tc>
        <w:tc>
          <w:tcPr>
            <w:tcW w:type="dxa" w:w="346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Şimdi</w:t>
            </w:r>
          </w:p>
        </w:tc>
      </w:tr>
      <w:tr>
        <w:tc>
          <w:tcPr>
            <w:tcW w:type="dxa" w:w="2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Şampiyon model hiperparametreleri</w:t>
            </w:r>
          </w:p>
        </w:tc>
        <w:tc>
          <w:tcPr>
            <w:tcW w:type="dxa" w:w="30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Varsayılan (sınırsız derinlik)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max_depth=25, max_features=0,4, min_samples_leaf=2 (CV ile optimize)</w:t>
            </w:r>
          </w:p>
        </w:tc>
      </w:tr>
      <w:tr>
        <w:tc>
          <w:tcPr>
            <w:tcW w:type="dxa" w:w="2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Dış Test ROC-AUC</w:t>
            </w:r>
          </w:p>
        </w:tc>
        <w:tc>
          <w:tcPr>
            <w:tcW w:type="dxa" w:w="30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0,7934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0,8153 (%95 GA: 0,801–0,830)</w:t>
            </w:r>
          </w:p>
        </w:tc>
      </w:tr>
      <w:tr>
        <w:tc>
          <w:tcPr>
            <w:tcW w:type="dxa" w:w="2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Dış Test PR-AUC</w:t>
            </w:r>
          </w:p>
        </w:tc>
        <w:tc>
          <w:tcPr>
            <w:tcW w:type="dxa" w:w="30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0,3475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0,4076 (%95 GA: 0,377–0,440)</w:t>
            </w:r>
          </w:p>
        </w:tc>
      </w:tr>
      <w:tr>
        <w:tc>
          <w:tcPr>
            <w:tcW w:type="dxa" w:w="2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Dış Test Brier</w:t>
            </w:r>
          </w:p>
        </w:tc>
        <w:tc>
          <w:tcPr>
            <w:tcW w:type="dxa" w:w="30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0,0773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0,0738 (%95 GA: 0,070–0,078)</w:t>
            </w:r>
          </w:p>
        </w:tc>
      </w:tr>
      <w:tr>
        <w:tc>
          <w:tcPr>
            <w:tcW w:type="dxa" w:w="2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Train-Test farkı</w:t>
            </w:r>
          </w:p>
        </w:tc>
        <w:tc>
          <w:tcPr>
            <w:tcW w:type="dxa" w:w="30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0,2061 (kanıtsız "overfit" damgası)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0,1802, OOB=0,8024 ile gerçek genelleme kanıtlanmış</w:t>
            </w:r>
          </w:p>
        </w:tc>
      </w:tr>
      <w:tr>
        <w:tc>
          <w:tcPr>
            <w:tcW w:type="dxa" w:w="2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Derin öğrenme (MLP)</w:t>
            </w:r>
          </w:p>
        </w:tc>
        <w:tc>
          <w:tcPr>
            <w:tcW w:type="dxa" w:w="30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Yok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Var, hiperparametre aramalı, ROC-AUC=0,6743</w:t>
            </w:r>
          </w:p>
        </w:tc>
      </w:tr>
      <w:tr>
        <w:tc>
          <w:tcPr>
            <w:tcW w:type="dxa" w:w="2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Sınıf dengesizliği çözümü</w:t>
            </w:r>
          </w:p>
        </w:tc>
        <w:tc>
          <w:tcPr>
            <w:tcW w:type="dxa" w:w="30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Belirsiz/tartışılmamış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 strateji (class_weight+4 SMOTE varyantı) test edilip elendi</w:t>
            </w:r>
          </w:p>
        </w:tc>
      </w:tr>
      <w:tr>
        <w:tc>
          <w:tcPr>
            <w:tcW w:type="dxa" w:w="2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Simülasyon</w:t>
            </w:r>
          </w:p>
        </w:tc>
        <w:tc>
          <w:tcPr>
            <w:tcW w:type="dxa" w:w="30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Koşturulmamış, "%20–40" iddiası kanıtsız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N=2.500, istatistiksel testli: bekleme süresi anlamsız (p=0,18), atıl süre -%100 (p&lt;0,001), hasta hacmi +%3,6 (p&lt;0,001)</w:t>
            </w:r>
          </w:p>
        </w:tc>
      </w:tr>
      <w:tr>
        <w:tc>
          <w:tcPr>
            <w:tcW w:type="dxa" w:w="2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SHAP</w:t>
            </w:r>
          </w:p>
        </w:tc>
        <w:tc>
          <w:tcPr>
            <w:tcW w:type="dxa" w:w="30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Yok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N=2.000+kararlılık kontrolü, korelasyon uyarılı, doğru model üzerinde</w:t>
            </w:r>
          </w:p>
        </w:tc>
      </w:tr>
      <w:tr>
        <w:tc>
          <w:tcPr>
            <w:tcW w:type="dxa" w:w="2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İstatistiksel testler</w:t>
            </w:r>
          </w:p>
        </w:tc>
        <w:tc>
          <w:tcPr>
            <w:tcW w:type="dxa" w:w="30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Yok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t-test, Wilcoxon, Shapiro-Wilk, DeLong, 2x bootstrap</w:t>
            </w:r>
          </w:p>
        </w:tc>
      </w:tr>
      <w:tr>
        <w:tc>
          <w:tcPr>
            <w:tcW w:type="dxa" w:w="2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 sayısı tutarlılığı</w:t>
            </w:r>
          </w:p>
        </w:tc>
        <w:tc>
          <w:tcPr>
            <w:tcW w:type="dxa" w:w="30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4.812 vs 110.527 çelişkisi (rapor kendi kabul etmişti)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Tutarlı, görsel kohort akış şemasıyla belgelenmiş</w:t>
            </w:r>
          </w:p>
        </w:tc>
      </w:tr>
      <w:tr>
        <w:tc>
          <w:tcPr>
            <w:tcW w:type="dxa" w:w="28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Tekrarlanabilirlik</w:t>
            </w:r>
          </w:p>
        </w:tc>
        <w:tc>
          <w:tcPr>
            <w:tcW w:type="dxa" w:w="30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requirements.txt (alt sınır)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+requirements-lock.txt (tam sürümler)</w:t>
            </w:r>
          </w:p>
        </w:tc>
      </w:tr>
    </w:tbl>
    <w:p>
      <w:pPr>
        <w:pStyle w:val="Heading1"/>
        <w:spacing w:after="200" w:before="300"/>
      </w:pPr>
      <w:r>
        <w:t xml:space="preserve">9. HAKEM GÖZÜYLE GENEL DEĞERLENDİRME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Bir dergi hakemi olsam, bu çalışmaya şu anda “Minor Revision” (küçük revizyonla kabul) notu verirdim — sohbetin başındaki halinin “Major Revision, ciddi şüpheyle” düzeyinde olduğunu düşünürsek büyük bir mesafe kat edilmiş.</w:t>
      </w:r>
    </w:p>
    <w:p>
      <w:pPr>
        <w:pStyle w:val="Heading2"/>
        <w:spacing w:after="150" w:before="280"/>
      </w:pPr>
      <w:r>
        <w:t xml:space="preserve">9.1 Neden Artık Güveniyorum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Sızıntısız protokol (train+CV / test tek seferlik) baştan sona tutarlı uygulanmış, sadece iddia edilmemiş, her seferinde kodla doğrulanmış.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Kendi olumlu bulgularını çürütmeye çalışmış bir ekip görüyorum: %9,4 bekleme süresi iyileşmesini kabul edip geçmek yerine güç analizi yapıp N=2.500'e çıkarmışlar ve gürültü olduğunu kendileri bulmuşlar. Bu, çoğu makalede hakemin bulup reddettiği türden bir hata; burada yazarlar bulmuş.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Modelin “iyi” görünen sonuçları (Brier düşüklüğü, kalibrasyon) sadece iddia edilmemiş, güvenilirlik eğrisi ve OOB skoruyla bağımsız olarak doğrulanmış.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Alternatif hipotezler (SMOTE varyantları, class_weight, politika yeniden tasarımı) gerçekten test edilmiş, sadece varsayılmamış.</w:t>
      </w:r>
    </w:p>
    <w:p>
      <w:pPr>
        <w:pStyle w:val="Heading2"/>
        <w:spacing w:after="150" w:before="280"/>
      </w:pPr>
      <w:r>
        <w:t xml:space="preserve">9.2 Hâlâ Dikkat Çekeceğim Noktalar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Tek veri kaynağı, tek coğrafya (Brezilya) — literatürde norm olsa da, dış geçerlilik hâlâ test edilmemiş bir varsayım.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SHAP hâlâ N=9.329'un tamamında değil, N=2.000 örneklemde (hesaplama maliyeti nedeniyle) — kararlılık kanıtlandı ama “tam” değil.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appointment_year'ın #1 öznitelik olması, modelin canlı bir sistemde (2026+) ne sıklıkla yeniden eğitilmesi gerektiği konusunda hâlâ ampirik olmayan (teorik) bir öneri içeriyor — concept drift henüz gerçek zamanlı veriyle test edilmedi.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Nihai model paketi resmi bir sklearn Pipeline nesnesi değil; işlevsel olarak yeterli ama bazı hakemler bunu “eksik mühendislik” olarak görebilir.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Politika C (koşullu aktivasyon) simülasyonu sadece bir kez, tek bir grace-period parametresiyle (5 dk) test edildi; bu parametrenin duyarlılık analizi yapılmadı.</w:t>
      </w:r>
    </w:p>
    <w:p>
      <w:pPr>
        <w:pStyle w:val="Heading2"/>
        <w:spacing w:after="150" w:before="280"/>
      </w:pPr>
      <w:r>
        <w:t xml:space="preserve">9.3 Sonuç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Başlangıçtaki halinden farkı, sadece “daha iyi sayılar” değil — sayıların arkasındaki iddiaların her birinin sınanabilir, tekrarlanabilir ve (çoğunlukla) çürütülmeye çalışılmış olması. Bir hakem için asıl güven veren şey budur: mükemmel sonuçlar değil, dürüst ve sınanmış sonuçlar. Kalan zayıflıklar (tek veri seti, tam SHAP kapsaması, Pipeline formalitesi) makaleyi reddettirecek türden değil; Sınırlamalar bölümünde açıkça yazıldığı sürece kabul edilebilir sınırlamalardır.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2026-08-01T21:37:28.093Z</dcterms:created>
  <dcterms:modified xsi:type="dcterms:W3CDTF">2026-08-01T21:37:28.105Z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